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A4DE" w14:textId="100234C0" w:rsidR="009E4A37" w:rsidRPr="00B76F54" w:rsidRDefault="00FE7D36" w:rsidP="009E4A37">
      <w:pPr>
        <w:pStyle w:val="KeinLeerraum"/>
        <w:rPr>
          <w:rFonts w:ascii="Arial" w:hAnsi="Arial" w:cs="Arial"/>
          <w:b/>
          <w:lang w:val="en-US"/>
        </w:rPr>
      </w:pPr>
      <w:r w:rsidRPr="00B76F54">
        <w:rPr>
          <w:rFonts w:ascii="Arial" w:hAnsi="Arial" w:cs="Arial"/>
          <w:b/>
          <w:lang w:val="en-US"/>
        </w:rPr>
        <w:t>Supplementary T</w:t>
      </w:r>
      <w:r w:rsidR="009E4A37" w:rsidRPr="00B76F54">
        <w:rPr>
          <w:rFonts w:ascii="Arial" w:hAnsi="Arial" w:cs="Arial"/>
          <w:b/>
          <w:lang w:val="en-US"/>
        </w:rPr>
        <w:t xml:space="preserve">able 1. </w:t>
      </w:r>
      <w:r w:rsidR="00F1081B" w:rsidRPr="00B76F54">
        <w:rPr>
          <w:rFonts w:ascii="Arial" w:hAnsi="Arial" w:cs="Arial"/>
          <w:b/>
          <w:lang w:val="en-US"/>
        </w:rPr>
        <w:t>Differences in participants characteristics between PIM user</w:t>
      </w:r>
      <w:r w:rsidR="001679D6" w:rsidRPr="00B76F54">
        <w:rPr>
          <w:rFonts w:ascii="Arial" w:hAnsi="Arial" w:cs="Arial"/>
          <w:b/>
          <w:lang w:val="en-US"/>
        </w:rPr>
        <w:t>s</w:t>
      </w:r>
      <w:r w:rsidR="00F1081B" w:rsidRPr="00B76F54">
        <w:rPr>
          <w:rFonts w:ascii="Arial" w:hAnsi="Arial" w:cs="Arial"/>
          <w:b/>
          <w:lang w:val="en-US"/>
        </w:rPr>
        <w:t xml:space="preserve"> and </w:t>
      </w:r>
      <w:r w:rsidR="00EC4651" w:rsidRPr="00B76F54">
        <w:rPr>
          <w:rFonts w:ascii="Arial" w:hAnsi="Arial" w:cs="Arial"/>
          <w:b/>
          <w:lang w:val="en-US"/>
        </w:rPr>
        <w:t>n</w:t>
      </w:r>
      <w:r w:rsidR="00F1081B" w:rsidRPr="00B76F54">
        <w:rPr>
          <w:rFonts w:ascii="Arial" w:hAnsi="Arial" w:cs="Arial"/>
          <w:b/>
          <w:lang w:val="en-US"/>
        </w:rPr>
        <w:t>on-PIM user</w:t>
      </w:r>
      <w:r w:rsidR="001679D6" w:rsidRPr="00B76F54">
        <w:rPr>
          <w:rFonts w:ascii="Arial" w:hAnsi="Arial" w:cs="Arial"/>
          <w:b/>
          <w:lang w:val="en-US"/>
        </w:rPr>
        <w:t>s</w:t>
      </w:r>
    </w:p>
    <w:p w14:paraId="6C6E96FD" w14:textId="77777777" w:rsidR="009E4A37" w:rsidRPr="00B76F54" w:rsidRDefault="009E4A37" w:rsidP="009E4A37">
      <w:pPr>
        <w:pStyle w:val="KeinLeerraum"/>
        <w:rPr>
          <w:rFonts w:ascii="Arial" w:hAnsi="Arial" w:cs="Arial"/>
          <w:b/>
          <w:lang w:val="en-US"/>
        </w:rPr>
      </w:pPr>
    </w:p>
    <w:tbl>
      <w:tblPr>
        <w:tblStyle w:val="Tabellenraster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1785"/>
        <w:gridCol w:w="1793"/>
        <w:gridCol w:w="1722"/>
        <w:gridCol w:w="1175"/>
      </w:tblGrid>
      <w:tr w:rsidR="009E4A37" w:rsidRPr="00B76F54" w14:paraId="1B3A3E29" w14:textId="77777777" w:rsidTr="00DB69D6">
        <w:trPr>
          <w:trHeight w:val="441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14:paraId="69A3468B" w14:textId="11D7E8C8" w:rsidR="009E4A37" w:rsidRPr="00B76F54" w:rsidRDefault="009C70EC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Participants characteristics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37D62C39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PIM user</w:t>
            </w:r>
            <w:r w:rsidR="00570DEA" w:rsidRPr="00B76F54">
              <w:rPr>
                <w:rFonts w:ascii="Arial" w:hAnsi="Arial" w:cs="Arial"/>
                <w:lang w:val="en-US"/>
              </w:rPr>
              <w:t>s</w:t>
            </w:r>
          </w:p>
          <w:p w14:paraId="2E6B4580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(N=313)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6455FB37" w14:textId="1D8946FE" w:rsidR="009E4A37" w:rsidRPr="00B76F54" w:rsidRDefault="00B9007A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</w:t>
            </w:r>
            <w:r w:rsidR="009E4A37" w:rsidRPr="00B76F54">
              <w:rPr>
                <w:rFonts w:ascii="Arial" w:hAnsi="Arial" w:cs="Arial"/>
                <w:lang w:val="en-US"/>
              </w:rPr>
              <w:t>on-PIM user</w:t>
            </w:r>
            <w:r w:rsidR="00570DEA" w:rsidRPr="00B76F54">
              <w:rPr>
                <w:rFonts w:ascii="Arial" w:hAnsi="Arial" w:cs="Arial"/>
                <w:lang w:val="en-US"/>
              </w:rPr>
              <w:t>s</w:t>
            </w:r>
          </w:p>
          <w:p w14:paraId="51936444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(N=1069)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E7A6523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Overall</w:t>
            </w:r>
          </w:p>
          <w:p w14:paraId="5886C0C9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(N=1382)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449ECD64" w14:textId="2D2FEB87" w:rsidR="009E4A37" w:rsidRPr="00B76F54" w:rsidRDefault="00F1081B" w:rsidP="007A6D08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P</w:t>
            </w:r>
            <w:r w:rsidR="00511739" w:rsidRPr="00B76F54">
              <w:rPr>
                <w:rFonts w:ascii="Arial" w:hAnsi="Arial" w:cs="Arial"/>
                <w:lang w:val="en-US"/>
              </w:rPr>
              <w:t>-value</w:t>
            </w:r>
          </w:p>
        </w:tc>
      </w:tr>
      <w:tr w:rsidR="009E4A37" w:rsidRPr="00B76F54" w14:paraId="76C85074" w14:textId="77777777" w:rsidTr="00DB69D6">
        <w:trPr>
          <w:trHeight w:val="215"/>
        </w:trPr>
        <w:tc>
          <w:tcPr>
            <w:tcW w:w="2355" w:type="dxa"/>
            <w:tcBorders>
              <w:top w:val="single" w:sz="4" w:space="0" w:color="auto"/>
            </w:tcBorders>
          </w:tcPr>
          <w:p w14:paraId="246F73A7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62B48F74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43F04169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730A450A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6C07800C" w14:textId="77777777" w:rsidR="009E4A37" w:rsidRPr="00B76F54" w:rsidRDefault="009E4A37" w:rsidP="007A6D08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391E0A" w:rsidRPr="00B76F54" w14:paraId="2274AF36" w14:textId="77777777" w:rsidTr="00DB69D6">
        <w:trPr>
          <w:trHeight w:val="441"/>
        </w:trPr>
        <w:tc>
          <w:tcPr>
            <w:tcW w:w="2355" w:type="dxa"/>
          </w:tcPr>
          <w:p w14:paraId="663280AE" w14:textId="451B22AB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Age </w:t>
            </w:r>
            <w:r w:rsidRPr="00B76F54">
              <w:rPr>
                <w:rFonts w:ascii="Arial" w:hAnsi="Arial" w:cs="Arial"/>
                <w:lang w:val="en-US"/>
              </w:rPr>
              <w:sym w:font="Symbol" w:char="F05B"/>
            </w:r>
            <w:r w:rsidRPr="00B76F54">
              <w:rPr>
                <w:rFonts w:ascii="Arial" w:hAnsi="Arial" w:cs="Arial"/>
                <w:lang w:val="en-US"/>
              </w:rPr>
              <w:t>years</w:t>
            </w:r>
            <w:r w:rsidRPr="00B76F54">
              <w:rPr>
                <w:rFonts w:ascii="Arial" w:hAnsi="Arial" w:cs="Arial"/>
                <w:lang w:val="en-US"/>
              </w:rPr>
              <w:sym w:font="Symbol" w:char="F05D"/>
            </w:r>
          </w:p>
        </w:tc>
        <w:tc>
          <w:tcPr>
            <w:tcW w:w="1785" w:type="dxa"/>
          </w:tcPr>
          <w:p w14:paraId="3D0DC799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69</w:t>
            </w:r>
          </w:p>
          <w:p w14:paraId="3A7F88D9" w14:textId="54AF0B60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IQR 67-71 </w:t>
            </w:r>
          </w:p>
        </w:tc>
        <w:tc>
          <w:tcPr>
            <w:tcW w:w="1793" w:type="dxa"/>
          </w:tcPr>
          <w:p w14:paraId="5A54571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69</w:t>
            </w:r>
          </w:p>
          <w:p w14:paraId="49B1CD6A" w14:textId="709CDDF2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IQR 67-71</w:t>
            </w:r>
          </w:p>
        </w:tc>
        <w:tc>
          <w:tcPr>
            <w:tcW w:w="1722" w:type="dxa"/>
          </w:tcPr>
          <w:p w14:paraId="4CFB84A6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69</w:t>
            </w:r>
          </w:p>
          <w:p w14:paraId="45223A84" w14:textId="681CB855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IQR 67-71</w:t>
            </w:r>
          </w:p>
        </w:tc>
        <w:tc>
          <w:tcPr>
            <w:tcW w:w="1175" w:type="dxa"/>
          </w:tcPr>
          <w:p w14:paraId="4D2BC014" w14:textId="30D8818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n. s.</w:t>
            </w:r>
          </w:p>
        </w:tc>
      </w:tr>
      <w:tr w:rsidR="00391E0A" w:rsidRPr="00B76F54" w14:paraId="7D08E8E7" w14:textId="77777777" w:rsidTr="00DB69D6">
        <w:trPr>
          <w:trHeight w:val="441"/>
        </w:trPr>
        <w:tc>
          <w:tcPr>
            <w:tcW w:w="2355" w:type="dxa"/>
          </w:tcPr>
          <w:p w14:paraId="60BEAA2C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85" w:type="dxa"/>
          </w:tcPr>
          <w:p w14:paraId="0D933AB8" w14:textId="7CEDDA0D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(N=313)</w:t>
            </w:r>
          </w:p>
        </w:tc>
        <w:tc>
          <w:tcPr>
            <w:tcW w:w="1793" w:type="dxa"/>
          </w:tcPr>
          <w:p w14:paraId="64406B6D" w14:textId="4BD325E6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(N=1069)</w:t>
            </w:r>
          </w:p>
        </w:tc>
        <w:tc>
          <w:tcPr>
            <w:tcW w:w="1722" w:type="dxa"/>
          </w:tcPr>
          <w:p w14:paraId="1666127C" w14:textId="7E61C816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(N=1382)</w:t>
            </w:r>
          </w:p>
        </w:tc>
        <w:tc>
          <w:tcPr>
            <w:tcW w:w="1175" w:type="dxa"/>
          </w:tcPr>
          <w:p w14:paraId="64DFE96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391E0A" w:rsidRPr="00B76F54" w14:paraId="08FC8BEC" w14:textId="77777777" w:rsidTr="00DB69D6">
        <w:trPr>
          <w:trHeight w:val="441"/>
        </w:trPr>
        <w:tc>
          <w:tcPr>
            <w:tcW w:w="2355" w:type="dxa"/>
          </w:tcPr>
          <w:p w14:paraId="4AB09769" w14:textId="3A2BFA48" w:rsidR="00391E0A" w:rsidRPr="00B76F54" w:rsidRDefault="003C57CF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1785" w:type="dxa"/>
          </w:tcPr>
          <w:p w14:paraId="7C5D2F03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57.8%</w:t>
            </w:r>
          </w:p>
          <w:p w14:paraId="1DE17EB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(N=313)</w:t>
            </w:r>
          </w:p>
          <w:p w14:paraId="73AD80F1" w14:textId="0425E961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6EC76A2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49.4%</w:t>
            </w:r>
          </w:p>
          <w:p w14:paraId="623889AC" w14:textId="733F558B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(N=1069)</w:t>
            </w:r>
          </w:p>
        </w:tc>
        <w:tc>
          <w:tcPr>
            <w:tcW w:w="1722" w:type="dxa"/>
          </w:tcPr>
          <w:p w14:paraId="5FC1A284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51.3%</w:t>
            </w:r>
          </w:p>
          <w:p w14:paraId="2E066985" w14:textId="228486E2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(N=1382)</w:t>
            </w:r>
          </w:p>
        </w:tc>
        <w:tc>
          <w:tcPr>
            <w:tcW w:w="1175" w:type="dxa"/>
          </w:tcPr>
          <w:p w14:paraId="5137594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0.009*</w:t>
            </w:r>
          </w:p>
          <w:p w14:paraId="470AEB95" w14:textId="2097859C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391E0A" w:rsidRPr="00B76F54" w14:paraId="543B4D61" w14:textId="77777777" w:rsidTr="00DB69D6">
        <w:trPr>
          <w:trHeight w:val="441"/>
        </w:trPr>
        <w:tc>
          <w:tcPr>
            <w:tcW w:w="2355" w:type="dxa"/>
          </w:tcPr>
          <w:p w14:paraId="5368D614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Number of regular medications</w:t>
            </w:r>
          </w:p>
          <w:p w14:paraId="4F195FBC" w14:textId="7676ED88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85" w:type="dxa"/>
          </w:tcPr>
          <w:p w14:paraId="77E99C9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4</w:t>
            </w:r>
          </w:p>
          <w:p w14:paraId="58288F0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IQR 2-6 </w:t>
            </w:r>
          </w:p>
          <w:p w14:paraId="2704522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(N=313)</w:t>
            </w:r>
          </w:p>
          <w:p w14:paraId="1B7A8D69" w14:textId="0CC192E8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6BD105CC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2</w:t>
            </w:r>
          </w:p>
          <w:p w14:paraId="4CD85C9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IQR 0-4 </w:t>
            </w:r>
          </w:p>
          <w:p w14:paraId="478FAE04" w14:textId="23641173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(N=1069)</w:t>
            </w:r>
          </w:p>
        </w:tc>
        <w:tc>
          <w:tcPr>
            <w:tcW w:w="1722" w:type="dxa"/>
          </w:tcPr>
          <w:p w14:paraId="50FE3C66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2</w:t>
            </w:r>
          </w:p>
          <w:p w14:paraId="445FE3CE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IQR 1-4 </w:t>
            </w:r>
          </w:p>
          <w:p w14:paraId="6E13A41F" w14:textId="2DB32C01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(N=1382)</w:t>
            </w:r>
          </w:p>
        </w:tc>
        <w:tc>
          <w:tcPr>
            <w:tcW w:w="1175" w:type="dxa"/>
          </w:tcPr>
          <w:p w14:paraId="4DABF7D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sym w:font="Symbol" w:char="F03C"/>
            </w:r>
            <w:r w:rsidRPr="00B76F54">
              <w:rPr>
                <w:rFonts w:ascii="Arial" w:hAnsi="Arial" w:cs="Arial"/>
                <w:lang w:val="en-US"/>
              </w:rPr>
              <w:t>0.001*</w:t>
            </w:r>
          </w:p>
          <w:p w14:paraId="028C1CD8" w14:textId="4BF176F2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  <w:tr w:rsidR="00391E0A" w:rsidRPr="00B76F54" w14:paraId="12F06F7C" w14:textId="77777777" w:rsidTr="00DB69D6">
        <w:trPr>
          <w:trHeight w:val="441"/>
        </w:trPr>
        <w:tc>
          <w:tcPr>
            <w:tcW w:w="2355" w:type="dxa"/>
          </w:tcPr>
          <w:p w14:paraId="15F18F86" w14:textId="59507010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Morbidity index</w:t>
            </w:r>
          </w:p>
        </w:tc>
        <w:tc>
          <w:tcPr>
            <w:tcW w:w="1785" w:type="dxa"/>
          </w:tcPr>
          <w:p w14:paraId="7DE7F80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1</w:t>
            </w:r>
          </w:p>
          <w:p w14:paraId="47239CD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IQR 0-2</w:t>
            </w:r>
          </w:p>
          <w:p w14:paraId="3C4555E6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(N=295)</w:t>
            </w:r>
          </w:p>
          <w:p w14:paraId="6F1BB276" w14:textId="15CF0EDF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4AFD385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1</w:t>
            </w:r>
          </w:p>
          <w:p w14:paraId="6F663425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IQR 0-2</w:t>
            </w:r>
          </w:p>
          <w:p w14:paraId="149A4E35" w14:textId="3EEB5C8A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(N=963)</w:t>
            </w:r>
          </w:p>
        </w:tc>
        <w:tc>
          <w:tcPr>
            <w:tcW w:w="1722" w:type="dxa"/>
          </w:tcPr>
          <w:p w14:paraId="6649DF9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median 1</w:t>
            </w:r>
          </w:p>
          <w:p w14:paraId="3B138C4E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IQR 0-2</w:t>
            </w:r>
          </w:p>
          <w:p w14:paraId="7EB70C1C" w14:textId="77FA6E1D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(N=1258)</w:t>
            </w:r>
          </w:p>
        </w:tc>
        <w:tc>
          <w:tcPr>
            <w:tcW w:w="1175" w:type="dxa"/>
          </w:tcPr>
          <w:p w14:paraId="4F588B9A" w14:textId="5D5F504F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sym w:font="Symbol" w:char="F03C"/>
            </w:r>
            <w:r w:rsidRPr="00B76F54">
              <w:rPr>
                <w:rFonts w:ascii="Arial" w:hAnsi="Arial" w:cs="Arial"/>
                <w:lang w:val="en-US"/>
              </w:rPr>
              <w:t>0.001*</w:t>
            </w:r>
          </w:p>
        </w:tc>
      </w:tr>
      <w:tr w:rsidR="00391E0A" w:rsidRPr="00B76F54" w14:paraId="08B81297" w14:textId="77777777" w:rsidTr="00DB69D6">
        <w:trPr>
          <w:trHeight w:val="441"/>
        </w:trPr>
        <w:tc>
          <w:tcPr>
            <w:tcW w:w="2355" w:type="dxa"/>
          </w:tcPr>
          <w:p w14:paraId="7DC37B55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BMI [kg/m²]</w:t>
            </w:r>
          </w:p>
        </w:tc>
        <w:tc>
          <w:tcPr>
            <w:tcW w:w="1785" w:type="dxa"/>
          </w:tcPr>
          <w:p w14:paraId="4F5F5C3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mean 27.5 ± 4.5</w:t>
            </w:r>
          </w:p>
          <w:p w14:paraId="5343222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(N=306)</w:t>
            </w:r>
          </w:p>
          <w:p w14:paraId="1860CECC" w14:textId="40FD5F70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54EA1969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mean 26.5 ± 4.0</w:t>
            </w:r>
          </w:p>
          <w:p w14:paraId="33DDBEE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(N=1050)</w:t>
            </w:r>
          </w:p>
        </w:tc>
        <w:tc>
          <w:tcPr>
            <w:tcW w:w="1722" w:type="dxa"/>
          </w:tcPr>
          <w:p w14:paraId="5CF1F4D1" w14:textId="7652EC63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mean 26.8 ± 4.1</w:t>
            </w:r>
          </w:p>
          <w:p w14:paraId="4949DFA6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(N=1356)</w:t>
            </w:r>
          </w:p>
        </w:tc>
        <w:tc>
          <w:tcPr>
            <w:tcW w:w="1175" w:type="dxa"/>
          </w:tcPr>
          <w:p w14:paraId="3215C876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n. s.</w:t>
            </w:r>
          </w:p>
        </w:tc>
      </w:tr>
      <w:tr w:rsidR="00391E0A" w:rsidRPr="00B76F54" w14:paraId="6A5F3DAE" w14:textId="77777777" w:rsidTr="00DB69D6">
        <w:trPr>
          <w:trHeight w:val="441"/>
        </w:trPr>
        <w:tc>
          <w:tcPr>
            <w:tcW w:w="2355" w:type="dxa"/>
          </w:tcPr>
          <w:p w14:paraId="18ADD56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Current smoking</w:t>
            </w:r>
          </w:p>
        </w:tc>
        <w:tc>
          <w:tcPr>
            <w:tcW w:w="1785" w:type="dxa"/>
          </w:tcPr>
          <w:p w14:paraId="5FE123F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7.4% </w:t>
            </w:r>
          </w:p>
          <w:p w14:paraId="089A11C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(N=312)</w:t>
            </w:r>
          </w:p>
          <w:p w14:paraId="5B2CA59F" w14:textId="51822389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5ADAB32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9.2% </w:t>
            </w:r>
          </w:p>
          <w:p w14:paraId="1316E82F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(N=1069)</w:t>
            </w:r>
          </w:p>
        </w:tc>
        <w:tc>
          <w:tcPr>
            <w:tcW w:w="1722" w:type="dxa"/>
          </w:tcPr>
          <w:p w14:paraId="70D61BD4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8.8% </w:t>
            </w:r>
          </w:p>
          <w:p w14:paraId="60F67C2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(N=1373)</w:t>
            </w:r>
          </w:p>
        </w:tc>
        <w:tc>
          <w:tcPr>
            <w:tcW w:w="1175" w:type="dxa"/>
          </w:tcPr>
          <w:p w14:paraId="6B0643AD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n. s.</w:t>
            </w:r>
          </w:p>
        </w:tc>
      </w:tr>
      <w:tr w:rsidR="00391E0A" w:rsidRPr="00B76F54" w14:paraId="53182E35" w14:textId="77777777" w:rsidTr="00DB69D6">
        <w:trPr>
          <w:trHeight w:val="441"/>
        </w:trPr>
        <w:tc>
          <w:tcPr>
            <w:tcW w:w="2355" w:type="dxa"/>
          </w:tcPr>
          <w:p w14:paraId="62CE2389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Alcohol consumption </w:t>
            </w:r>
          </w:p>
        </w:tc>
        <w:tc>
          <w:tcPr>
            <w:tcW w:w="1785" w:type="dxa"/>
          </w:tcPr>
          <w:p w14:paraId="19362B1E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89.1% </w:t>
            </w:r>
          </w:p>
          <w:p w14:paraId="17C584F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(N=313)</w:t>
            </w:r>
          </w:p>
          <w:p w14:paraId="4E20EA66" w14:textId="4C5C9B7A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</w:tcPr>
          <w:p w14:paraId="5FCD365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89.7% </w:t>
            </w:r>
          </w:p>
          <w:p w14:paraId="5EAAF8BB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(N=1066)</w:t>
            </w:r>
          </w:p>
        </w:tc>
        <w:tc>
          <w:tcPr>
            <w:tcW w:w="1722" w:type="dxa"/>
          </w:tcPr>
          <w:p w14:paraId="6014F633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89.6% </w:t>
            </w:r>
          </w:p>
          <w:p w14:paraId="1F35DB5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(N=1379)</w:t>
            </w:r>
          </w:p>
        </w:tc>
        <w:tc>
          <w:tcPr>
            <w:tcW w:w="1175" w:type="dxa"/>
          </w:tcPr>
          <w:p w14:paraId="702B95A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n. s.</w:t>
            </w:r>
          </w:p>
        </w:tc>
      </w:tr>
      <w:tr w:rsidR="00391E0A" w:rsidRPr="00B76F54" w14:paraId="6205D1E9" w14:textId="77777777" w:rsidTr="00DB69D6">
        <w:trPr>
          <w:trHeight w:val="657"/>
        </w:trPr>
        <w:tc>
          <w:tcPr>
            <w:tcW w:w="2355" w:type="dxa"/>
          </w:tcPr>
          <w:p w14:paraId="61B196AC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Years of education</w:t>
            </w:r>
          </w:p>
        </w:tc>
        <w:tc>
          <w:tcPr>
            <w:tcW w:w="1785" w:type="dxa"/>
          </w:tcPr>
          <w:p w14:paraId="10596750" w14:textId="50DD1432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13</w:t>
            </w:r>
          </w:p>
          <w:p w14:paraId="6EA0C13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IQR 11.5 – 16 </w:t>
            </w:r>
          </w:p>
          <w:p w14:paraId="3799DE33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(N=229)</w:t>
            </w:r>
          </w:p>
          <w:p w14:paraId="2821BB8B" w14:textId="0F89E16D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93" w:type="dxa"/>
          </w:tcPr>
          <w:p w14:paraId="3124858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median 14</w:t>
            </w:r>
          </w:p>
          <w:p w14:paraId="6122A70A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 – 18</w:t>
            </w:r>
          </w:p>
          <w:p w14:paraId="096F0A2C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(N=818)</w:t>
            </w:r>
          </w:p>
        </w:tc>
        <w:tc>
          <w:tcPr>
            <w:tcW w:w="1722" w:type="dxa"/>
          </w:tcPr>
          <w:p w14:paraId="03E5DDCE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 xml:space="preserve">median 13.5 </w:t>
            </w:r>
          </w:p>
          <w:p w14:paraId="247AD49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IQR 11.5 – 18</w:t>
            </w:r>
          </w:p>
          <w:p w14:paraId="1739A96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(N=1047)</w:t>
            </w:r>
          </w:p>
        </w:tc>
        <w:tc>
          <w:tcPr>
            <w:tcW w:w="1175" w:type="dxa"/>
          </w:tcPr>
          <w:p w14:paraId="1A23948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bCs/>
                <w:lang w:val="en-US"/>
              </w:rPr>
            </w:pPr>
            <w:r w:rsidRPr="00B76F54">
              <w:rPr>
                <w:rFonts w:ascii="Arial" w:hAnsi="Arial" w:cs="Arial"/>
                <w:bCs/>
                <w:lang w:val="en-US"/>
              </w:rPr>
              <w:t>0.037*</w:t>
            </w:r>
          </w:p>
        </w:tc>
      </w:tr>
      <w:tr w:rsidR="00391E0A" w:rsidRPr="00B76F54" w14:paraId="575DD18D" w14:textId="77777777" w:rsidTr="00DB69D6">
        <w:trPr>
          <w:trHeight w:val="441"/>
        </w:trPr>
        <w:tc>
          <w:tcPr>
            <w:tcW w:w="2355" w:type="dxa"/>
          </w:tcPr>
          <w:p w14:paraId="1452D3CE" w14:textId="1BEDDEB5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Living alone</w:t>
            </w:r>
          </w:p>
        </w:tc>
        <w:tc>
          <w:tcPr>
            <w:tcW w:w="1785" w:type="dxa"/>
          </w:tcPr>
          <w:p w14:paraId="4894387D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38.9% </w:t>
            </w:r>
          </w:p>
          <w:p w14:paraId="7947E52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(N=270)</w:t>
            </w:r>
          </w:p>
        </w:tc>
        <w:tc>
          <w:tcPr>
            <w:tcW w:w="1793" w:type="dxa"/>
          </w:tcPr>
          <w:p w14:paraId="562F0FE3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39.2% </w:t>
            </w:r>
          </w:p>
          <w:p w14:paraId="66816814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(N=988)</w:t>
            </w:r>
          </w:p>
        </w:tc>
        <w:tc>
          <w:tcPr>
            <w:tcW w:w="1722" w:type="dxa"/>
          </w:tcPr>
          <w:p w14:paraId="0D82C7B2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 xml:space="preserve">39.1% </w:t>
            </w:r>
          </w:p>
          <w:p w14:paraId="6D33B7E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(N=1258)</w:t>
            </w:r>
          </w:p>
        </w:tc>
        <w:tc>
          <w:tcPr>
            <w:tcW w:w="1175" w:type="dxa"/>
          </w:tcPr>
          <w:p w14:paraId="7421FFC3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76F54">
              <w:rPr>
                <w:rFonts w:ascii="Arial" w:hAnsi="Arial" w:cs="Arial"/>
                <w:lang w:val="en-US"/>
              </w:rPr>
              <w:t>n. s.</w:t>
            </w:r>
          </w:p>
        </w:tc>
      </w:tr>
      <w:tr w:rsidR="00391E0A" w:rsidRPr="00B76F54" w14:paraId="058AA29B" w14:textId="77777777" w:rsidTr="00DB69D6">
        <w:trPr>
          <w:trHeight w:val="215"/>
        </w:trPr>
        <w:tc>
          <w:tcPr>
            <w:tcW w:w="2355" w:type="dxa"/>
            <w:tcBorders>
              <w:bottom w:val="single" w:sz="4" w:space="0" w:color="auto"/>
            </w:tcBorders>
          </w:tcPr>
          <w:p w14:paraId="453CF5D9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EB067B0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6086AD51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9B3E939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7606FFA7" w14:textId="77777777" w:rsidR="00391E0A" w:rsidRPr="00B76F54" w:rsidRDefault="00391E0A" w:rsidP="00391E0A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14:paraId="4A55E283" w14:textId="70B199BD" w:rsidR="0068032F" w:rsidRPr="00B76F54" w:rsidRDefault="00511739" w:rsidP="009E4A37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bCs/>
          <w:lang w:val="en-US"/>
        </w:rPr>
        <w:t>Notes and abbreviations;</w:t>
      </w:r>
      <w:r w:rsidR="009E4A37" w:rsidRPr="00B76F54">
        <w:rPr>
          <w:rFonts w:ascii="Arial" w:hAnsi="Arial" w:cs="Arial"/>
          <w:lang w:val="en-US"/>
        </w:rPr>
        <w:t xml:space="preserve"> </w:t>
      </w:r>
      <w:r w:rsidR="00DD5DAC" w:rsidRPr="00B76F54">
        <w:rPr>
          <w:rFonts w:ascii="Arial" w:hAnsi="Arial" w:cs="Arial"/>
          <w:lang w:val="en-US"/>
        </w:rPr>
        <w:t>D</w:t>
      </w:r>
      <w:r w:rsidR="009E4A37" w:rsidRPr="00B76F54">
        <w:rPr>
          <w:rFonts w:ascii="Arial" w:hAnsi="Arial" w:cs="Arial"/>
          <w:lang w:val="en-US"/>
        </w:rPr>
        <w:t xml:space="preserve">ifferences </w:t>
      </w:r>
      <w:r w:rsidR="00DD5DAC" w:rsidRPr="00B76F54">
        <w:rPr>
          <w:rFonts w:ascii="Arial" w:hAnsi="Arial" w:cs="Arial"/>
          <w:lang w:val="en-US"/>
        </w:rPr>
        <w:t>in</w:t>
      </w:r>
      <w:r w:rsidR="00EC4651" w:rsidRPr="00B76F54">
        <w:rPr>
          <w:rFonts w:ascii="Arial" w:hAnsi="Arial" w:cs="Arial"/>
          <w:lang w:val="en-US"/>
        </w:rPr>
        <w:t xml:space="preserve"> participants characteristics</w:t>
      </w:r>
      <w:r w:rsidR="009E4A37" w:rsidRPr="00B76F54">
        <w:rPr>
          <w:rFonts w:ascii="Arial" w:hAnsi="Arial" w:cs="Arial"/>
          <w:lang w:val="en-US"/>
        </w:rPr>
        <w:t xml:space="preserve"> between PIM user</w:t>
      </w:r>
      <w:r w:rsidR="00DD57E5" w:rsidRPr="00B76F54">
        <w:rPr>
          <w:rFonts w:ascii="Arial" w:hAnsi="Arial" w:cs="Arial"/>
          <w:lang w:val="en-US"/>
        </w:rPr>
        <w:t>s</w:t>
      </w:r>
      <w:r w:rsidR="009E4A37" w:rsidRPr="00B76F54">
        <w:rPr>
          <w:rFonts w:ascii="Arial" w:hAnsi="Arial" w:cs="Arial"/>
          <w:lang w:val="en-US"/>
        </w:rPr>
        <w:t xml:space="preserve"> and </w:t>
      </w:r>
      <w:r w:rsidR="00D945C0" w:rsidRPr="00B76F54">
        <w:rPr>
          <w:rFonts w:ascii="Arial" w:hAnsi="Arial" w:cs="Arial"/>
          <w:lang w:val="en-US"/>
        </w:rPr>
        <w:t>n</w:t>
      </w:r>
      <w:r w:rsidR="009E4A37" w:rsidRPr="00B76F54">
        <w:rPr>
          <w:rFonts w:ascii="Arial" w:hAnsi="Arial" w:cs="Arial"/>
          <w:lang w:val="en-US"/>
        </w:rPr>
        <w:t>on-PIM user</w:t>
      </w:r>
      <w:r w:rsidR="00DD57E5" w:rsidRPr="00B76F54">
        <w:rPr>
          <w:rFonts w:ascii="Arial" w:hAnsi="Arial" w:cs="Arial"/>
          <w:lang w:val="en-US"/>
        </w:rPr>
        <w:t>s</w:t>
      </w:r>
      <w:r w:rsidR="009E4A37" w:rsidRPr="00B76F54">
        <w:rPr>
          <w:rFonts w:ascii="Arial" w:hAnsi="Arial" w:cs="Arial"/>
          <w:lang w:val="en-US"/>
        </w:rPr>
        <w:t>.</w:t>
      </w:r>
      <w:r w:rsidR="0068032F" w:rsidRPr="00B76F54">
        <w:rPr>
          <w:rFonts w:ascii="Arial" w:hAnsi="Arial" w:cs="Arial"/>
          <w:lang w:val="en-US"/>
        </w:rPr>
        <w:t xml:space="preserve"> The proportion of </w:t>
      </w:r>
      <w:r w:rsidR="00D07FE6" w:rsidRPr="00B76F54">
        <w:rPr>
          <w:rFonts w:ascii="Arial" w:hAnsi="Arial" w:cs="Arial"/>
          <w:lang w:val="en-US"/>
        </w:rPr>
        <w:t>women</w:t>
      </w:r>
      <w:r w:rsidR="0068032F" w:rsidRPr="00B76F54">
        <w:rPr>
          <w:rFonts w:ascii="Arial" w:hAnsi="Arial" w:cs="Arial"/>
          <w:lang w:val="en-US"/>
        </w:rPr>
        <w:t xml:space="preserve">, the number of regular medications and the morbidity index was significantly higher among PIM users </w:t>
      </w:r>
      <w:r w:rsidR="0068032F" w:rsidRPr="00B76F54">
        <w:rPr>
          <w:rFonts w:ascii="Arial" w:hAnsi="Arial" w:cs="Arial"/>
          <w:lang w:val="en-US"/>
        </w:rPr>
        <w:fldChar w:fldCharType="begin">
          <w:fldData xml:space="preserve">PEVuZE5vdGU+PENpdGU+PEF1dGhvcj5Ub2VwZmVyPC9BdXRob3I+PFllYXI+MjAxOTwvWWVhcj48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</w:fldData>
        </w:fldChar>
      </w:r>
      <w:r w:rsidR="0068032F" w:rsidRPr="00B76F54">
        <w:rPr>
          <w:rFonts w:ascii="Arial" w:hAnsi="Arial" w:cs="Arial"/>
          <w:lang w:val="en-US"/>
        </w:rPr>
        <w:instrText xml:space="preserve"> ADDIN EN.CITE </w:instrText>
      </w:r>
      <w:r w:rsidR="0068032F" w:rsidRPr="00B76F54">
        <w:rPr>
          <w:rFonts w:ascii="Arial" w:hAnsi="Arial" w:cs="Arial"/>
          <w:lang w:val="en-US"/>
        </w:rPr>
        <w:fldChar w:fldCharType="begin">
          <w:fldData xml:space="preserve">PEVuZE5vdGU+PENpdGU+PEF1dGhvcj5Ub2VwZmVyPC9BdXRob3I+PFllYXI+MjAxOTwvWWVhcj48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</w:fldData>
        </w:fldChar>
      </w:r>
      <w:r w:rsidR="0068032F" w:rsidRPr="00B76F54">
        <w:rPr>
          <w:rFonts w:ascii="Arial" w:hAnsi="Arial" w:cs="Arial"/>
          <w:lang w:val="en-US"/>
        </w:rPr>
        <w:instrText xml:space="preserve"> ADDIN EN.CITE.DATA </w:instrText>
      </w:r>
      <w:r w:rsidR="0068032F" w:rsidRPr="00B76F54">
        <w:rPr>
          <w:rFonts w:ascii="Arial" w:hAnsi="Arial" w:cs="Arial"/>
          <w:lang w:val="en-US"/>
        </w:rPr>
      </w:r>
      <w:r w:rsidR="0068032F" w:rsidRPr="00B76F54">
        <w:rPr>
          <w:rFonts w:ascii="Arial" w:hAnsi="Arial" w:cs="Arial"/>
          <w:lang w:val="en-US"/>
        </w:rPr>
        <w:fldChar w:fldCharType="end"/>
      </w:r>
      <w:r w:rsidR="0068032F" w:rsidRPr="00B76F54">
        <w:rPr>
          <w:rFonts w:ascii="Arial" w:hAnsi="Arial" w:cs="Arial"/>
          <w:lang w:val="en-US"/>
        </w:rPr>
      </w:r>
      <w:r w:rsidR="0068032F" w:rsidRPr="00B76F54">
        <w:rPr>
          <w:rFonts w:ascii="Arial" w:hAnsi="Arial" w:cs="Arial"/>
          <w:lang w:val="en-US"/>
        </w:rPr>
        <w:fldChar w:fldCharType="separate"/>
      </w:r>
      <w:r w:rsidR="0068032F" w:rsidRPr="00B76F54">
        <w:rPr>
          <w:rFonts w:ascii="Arial" w:hAnsi="Arial" w:cs="Arial"/>
          <w:noProof/>
          <w:lang w:val="en-US"/>
        </w:rPr>
        <w:t>[1]</w:t>
      </w:r>
      <w:r w:rsidR="0068032F" w:rsidRPr="00B76F54">
        <w:rPr>
          <w:rFonts w:ascii="Arial" w:hAnsi="Arial" w:cs="Arial"/>
          <w:lang w:val="en-US"/>
        </w:rPr>
        <w:fldChar w:fldCharType="end"/>
      </w:r>
      <w:r w:rsidR="0068032F" w:rsidRPr="00B76F54">
        <w:rPr>
          <w:rFonts w:ascii="Arial" w:hAnsi="Arial" w:cs="Arial"/>
          <w:lang w:val="en-US"/>
        </w:rPr>
        <w:t xml:space="preserve">.  </w:t>
      </w:r>
    </w:p>
    <w:p w14:paraId="328CCE61" w14:textId="5D922302" w:rsidR="009E4A37" w:rsidRPr="00B76F54" w:rsidRDefault="00570DEA" w:rsidP="009E4A37">
      <w:pPr>
        <w:pStyle w:val="KeinLeerraum"/>
        <w:rPr>
          <w:rFonts w:ascii="Arial" w:hAnsi="Arial" w:cs="Arial"/>
          <w:lang w:val="en-US"/>
        </w:rPr>
      </w:pPr>
      <w:r w:rsidRPr="00B76F54">
        <w:rPr>
          <w:rFonts w:ascii="Arial" w:hAnsi="Arial" w:cs="Arial"/>
          <w:lang w:val="en-US"/>
        </w:rPr>
        <w:t>In non-PIM users time</w:t>
      </w:r>
      <w:r w:rsidR="009E4A37" w:rsidRPr="00B76F54">
        <w:rPr>
          <w:rFonts w:ascii="Arial" w:hAnsi="Arial" w:cs="Arial"/>
          <w:lang w:val="en-US"/>
        </w:rPr>
        <w:t xml:space="preserve"> of education was significantly </w:t>
      </w:r>
      <w:r w:rsidRPr="00B76F54">
        <w:rPr>
          <w:rFonts w:ascii="Arial" w:hAnsi="Arial" w:cs="Arial"/>
          <w:lang w:val="en-US"/>
        </w:rPr>
        <w:t>longer</w:t>
      </w:r>
      <w:r w:rsidR="00A120B0" w:rsidRPr="00B76F54">
        <w:rPr>
          <w:rFonts w:ascii="Arial" w:hAnsi="Arial" w:cs="Arial"/>
          <w:lang w:val="en-US"/>
        </w:rPr>
        <w:t xml:space="preserve"> </w:t>
      </w:r>
      <w:r w:rsidR="009E4A37" w:rsidRPr="00B76F54">
        <w:rPr>
          <w:rFonts w:ascii="Arial" w:hAnsi="Arial" w:cs="Arial"/>
          <w:lang w:val="en-US"/>
        </w:rPr>
        <w:t>(Mann-Whitney U test, p</w:t>
      </w:r>
      <w:r w:rsidR="00772272" w:rsidRPr="00B76F54">
        <w:rPr>
          <w:rFonts w:ascii="Arial" w:hAnsi="Arial" w:cs="Arial"/>
          <w:lang w:val="en-US"/>
        </w:rPr>
        <w:t xml:space="preserve"> </w:t>
      </w:r>
      <w:r w:rsidR="009E4A37" w:rsidRPr="00B76F54">
        <w:rPr>
          <w:rFonts w:ascii="Arial" w:hAnsi="Arial" w:cs="Arial"/>
          <w:lang w:val="en-US"/>
        </w:rPr>
        <w:t>=</w:t>
      </w:r>
      <w:r w:rsidR="00772272" w:rsidRPr="00B76F54">
        <w:rPr>
          <w:rFonts w:ascii="Arial" w:hAnsi="Arial" w:cs="Arial"/>
          <w:lang w:val="en-US"/>
        </w:rPr>
        <w:t xml:space="preserve"> </w:t>
      </w:r>
      <w:r w:rsidR="009E4A37" w:rsidRPr="00B76F54">
        <w:rPr>
          <w:rFonts w:ascii="Arial" w:hAnsi="Arial" w:cs="Arial"/>
          <w:lang w:val="en-US"/>
        </w:rPr>
        <w:t>0.037).</w:t>
      </w:r>
      <w:r w:rsidR="003570FB" w:rsidRPr="00B76F54">
        <w:rPr>
          <w:rFonts w:ascii="Arial" w:hAnsi="Arial" w:cs="Arial"/>
          <w:lang w:val="en-US"/>
        </w:rPr>
        <w:t xml:space="preserve"> </w:t>
      </w:r>
      <w:r w:rsidR="00735959" w:rsidRPr="00B76F54">
        <w:rPr>
          <w:rFonts w:ascii="Arial" w:hAnsi="Arial" w:cs="Arial"/>
          <w:lang w:val="en-US"/>
        </w:rPr>
        <w:t>PIM, potentially inappropriate medication; BMI, body mass index; IQR, interquartile range</w:t>
      </w:r>
      <w:r w:rsidR="00D67DDB" w:rsidRPr="00B76F54">
        <w:rPr>
          <w:rFonts w:ascii="Arial" w:hAnsi="Arial" w:cs="Arial"/>
          <w:lang w:val="en-US"/>
        </w:rPr>
        <w:t>; n. s., not significant</w:t>
      </w:r>
    </w:p>
    <w:p w14:paraId="5ED6304F" w14:textId="0FAF9AEB" w:rsidR="009E4A37" w:rsidRPr="00B76F54" w:rsidRDefault="009E4A37" w:rsidP="009E4A37">
      <w:pPr>
        <w:spacing w:line="480" w:lineRule="auto"/>
        <w:jc w:val="both"/>
        <w:rPr>
          <w:rFonts w:ascii="Arial" w:hAnsi="Arial" w:cs="Arial"/>
          <w:szCs w:val="28"/>
          <w:lang w:val="en-US"/>
        </w:rPr>
      </w:pPr>
    </w:p>
    <w:p w14:paraId="5ED6DD38" w14:textId="77777777" w:rsidR="006B23D0" w:rsidRPr="00B76F54" w:rsidRDefault="006B23D0" w:rsidP="009E4A37">
      <w:pPr>
        <w:spacing w:line="480" w:lineRule="auto"/>
        <w:jc w:val="both"/>
        <w:rPr>
          <w:rFonts w:ascii="Arial" w:hAnsi="Arial" w:cs="Arial"/>
          <w:szCs w:val="28"/>
          <w:lang w:val="en-US"/>
        </w:rPr>
      </w:pPr>
    </w:p>
    <w:p w14:paraId="2D402CC8" w14:textId="77777777" w:rsidR="005D725B" w:rsidRDefault="005D725B" w:rsidP="00794314">
      <w:pPr>
        <w:pStyle w:val="KeinLeerraum"/>
        <w:rPr>
          <w:rFonts w:ascii="Arial" w:hAnsi="Arial" w:cs="Arial"/>
          <w:bCs/>
          <w:lang w:val="en-US"/>
        </w:rPr>
      </w:pPr>
    </w:p>
    <w:p w14:paraId="74FF6CC1" w14:textId="77777777" w:rsidR="00404737" w:rsidRDefault="00404737" w:rsidP="00FE470A">
      <w:pPr>
        <w:pStyle w:val="KeinLeerraum"/>
        <w:rPr>
          <w:rFonts w:ascii="Arial" w:hAnsi="Arial" w:cs="Arial"/>
          <w:bCs/>
          <w:lang w:val="en-US"/>
        </w:rPr>
      </w:pPr>
    </w:p>
    <w:p w14:paraId="7A89713A" w14:textId="4E48D1DE" w:rsidR="0068032F" w:rsidRPr="00B3516E" w:rsidRDefault="00404737" w:rsidP="00B3516E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762D32">
        <w:rPr>
          <w:rFonts w:ascii="Arial" w:hAnsi="Arial" w:cs="Arial"/>
          <w:b/>
          <w:lang w:val="en-US"/>
        </w:rPr>
        <w:t>References</w:t>
      </w:r>
    </w:p>
    <w:p w14:paraId="37D8B751" w14:textId="77777777" w:rsidR="00E10521" w:rsidRPr="00E10521" w:rsidRDefault="0068032F" w:rsidP="00E10521">
      <w:pPr>
        <w:pStyle w:val="EndNoteBibliography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="00E10521" w:rsidRPr="00E10521">
        <w:rPr>
          <w:noProof/>
        </w:rPr>
        <w:t>1.</w:t>
      </w:r>
      <w:r w:rsidR="00E10521" w:rsidRPr="00E10521">
        <w:rPr>
          <w:noProof/>
        </w:rPr>
        <w:tab/>
        <w:t xml:space="preserve">Toepfer S, Bolbrinker J, Konig M, Steinhagen-Thiessen E, Kreutz R, Demuth I. Potentially inappropriate medication in older participants of the Berlin Aging Study II (BASE-II) - Sex differences </w:t>
      </w:r>
      <w:r w:rsidR="00E10521" w:rsidRPr="00E10521">
        <w:rPr>
          <w:noProof/>
        </w:rPr>
        <w:lastRenderedPageBreak/>
        <w:t>and associations with morbidity and medication use. PLoS One. 2019;14(12):e0226511. Epub 2019/12/31. doi: 10.1371/journal.pone.0226511. PubMed PMID: 31887163.</w:t>
      </w:r>
    </w:p>
    <w:p w14:paraId="38CBC1E1" w14:textId="66B138B0" w:rsidR="00B14DAC" w:rsidRPr="00802CC9" w:rsidRDefault="0068032F" w:rsidP="00794314">
      <w:pPr>
        <w:pStyle w:val="KeinLeerraum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sectPr w:rsidR="00B14DAC" w:rsidRPr="00802CC9" w:rsidSect="00B76F54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72F7" w14:textId="77777777" w:rsidR="00307FB5" w:rsidRDefault="00307FB5" w:rsidP="00F26B71">
      <w:pPr>
        <w:spacing w:after="0" w:line="240" w:lineRule="auto"/>
      </w:pPr>
      <w:r>
        <w:separator/>
      </w:r>
    </w:p>
  </w:endnote>
  <w:endnote w:type="continuationSeparator" w:id="0">
    <w:p w14:paraId="1584FA18" w14:textId="77777777" w:rsidR="00307FB5" w:rsidRDefault="00307FB5" w:rsidP="00F2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148170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87F157" w14:textId="468EADE9" w:rsidR="005B1918" w:rsidRDefault="005B1918" w:rsidP="008E38D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2F87" w14:textId="77777777" w:rsidR="005B1918" w:rsidRDefault="005B19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2745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A015C37" w14:textId="3DFA72A0" w:rsidR="005B1918" w:rsidRDefault="005B1918" w:rsidP="005B191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E34974"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44BFAA28" w14:textId="77777777" w:rsidR="005B1918" w:rsidRDefault="005B19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564B" w14:textId="77777777" w:rsidR="00307FB5" w:rsidRDefault="00307FB5" w:rsidP="00F26B71">
      <w:pPr>
        <w:spacing w:after="0" w:line="240" w:lineRule="auto"/>
      </w:pPr>
      <w:r>
        <w:separator/>
      </w:r>
    </w:p>
  </w:footnote>
  <w:footnote w:type="continuationSeparator" w:id="0">
    <w:p w14:paraId="66901464" w14:textId="77777777" w:rsidR="00307FB5" w:rsidRDefault="00307FB5" w:rsidP="00F2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208"/>
    <w:multiLevelType w:val="hybridMultilevel"/>
    <w:tmpl w:val="D026F228"/>
    <w:lvl w:ilvl="0" w:tplc="5D02A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8F1"/>
    <w:multiLevelType w:val="hybridMultilevel"/>
    <w:tmpl w:val="3FBED4F6"/>
    <w:lvl w:ilvl="0" w:tplc="732CC0F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2ECF"/>
    <w:multiLevelType w:val="hybridMultilevel"/>
    <w:tmpl w:val="5DB6666C"/>
    <w:lvl w:ilvl="0" w:tplc="28D26B92">
      <w:start w:val="5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d59er0prdsatertrkpwws1tpev5fzxprsz&quot;&gt;My EndNote Library&lt;record-ids&gt;&lt;item&gt;381&lt;/item&gt;&lt;/record-ids&gt;&lt;/item&gt;&lt;/Libraries&gt;"/>
  </w:docVars>
  <w:rsids>
    <w:rsidRoot w:val="00EC2150"/>
    <w:rsid w:val="0000517B"/>
    <w:rsid w:val="00011746"/>
    <w:rsid w:val="00027E77"/>
    <w:rsid w:val="0003640D"/>
    <w:rsid w:val="00044CD8"/>
    <w:rsid w:val="00056B6C"/>
    <w:rsid w:val="00064153"/>
    <w:rsid w:val="000720D2"/>
    <w:rsid w:val="00094DDE"/>
    <w:rsid w:val="000A1FD7"/>
    <w:rsid w:val="000A2762"/>
    <w:rsid w:val="000A3F33"/>
    <w:rsid w:val="000A6B4C"/>
    <w:rsid w:val="000B6DD1"/>
    <w:rsid w:val="000C7029"/>
    <w:rsid w:val="000F7173"/>
    <w:rsid w:val="0010095E"/>
    <w:rsid w:val="001040B5"/>
    <w:rsid w:val="00114138"/>
    <w:rsid w:val="0012326A"/>
    <w:rsid w:val="00124DD2"/>
    <w:rsid w:val="00140CA3"/>
    <w:rsid w:val="0015181E"/>
    <w:rsid w:val="00152286"/>
    <w:rsid w:val="0016045E"/>
    <w:rsid w:val="001607B6"/>
    <w:rsid w:val="001649C0"/>
    <w:rsid w:val="001679D6"/>
    <w:rsid w:val="00171BF8"/>
    <w:rsid w:val="00173C18"/>
    <w:rsid w:val="001870D4"/>
    <w:rsid w:val="001914D7"/>
    <w:rsid w:val="001A543E"/>
    <w:rsid w:val="001B7777"/>
    <w:rsid w:val="001D2081"/>
    <w:rsid w:val="001D2478"/>
    <w:rsid w:val="001E3384"/>
    <w:rsid w:val="001F0AB7"/>
    <w:rsid w:val="001F3202"/>
    <w:rsid w:val="001F3D03"/>
    <w:rsid w:val="001F7D7A"/>
    <w:rsid w:val="00205C0C"/>
    <w:rsid w:val="00206C1C"/>
    <w:rsid w:val="00220D5C"/>
    <w:rsid w:val="00225A5E"/>
    <w:rsid w:val="00243002"/>
    <w:rsid w:val="002471CB"/>
    <w:rsid w:val="0026206A"/>
    <w:rsid w:val="00280815"/>
    <w:rsid w:val="00295E75"/>
    <w:rsid w:val="002A2F7A"/>
    <w:rsid w:val="002C09B8"/>
    <w:rsid w:val="002C7023"/>
    <w:rsid w:val="002D40C0"/>
    <w:rsid w:val="002E3812"/>
    <w:rsid w:val="002E3DF6"/>
    <w:rsid w:val="002F249C"/>
    <w:rsid w:val="0030218A"/>
    <w:rsid w:val="003027F2"/>
    <w:rsid w:val="00305264"/>
    <w:rsid w:val="003054FE"/>
    <w:rsid w:val="00305746"/>
    <w:rsid w:val="00307FB5"/>
    <w:rsid w:val="00313D44"/>
    <w:rsid w:val="003148F8"/>
    <w:rsid w:val="003212C3"/>
    <w:rsid w:val="00321B17"/>
    <w:rsid w:val="0033602A"/>
    <w:rsid w:val="003570FB"/>
    <w:rsid w:val="00357FBE"/>
    <w:rsid w:val="003803AA"/>
    <w:rsid w:val="003821BD"/>
    <w:rsid w:val="00384A7E"/>
    <w:rsid w:val="00390C50"/>
    <w:rsid w:val="00391E0A"/>
    <w:rsid w:val="00393DFE"/>
    <w:rsid w:val="003A2121"/>
    <w:rsid w:val="003A3BB5"/>
    <w:rsid w:val="003C2BF9"/>
    <w:rsid w:val="003C57CF"/>
    <w:rsid w:val="003C5BCD"/>
    <w:rsid w:val="003E1A87"/>
    <w:rsid w:val="003E5580"/>
    <w:rsid w:val="003F5362"/>
    <w:rsid w:val="00404737"/>
    <w:rsid w:val="00410550"/>
    <w:rsid w:val="0041388E"/>
    <w:rsid w:val="00416E51"/>
    <w:rsid w:val="00417CDE"/>
    <w:rsid w:val="00424F4D"/>
    <w:rsid w:val="00434C2A"/>
    <w:rsid w:val="0046055C"/>
    <w:rsid w:val="00465AE7"/>
    <w:rsid w:val="004661A8"/>
    <w:rsid w:val="004716C1"/>
    <w:rsid w:val="0047357E"/>
    <w:rsid w:val="00476189"/>
    <w:rsid w:val="00487B9A"/>
    <w:rsid w:val="0049305C"/>
    <w:rsid w:val="004A46FF"/>
    <w:rsid w:val="004B3384"/>
    <w:rsid w:val="004B5431"/>
    <w:rsid w:val="004D1A24"/>
    <w:rsid w:val="004D4C55"/>
    <w:rsid w:val="004E4FA3"/>
    <w:rsid w:val="004F3203"/>
    <w:rsid w:val="004F3F2A"/>
    <w:rsid w:val="00500FFA"/>
    <w:rsid w:val="00511739"/>
    <w:rsid w:val="005201BC"/>
    <w:rsid w:val="00530B0D"/>
    <w:rsid w:val="0053348A"/>
    <w:rsid w:val="00570DEA"/>
    <w:rsid w:val="0057336E"/>
    <w:rsid w:val="00582085"/>
    <w:rsid w:val="005901D2"/>
    <w:rsid w:val="00592874"/>
    <w:rsid w:val="005A4759"/>
    <w:rsid w:val="005A47D2"/>
    <w:rsid w:val="005B1918"/>
    <w:rsid w:val="005B2760"/>
    <w:rsid w:val="005B3991"/>
    <w:rsid w:val="005B3F16"/>
    <w:rsid w:val="005B5042"/>
    <w:rsid w:val="005B5F90"/>
    <w:rsid w:val="005C1149"/>
    <w:rsid w:val="005C2532"/>
    <w:rsid w:val="005D0B17"/>
    <w:rsid w:val="005D1725"/>
    <w:rsid w:val="005D725B"/>
    <w:rsid w:val="005E1437"/>
    <w:rsid w:val="005E2D24"/>
    <w:rsid w:val="005E51D5"/>
    <w:rsid w:val="005F1DEC"/>
    <w:rsid w:val="005F2A75"/>
    <w:rsid w:val="005F6972"/>
    <w:rsid w:val="00600B31"/>
    <w:rsid w:val="00611AC8"/>
    <w:rsid w:val="00613F4B"/>
    <w:rsid w:val="006215C6"/>
    <w:rsid w:val="006265D2"/>
    <w:rsid w:val="00633B78"/>
    <w:rsid w:val="00641B9C"/>
    <w:rsid w:val="00643FA0"/>
    <w:rsid w:val="00654397"/>
    <w:rsid w:val="006550B5"/>
    <w:rsid w:val="0065693A"/>
    <w:rsid w:val="0068032F"/>
    <w:rsid w:val="00683B69"/>
    <w:rsid w:val="0069304B"/>
    <w:rsid w:val="006939CD"/>
    <w:rsid w:val="006A5540"/>
    <w:rsid w:val="006A5B00"/>
    <w:rsid w:val="006A7828"/>
    <w:rsid w:val="006B23D0"/>
    <w:rsid w:val="006C718D"/>
    <w:rsid w:val="006D0965"/>
    <w:rsid w:val="00706709"/>
    <w:rsid w:val="007137C5"/>
    <w:rsid w:val="00724324"/>
    <w:rsid w:val="00735959"/>
    <w:rsid w:val="00765A3C"/>
    <w:rsid w:val="00767900"/>
    <w:rsid w:val="00771D07"/>
    <w:rsid w:val="00772272"/>
    <w:rsid w:val="00777E31"/>
    <w:rsid w:val="00783D2A"/>
    <w:rsid w:val="00785497"/>
    <w:rsid w:val="00794314"/>
    <w:rsid w:val="007A1D26"/>
    <w:rsid w:val="007A6D08"/>
    <w:rsid w:val="007B02F6"/>
    <w:rsid w:val="007B2AC1"/>
    <w:rsid w:val="007B63D9"/>
    <w:rsid w:val="007F1F10"/>
    <w:rsid w:val="0080289D"/>
    <w:rsid w:val="00802CC9"/>
    <w:rsid w:val="00810038"/>
    <w:rsid w:val="0081459C"/>
    <w:rsid w:val="00827AAF"/>
    <w:rsid w:val="008538A3"/>
    <w:rsid w:val="00855D7F"/>
    <w:rsid w:val="00857A60"/>
    <w:rsid w:val="008670AF"/>
    <w:rsid w:val="00872E55"/>
    <w:rsid w:val="008740D7"/>
    <w:rsid w:val="008761FF"/>
    <w:rsid w:val="00884F12"/>
    <w:rsid w:val="008909B1"/>
    <w:rsid w:val="00894162"/>
    <w:rsid w:val="00894546"/>
    <w:rsid w:val="008A20A3"/>
    <w:rsid w:val="008B2395"/>
    <w:rsid w:val="008B2785"/>
    <w:rsid w:val="008B5798"/>
    <w:rsid w:val="008D5AC0"/>
    <w:rsid w:val="008D6FD6"/>
    <w:rsid w:val="008E0882"/>
    <w:rsid w:val="008E3840"/>
    <w:rsid w:val="008E38D6"/>
    <w:rsid w:val="008E6ED9"/>
    <w:rsid w:val="009002A1"/>
    <w:rsid w:val="00924DBE"/>
    <w:rsid w:val="009252DD"/>
    <w:rsid w:val="009352CE"/>
    <w:rsid w:val="00940864"/>
    <w:rsid w:val="00944DEA"/>
    <w:rsid w:val="0095225E"/>
    <w:rsid w:val="00962D22"/>
    <w:rsid w:val="009637C4"/>
    <w:rsid w:val="00964A2D"/>
    <w:rsid w:val="00967AC7"/>
    <w:rsid w:val="0099071A"/>
    <w:rsid w:val="009A2AFB"/>
    <w:rsid w:val="009B5756"/>
    <w:rsid w:val="009C70EC"/>
    <w:rsid w:val="009D3A4B"/>
    <w:rsid w:val="009E4A37"/>
    <w:rsid w:val="009E6D0F"/>
    <w:rsid w:val="009E6EB1"/>
    <w:rsid w:val="00A023F0"/>
    <w:rsid w:val="00A109CD"/>
    <w:rsid w:val="00A120B0"/>
    <w:rsid w:val="00A232B0"/>
    <w:rsid w:val="00A335A3"/>
    <w:rsid w:val="00A4078F"/>
    <w:rsid w:val="00A42399"/>
    <w:rsid w:val="00A717DC"/>
    <w:rsid w:val="00A9235C"/>
    <w:rsid w:val="00A94F5C"/>
    <w:rsid w:val="00A954A3"/>
    <w:rsid w:val="00A956DA"/>
    <w:rsid w:val="00AA30E2"/>
    <w:rsid w:val="00AB6989"/>
    <w:rsid w:val="00AC063C"/>
    <w:rsid w:val="00AC3AFC"/>
    <w:rsid w:val="00AC40D3"/>
    <w:rsid w:val="00AD4116"/>
    <w:rsid w:val="00AD5004"/>
    <w:rsid w:val="00AF1951"/>
    <w:rsid w:val="00AF20B1"/>
    <w:rsid w:val="00AF55C5"/>
    <w:rsid w:val="00AF5FD2"/>
    <w:rsid w:val="00AF6975"/>
    <w:rsid w:val="00AF6D84"/>
    <w:rsid w:val="00B013A0"/>
    <w:rsid w:val="00B102E3"/>
    <w:rsid w:val="00B14DAC"/>
    <w:rsid w:val="00B2026A"/>
    <w:rsid w:val="00B20A08"/>
    <w:rsid w:val="00B20FEA"/>
    <w:rsid w:val="00B270BB"/>
    <w:rsid w:val="00B30887"/>
    <w:rsid w:val="00B3516E"/>
    <w:rsid w:val="00B35AE4"/>
    <w:rsid w:val="00B374EC"/>
    <w:rsid w:val="00B47E33"/>
    <w:rsid w:val="00B5182D"/>
    <w:rsid w:val="00B531F6"/>
    <w:rsid w:val="00B578A6"/>
    <w:rsid w:val="00B61578"/>
    <w:rsid w:val="00B76F54"/>
    <w:rsid w:val="00B9007A"/>
    <w:rsid w:val="00B91217"/>
    <w:rsid w:val="00BA08B7"/>
    <w:rsid w:val="00BA1DC7"/>
    <w:rsid w:val="00BA3320"/>
    <w:rsid w:val="00BA340D"/>
    <w:rsid w:val="00BC167F"/>
    <w:rsid w:val="00BD14B3"/>
    <w:rsid w:val="00BD3312"/>
    <w:rsid w:val="00BE3E44"/>
    <w:rsid w:val="00BF67D4"/>
    <w:rsid w:val="00BF6C86"/>
    <w:rsid w:val="00BF7047"/>
    <w:rsid w:val="00C11144"/>
    <w:rsid w:val="00C12CB4"/>
    <w:rsid w:val="00C14730"/>
    <w:rsid w:val="00C238C6"/>
    <w:rsid w:val="00C424C0"/>
    <w:rsid w:val="00C429D0"/>
    <w:rsid w:val="00C4699D"/>
    <w:rsid w:val="00C5256F"/>
    <w:rsid w:val="00C63B5E"/>
    <w:rsid w:val="00C71122"/>
    <w:rsid w:val="00C75681"/>
    <w:rsid w:val="00C75996"/>
    <w:rsid w:val="00C77B63"/>
    <w:rsid w:val="00C80E22"/>
    <w:rsid w:val="00C81CD6"/>
    <w:rsid w:val="00C85370"/>
    <w:rsid w:val="00C96E67"/>
    <w:rsid w:val="00CB52E5"/>
    <w:rsid w:val="00CC6248"/>
    <w:rsid w:val="00CD62AF"/>
    <w:rsid w:val="00CE354A"/>
    <w:rsid w:val="00CF0B0F"/>
    <w:rsid w:val="00CF4125"/>
    <w:rsid w:val="00D005B7"/>
    <w:rsid w:val="00D06B61"/>
    <w:rsid w:val="00D07FE6"/>
    <w:rsid w:val="00D15C65"/>
    <w:rsid w:val="00D308AB"/>
    <w:rsid w:val="00D335AF"/>
    <w:rsid w:val="00D36AB3"/>
    <w:rsid w:val="00D47C4A"/>
    <w:rsid w:val="00D61065"/>
    <w:rsid w:val="00D67B53"/>
    <w:rsid w:val="00D67DDB"/>
    <w:rsid w:val="00D74F48"/>
    <w:rsid w:val="00D81E7F"/>
    <w:rsid w:val="00D81FA1"/>
    <w:rsid w:val="00D93CF4"/>
    <w:rsid w:val="00D945C0"/>
    <w:rsid w:val="00D96D64"/>
    <w:rsid w:val="00D979FA"/>
    <w:rsid w:val="00DA6AE8"/>
    <w:rsid w:val="00DB10AE"/>
    <w:rsid w:val="00DB69D6"/>
    <w:rsid w:val="00DC793F"/>
    <w:rsid w:val="00DD016D"/>
    <w:rsid w:val="00DD57E5"/>
    <w:rsid w:val="00DD5DAC"/>
    <w:rsid w:val="00DE06A7"/>
    <w:rsid w:val="00DE17AF"/>
    <w:rsid w:val="00DF6293"/>
    <w:rsid w:val="00E018C7"/>
    <w:rsid w:val="00E01F20"/>
    <w:rsid w:val="00E06CFC"/>
    <w:rsid w:val="00E10521"/>
    <w:rsid w:val="00E15A0F"/>
    <w:rsid w:val="00E15EC1"/>
    <w:rsid w:val="00E16677"/>
    <w:rsid w:val="00E17884"/>
    <w:rsid w:val="00E21C39"/>
    <w:rsid w:val="00E24866"/>
    <w:rsid w:val="00E25556"/>
    <w:rsid w:val="00E25EF2"/>
    <w:rsid w:val="00E338D6"/>
    <w:rsid w:val="00E34974"/>
    <w:rsid w:val="00E37D18"/>
    <w:rsid w:val="00E400B9"/>
    <w:rsid w:val="00E509AD"/>
    <w:rsid w:val="00E51342"/>
    <w:rsid w:val="00E55F7C"/>
    <w:rsid w:val="00E56295"/>
    <w:rsid w:val="00E615F1"/>
    <w:rsid w:val="00E6683B"/>
    <w:rsid w:val="00E67ED1"/>
    <w:rsid w:val="00E71AD0"/>
    <w:rsid w:val="00E735FA"/>
    <w:rsid w:val="00E73AEB"/>
    <w:rsid w:val="00E801F1"/>
    <w:rsid w:val="00E85B19"/>
    <w:rsid w:val="00E86036"/>
    <w:rsid w:val="00E87ACC"/>
    <w:rsid w:val="00EA5AF3"/>
    <w:rsid w:val="00EB3C39"/>
    <w:rsid w:val="00EC2150"/>
    <w:rsid w:val="00EC4651"/>
    <w:rsid w:val="00EC5B3C"/>
    <w:rsid w:val="00EE6F73"/>
    <w:rsid w:val="00EF3FA9"/>
    <w:rsid w:val="00EF6226"/>
    <w:rsid w:val="00F07B68"/>
    <w:rsid w:val="00F1081B"/>
    <w:rsid w:val="00F26B71"/>
    <w:rsid w:val="00F41DA0"/>
    <w:rsid w:val="00F45685"/>
    <w:rsid w:val="00F50A85"/>
    <w:rsid w:val="00F52532"/>
    <w:rsid w:val="00F60EC2"/>
    <w:rsid w:val="00F643FA"/>
    <w:rsid w:val="00F91279"/>
    <w:rsid w:val="00F9793A"/>
    <w:rsid w:val="00FB401D"/>
    <w:rsid w:val="00FE470A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C847FF4"/>
  <w15:chartTrackingRefBased/>
  <w15:docId w15:val="{39A2AC00-FD32-C544-983E-8B2DA2A1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A37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A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E4A37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7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730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7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FB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114138"/>
  </w:style>
  <w:style w:type="character" w:styleId="Hervorhebung">
    <w:name w:val="Emphasis"/>
    <w:basedOn w:val="Absatz-Standardschriftart"/>
    <w:uiPriority w:val="20"/>
    <w:qFormat/>
    <w:rsid w:val="00114138"/>
    <w:rPr>
      <w:i/>
      <w:iCs/>
    </w:rPr>
  </w:style>
  <w:style w:type="paragraph" w:customStyle="1" w:styleId="EndNoteBibliographyTitle">
    <w:name w:val="EndNote Bibliography Title"/>
    <w:basedOn w:val="Standard"/>
    <w:link w:val="EndNoteBibliographyTitleZchn"/>
    <w:rsid w:val="0068032F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8032F"/>
    <w:rPr>
      <w:sz w:val="22"/>
      <w:szCs w:val="22"/>
    </w:rPr>
  </w:style>
  <w:style w:type="character" w:customStyle="1" w:styleId="EndNoteBibliographyTitleZchn">
    <w:name w:val="EndNote Bibliography Title Zchn"/>
    <w:basedOn w:val="KeinLeerraumZchn"/>
    <w:link w:val="EndNoteBibliographyTitle"/>
    <w:rsid w:val="0068032F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8032F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Zchn">
    <w:name w:val="EndNote Bibliography Zchn"/>
    <w:basedOn w:val="KeinLeerraumZchn"/>
    <w:link w:val="EndNoteBibliography"/>
    <w:rsid w:val="0068032F"/>
    <w:rPr>
      <w:rFonts w:ascii="Calibri" w:hAnsi="Calibri" w:cs="Calibri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2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6B71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F26B71"/>
  </w:style>
  <w:style w:type="character" w:styleId="Zeilennummer">
    <w:name w:val="line number"/>
    <w:basedOn w:val="Absatz-Standardschriftart"/>
    <w:uiPriority w:val="99"/>
    <w:semiHidden/>
    <w:unhideWhenUsed/>
    <w:rsid w:val="00F2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13F6A-F10C-46FA-ADAD-36A40A79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Philipp Landmann</cp:lastModifiedBy>
  <cp:revision>40</cp:revision>
  <cp:lastPrinted>2020-06-18T16:16:00Z</cp:lastPrinted>
  <dcterms:created xsi:type="dcterms:W3CDTF">2021-04-13T14:49:00Z</dcterms:created>
  <dcterms:modified xsi:type="dcterms:W3CDTF">2021-07-12T15:04:00Z</dcterms:modified>
</cp:coreProperties>
</file>