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F599" w14:textId="3A1A4F65" w:rsidR="00C14730" w:rsidRPr="00B76F54" w:rsidRDefault="00C14730" w:rsidP="00C14730">
      <w:pPr>
        <w:pStyle w:val="KeinLeerraum"/>
        <w:rPr>
          <w:rFonts w:ascii="Arial" w:hAnsi="Arial" w:cs="Arial"/>
          <w:b/>
          <w:lang w:val="en-US"/>
        </w:rPr>
      </w:pPr>
      <w:r w:rsidRPr="00B76F54">
        <w:rPr>
          <w:rFonts w:ascii="Arial" w:hAnsi="Arial" w:cs="Arial"/>
          <w:b/>
          <w:lang w:val="en-US"/>
        </w:rPr>
        <w:t xml:space="preserve">Supplementary </w:t>
      </w:r>
      <w:r w:rsidR="00F52532" w:rsidRPr="00B76F54">
        <w:rPr>
          <w:rFonts w:ascii="Arial" w:hAnsi="Arial" w:cs="Arial"/>
          <w:b/>
          <w:lang w:val="en-US"/>
        </w:rPr>
        <w:t>T</w:t>
      </w:r>
      <w:r w:rsidRPr="00B76F54">
        <w:rPr>
          <w:rFonts w:ascii="Arial" w:hAnsi="Arial" w:cs="Arial"/>
          <w:b/>
          <w:lang w:val="en-US"/>
        </w:rPr>
        <w:t xml:space="preserve">able </w:t>
      </w:r>
      <w:r w:rsidR="00D61065" w:rsidRPr="00B76F54">
        <w:rPr>
          <w:rFonts w:ascii="Arial" w:hAnsi="Arial" w:cs="Arial"/>
          <w:b/>
          <w:lang w:val="en-US"/>
        </w:rPr>
        <w:t>2</w:t>
      </w:r>
      <w:r w:rsidRPr="00B76F54">
        <w:rPr>
          <w:rFonts w:ascii="Arial" w:hAnsi="Arial" w:cs="Arial"/>
          <w:b/>
          <w:lang w:val="en-US"/>
        </w:rPr>
        <w:t xml:space="preserve">. </w:t>
      </w:r>
      <w:r w:rsidR="00E018C7" w:rsidRPr="00B76F54">
        <w:rPr>
          <w:rFonts w:ascii="Arial" w:hAnsi="Arial" w:cs="Arial"/>
          <w:b/>
          <w:lang w:val="en-US"/>
        </w:rPr>
        <w:t>A</w:t>
      </w:r>
      <w:r w:rsidRPr="00B76F54">
        <w:rPr>
          <w:rFonts w:ascii="Arial" w:hAnsi="Arial" w:cs="Arial"/>
          <w:b/>
          <w:lang w:val="en-US"/>
        </w:rPr>
        <w:t>ssessment</w:t>
      </w:r>
      <w:r w:rsidR="00B20A08" w:rsidRPr="00B76F54">
        <w:rPr>
          <w:rFonts w:ascii="Arial" w:hAnsi="Arial" w:cs="Arial"/>
          <w:b/>
          <w:lang w:val="en-US"/>
        </w:rPr>
        <w:t xml:space="preserve"> </w:t>
      </w:r>
      <w:r w:rsidR="00E018C7" w:rsidRPr="00B76F54">
        <w:rPr>
          <w:rFonts w:ascii="Arial" w:hAnsi="Arial" w:cs="Arial"/>
          <w:b/>
          <w:lang w:val="en-US"/>
        </w:rPr>
        <w:t xml:space="preserve">characteristics </w:t>
      </w:r>
      <w:r w:rsidR="008B2395" w:rsidRPr="00B76F54">
        <w:rPr>
          <w:rFonts w:ascii="Arial" w:hAnsi="Arial" w:cs="Arial"/>
          <w:b/>
          <w:lang w:val="en-US"/>
        </w:rPr>
        <w:t>of</w:t>
      </w:r>
      <w:r w:rsidR="00B20A08" w:rsidRPr="00B76F54">
        <w:rPr>
          <w:rFonts w:ascii="Arial" w:hAnsi="Arial" w:cs="Arial"/>
          <w:b/>
          <w:lang w:val="en-US"/>
        </w:rPr>
        <w:t xml:space="preserve"> the overall study population</w:t>
      </w:r>
    </w:p>
    <w:p w14:paraId="4B24CB1E" w14:textId="77777777" w:rsidR="00C14730" w:rsidRPr="00B76F54" w:rsidRDefault="00C14730" w:rsidP="00C14730">
      <w:pPr>
        <w:pStyle w:val="KeinLeerraum"/>
        <w:rPr>
          <w:rFonts w:ascii="Arial" w:hAnsi="Arial" w:cs="Arial"/>
          <w:b/>
          <w:lang w:val="en-US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17"/>
        <w:gridCol w:w="3402"/>
        <w:gridCol w:w="992"/>
      </w:tblGrid>
      <w:tr w:rsidR="00C14730" w:rsidRPr="00B76F54" w14:paraId="67E44111" w14:textId="77777777" w:rsidTr="007A6D0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D912440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  <w:p w14:paraId="242889BD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Assessment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38CD02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Maximum score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81DAC28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  <w:p w14:paraId="4562399F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Results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49605A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  <w:p w14:paraId="6E02437F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N</w:t>
            </w:r>
          </w:p>
        </w:tc>
      </w:tr>
      <w:tr w:rsidR="00C14730" w:rsidRPr="00B76F54" w14:paraId="6B2D5DB6" w14:textId="77777777" w:rsidTr="001A0F06">
        <w:tc>
          <w:tcPr>
            <w:tcW w:w="3261" w:type="dxa"/>
            <w:tcBorders>
              <w:top w:val="single" w:sz="4" w:space="0" w:color="auto"/>
            </w:tcBorders>
          </w:tcPr>
          <w:p w14:paraId="3AA1129A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0536739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AABE846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FA94DB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  <w:tr w:rsidR="00C14730" w:rsidRPr="00B76F54" w14:paraId="0642F109" w14:textId="77777777" w:rsidTr="001A0F06">
        <w:tc>
          <w:tcPr>
            <w:tcW w:w="3261" w:type="dxa"/>
          </w:tcPr>
          <w:p w14:paraId="46710C3F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ADL, Barthel index</w:t>
            </w:r>
          </w:p>
          <w:p w14:paraId="79EFB3E9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7BD5E87A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3402" w:type="dxa"/>
          </w:tcPr>
          <w:p w14:paraId="584493D1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median 100 (IQR 100-100)</w:t>
            </w:r>
          </w:p>
          <w:p w14:paraId="5E2EAF54" w14:textId="77777777" w:rsidR="00C14730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range 75-100</w:t>
            </w:r>
          </w:p>
          <w:p w14:paraId="59E7B0BC" w14:textId="2580EDC7" w:rsidR="00BB590D" w:rsidRPr="00B76F54" w:rsidRDefault="00BB590D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14:paraId="28740725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1373</w:t>
            </w:r>
          </w:p>
        </w:tc>
      </w:tr>
      <w:tr w:rsidR="00C14730" w:rsidRPr="00B76F54" w14:paraId="2FCE80D3" w14:textId="77777777" w:rsidTr="001A0F06">
        <w:tc>
          <w:tcPr>
            <w:tcW w:w="3261" w:type="dxa"/>
          </w:tcPr>
          <w:p w14:paraId="51258A89" w14:textId="7CC7DF84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 xml:space="preserve">IADL, Lowton/Brody </w:t>
            </w:r>
            <w:r w:rsidR="006939CD" w:rsidRPr="00B76F54">
              <w:rPr>
                <w:rFonts w:ascii="Arial" w:hAnsi="Arial" w:cs="Arial"/>
                <w:lang w:val="en-US"/>
              </w:rPr>
              <w:t>index</w:t>
            </w:r>
          </w:p>
        </w:tc>
        <w:tc>
          <w:tcPr>
            <w:tcW w:w="1417" w:type="dxa"/>
          </w:tcPr>
          <w:p w14:paraId="28408050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3402" w:type="dxa"/>
          </w:tcPr>
          <w:p w14:paraId="4D874F09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median 8 (IQR 8-8)</w:t>
            </w:r>
          </w:p>
          <w:p w14:paraId="346B1063" w14:textId="77777777" w:rsidR="00C14730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range 6-8</w:t>
            </w:r>
          </w:p>
          <w:p w14:paraId="5AEFDB2B" w14:textId="400900A8" w:rsidR="00BB590D" w:rsidRPr="00B76F54" w:rsidRDefault="00BB590D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14:paraId="3EB7E4BA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1372</w:t>
            </w:r>
          </w:p>
        </w:tc>
      </w:tr>
      <w:tr w:rsidR="00C14730" w:rsidRPr="00B76F54" w14:paraId="35021CD4" w14:textId="77777777" w:rsidTr="001A0F06">
        <w:tc>
          <w:tcPr>
            <w:tcW w:w="3261" w:type="dxa"/>
          </w:tcPr>
          <w:p w14:paraId="2030DC8C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Tinetti mobility test</w:t>
            </w:r>
          </w:p>
          <w:p w14:paraId="0D899BB0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73266495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3402" w:type="dxa"/>
          </w:tcPr>
          <w:p w14:paraId="22EDAA6E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median 28 (IQR 28-28)</w:t>
            </w:r>
          </w:p>
          <w:p w14:paraId="323F1D14" w14:textId="77777777" w:rsidR="00C14730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range 8-28</w:t>
            </w:r>
          </w:p>
          <w:p w14:paraId="12B01302" w14:textId="0A607A43" w:rsidR="00BB590D" w:rsidRPr="00B76F54" w:rsidRDefault="00BB590D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14:paraId="07D5ED6D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1345</w:t>
            </w:r>
          </w:p>
        </w:tc>
      </w:tr>
      <w:tr w:rsidR="00C14730" w:rsidRPr="00B76F54" w14:paraId="44EA414A" w14:textId="77777777" w:rsidTr="001A0F06">
        <w:tc>
          <w:tcPr>
            <w:tcW w:w="3261" w:type="dxa"/>
          </w:tcPr>
          <w:p w14:paraId="2D18CDA1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Timed “Up &amp; Go”</w:t>
            </w:r>
          </w:p>
        </w:tc>
        <w:tc>
          <w:tcPr>
            <w:tcW w:w="1417" w:type="dxa"/>
          </w:tcPr>
          <w:p w14:paraId="2B956072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402" w:type="dxa"/>
          </w:tcPr>
          <w:p w14:paraId="1CA1CFC8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 xml:space="preserve">mean 7.99s ± 1.92s </w:t>
            </w:r>
          </w:p>
          <w:p w14:paraId="78A37B9E" w14:textId="77777777" w:rsidR="00C14730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range 2.94s – 24.30s</w:t>
            </w:r>
          </w:p>
          <w:p w14:paraId="06ACE162" w14:textId="3A4B5FB5" w:rsidR="00BB590D" w:rsidRPr="00B76F54" w:rsidRDefault="00BB590D" w:rsidP="007A6D08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</w:tcPr>
          <w:p w14:paraId="314F2925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1361</w:t>
            </w:r>
          </w:p>
        </w:tc>
      </w:tr>
      <w:tr w:rsidR="00C14730" w:rsidRPr="00B76F54" w14:paraId="4ABB6E8A" w14:textId="77777777" w:rsidTr="001A0F06">
        <w:tc>
          <w:tcPr>
            <w:tcW w:w="3261" w:type="dxa"/>
          </w:tcPr>
          <w:p w14:paraId="69D78D58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Walking speed test, 4m</w:t>
            </w:r>
          </w:p>
        </w:tc>
        <w:tc>
          <w:tcPr>
            <w:tcW w:w="1417" w:type="dxa"/>
          </w:tcPr>
          <w:p w14:paraId="0D566487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402" w:type="dxa"/>
          </w:tcPr>
          <w:p w14:paraId="465B56AD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mean 3.80s ± 0.81s</w:t>
            </w:r>
          </w:p>
          <w:p w14:paraId="150237B8" w14:textId="77777777" w:rsidR="00C14730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range 2.08s – 9.60s</w:t>
            </w:r>
          </w:p>
          <w:p w14:paraId="3918F733" w14:textId="32CA4693" w:rsidR="00BB590D" w:rsidRPr="00B76F54" w:rsidRDefault="00BB590D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14:paraId="0DD03CE4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605</w:t>
            </w:r>
          </w:p>
          <w:p w14:paraId="08BCB6BF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  <w:tr w:rsidR="00C14730" w:rsidRPr="00B76F54" w14:paraId="0FBEC8ED" w14:textId="77777777" w:rsidTr="001A0F06">
        <w:tc>
          <w:tcPr>
            <w:tcW w:w="3261" w:type="dxa"/>
          </w:tcPr>
          <w:p w14:paraId="138C83F8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Handgrip strength, max.</w:t>
            </w:r>
          </w:p>
        </w:tc>
        <w:tc>
          <w:tcPr>
            <w:tcW w:w="1417" w:type="dxa"/>
          </w:tcPr>
          <w:p w14:paraId="10AF80C9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-</w:t>
            </w:r>
          </w:p>
          <w:p w14:paraId="37EC61A2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</w:tcPr>
          <w:p w14:paraId="026A49B0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mean 33.89kg ± 9.53kg</w:t>
            </w:r>
          </w:p>
          <w:p w14:paraId="1C09A8E3" w14:textId="77777777" w:rsidR="00C14730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range 9.5kg – 64.5kg</w:t>
            </w:r>
          </w:p>
          <w:p w14:paraId="4299A381" w14:textId="112037CF" w:rsidR="00BB590D" w:rsidRPr="00B76F54" w:rsidRDefault="00BB590D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14:paraId="1B22590B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1358</w:t>
            </w:r>
          </w:p>
        </w:tc>
      </w:tr>
      <w:tr w:rsidR="00C14730" w:rsidRPr="00B76F54" w14:paraId="1A894631" w14:textId="77777777" w:rsidTr="001A0F06">
        <w:tc>
          <w:tcPr>
            <w:tcW w:w="3261" w:type="dxa"/>
          </w:tcPr>
          <w:p w14:paraId="252EDBFB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Falls in the past 12 months</w:t>
            </w:r>
          </w:p>
          <w:p w14:paraId="11B9E249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232AC38B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402" w:type="dxa"/>
          </w:tcPr>
          <w:p w14:paraId="3A9C67BD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31.1% fell in the last 12 months</w:t>
            </w:r>
          </w:p>
          <w:p w14:paraId="1D449900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14:paraId="6BAE5895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1316</w:t>
            </w:r>
          </w:p>
        </w:tc>
      </w:tr>
      <w:tr w:rsidR="00C14730" w:rsidRPr="00B76F54" w14:paraId="112A42CA" w14:textId="77777777" w:rsidTr="001A0F06">
        <w:tc>
          <w:tcPr>
            <w:tcW w:w="3261" w:type="dxa"/>
          </w:tcPr>
          <w:p w14:paraId="1F56753C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Fried Frailty Score</w:t>
            </w:r>
          </w:p>
          <w:p w14:paraId="52DC3173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6461DA86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402" w:type="dxa"/>
          </w:tcPr>
          <w:p w14:paraId="1909270A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32.8% pre frail/frail</w:t>
            </w:r>
          </w:p>
        </w:tc>
        <w:tc>
          <w:tcPr>
            <w:tcW w:w="992" w:type="dxa"/>
          </w:tcPr>
          <w:p w14:paraId="0F2B74BD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1251</w:t>
            </w:r>
          </w:p>
        </w:tc>
      </w:tr>
      <w:tr w:rsidR="00C14730" w:rsidRPr="00B76F54" w14:paraId="4A8CA7A0" w14:textId="77777777" w:rsidTr="001A0F06">
        <w:tc>
          <w:tcPr>
            <w:tcW w:w="3261" w:type="dxa"/>
          </w:tcPr>
          <w:p w14:paraId="1D5107D7" w14:textId="77777777" w:rsidR="00C14730" w:rsidRPr="00B76F54" w:rsidRDefault="00C14730" w:rsidP="007A6D08">
            <w:pPr>
              <w:rPr>
                <w:rFonts w:ascii="Arial" w:hAnsi="Arial" w:cs="Arial"/>
              </w:rPr>
            </w:pPr>
            <w:r w:rsidRPr="00B76F54">
              <w:rPr>
                <w:rFonts w:ascii="Arial" w:hAnsi="Arial" w:cs="Arial"/>
              </w:rPr>
              <w:t>Mini Nutritional Assessment (MNA)</w:t>
            </w:r>
          </w:p>
        </w:tc>
        <w:tc>
          <w:tcPr>
            <w:tcW w:w="1417" w:type="dxa"/>
          </w:tcPr>
          <w:p w14:paraId="48A68F62" w14:textId="77777777" w:rsidR="00C14730" w:rsidRPr="00B76F54" w:rsidRDefault="00C14730" w:rsidP="007A6D08">
            <w:pPr>
              <w:rPr>
                <w:rFonts w:ascii="Arial" w:hAnsi="Arial" w:cs="Arial"/>
              </w:rPr>
            </w:pPr>
            <w:r w:rsidRPr="00B76F54">
              <w:rPr>
                <w:rFonts w:ascii="Arial" w:hAnsi="Arial" w:cs="Arial"/>
              </w:rPr>
              <w:t>30</w:t>
            </w:r>
          </w:p>
        </w:tc>
        <w:tc>
          <w:tcPr>
            <w:tcW w:w="3402" w:type="dxa"/>
          </w:tcPr>
          <w:p w14:paraId="38D778FF" w14:textId="77777777" w:rsidR="00C14730" w:rsidRPr="00B76F54" w:rsidRDefault="00C14730" w:rsidP="00044CD8">
            <w:pPr>
              <w:spacing w:line="240" w:lineRule="auto"/>
              <w:rPr>
                <w:rFonts w:ascii="Arial" w:hAnsi="Arial" w:cs="Arial"/>
              </w:rPr>
            </w:pPr>
            <w:r w:rsidRPr="00B76F54">
              <w:rPr>
                <w:rFonts w:ascii="Arial" w:hAnsi="Arial" w:cs="Arial"/>
              </w:rPr>
              <w:t xml:space="preserve">median 27.5 (IQR 26.5-28.5) </w:t>
            </w:r>
            <w:r w:rsidR="00044CD8" w:rsidRPr="00B76F54">
              <w:rPr>
                <w:rFonts w:ascii="Arial" w:hAnsi="Arial" w:cs="Arial"/>
              </w:rPr>
              <w:t xml:space="preserve">   </w:t>
            </w:r>
            <w:r w:rsidRPr="00B76F54">
              <w:rPr>
                <w:rFonts w:ascii="Arial" w:hAnsi="Arial" w:cs="Arial"/>
                <w:lang w:val="en-US"/>
              </w:rPr>
              <w:t>range</w:t>
            </w:r>
            <w:r w:rsidRPr="00B76F54">
              <w:rPr>
                <w:rFonts w:ascii="Arial" w:hAnsi="Arial" w:cs="Arial"/>
              </w:rPr>
              <w:t xml:space="preserve"> 19 – 30</w:t>
            </w:r>
          </w:p>
        </w:tc>
        <w:tc>
          <w:tcPr>
            <w:tcW w:w="992" w:type="dxa"/>
          </w:tcPr>
          <w:p w14:paraId="3D4992AC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1333</w:t>
            </w:r>
          </w:p>
        </w:tc>
      </w:tr>
      <w:tr w:rsidR="00C14730" w:rsidRPr="00B76F54" w14:paraId="5770BB14" w14:textId="77777777" w:rsidTr="001A0F06">
        <w:tc>
          <w:tcPr>
            <w:tcW w:w="3261" w:type="dxa"/>
          </w:tcPr>
          <w:p w14:paraId="690BAAFA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Mini Mental State Examination (MMSE)</w:t>
            </w:r>
          </w:p>
          <w:p w14:paraId="7FAB1FEB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57B32F49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3402" w:type="dxa"/>
          </w:tcPr>
          <w:p w14:paraId="349BDBE0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median 29 (IQR 28-30)</w:t>
            </w:r>
          </w:p>
          <w:p w14:paraId="5A4EEA1A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range 20 - 30</w:t>
            </w:r>
          </w:p>
        </w:tc>
        <w:tc>
          <w:tcPr>
            <w:tcW w:w="992" w:type="dxa"/>
          </w:tcPr>
          <w:p w14:paraId="3177AE91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1356</w:t>
            </w:r>
          </w:p>
        </w:tc>
      </w:tr>
      <w:tr w:rsidR="00C14730" w:rsidRPr="00B76F54" w14:paraId="54127711" w14:textId="77777777" w:rsidTr="001A0F06">
        <w:tc>
          <w:tcPr>
            <w:tcW w:w="3261" w:type="dxa"/>
          </w:tcPr>
          <w:p w14:paraId="1AC5D645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Digit-Symbol Substitution test (DSST)</w:t>
            </w:r>
          </w:p>
          <w:p w14:paraId="32B9CD0A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1CFBC669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402" w:type="dxa"/>
          </w:tcPr>
          <w:p w14:paraId="01F77274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 xml:space="preserve">mean 44.0 ± 8.4 </w:t>
            </w:r>
          </w:p>
          <w:p w14:paraId="0CEE8A7C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range 5 - 74</w:t>
            </w:r>
          </w:p>
        </w:tc>
        <w:tc>
          <w:tcPr>
            <w:tcW w:w="992" w:type="dxa"/>
          </w:tcPr>
          <w:p w14:paraId="36436F52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1149</w:t>
            </w:r>
          </w:p>
        </w:tc>
      </w:tr>
      <w:tr w:rsidR="00C14730" w:rsidRPr="00B76F54" w14:paraId="679BFDC9" w14:textId="77777777" w:rsidTr="001A0F06">
        <w:tc>
          <w:tcPr>
            <w:tcW w:w="3261" w:type="dxa"/>
          </w:tcPr>
          <w:p w14:paraId="636EB35F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Clock drawing test (Shulman)</w:t>
            </w:r>
          </w:p>
          <w:p w14:paraId="28E42871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53F0443A" w14:textId="23E75EFB" w:rsidR="00C14730" w:rsidRPr="00B76F54" w:rsidRDefault="00545E4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402" w:type="dxa"/>
          </w:tcPr>
          <w:p w14:paraId="6A90C873" w14:textId="77777777" w:rsidR="00C14730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38.3% did not draw a perfect clock</w:t>
            </w:r>
          </w:p>
          <w:p w14:paraId="4376425B" w14:textId="39A0D825" w:rsidR="00BB590D" w:rsidRPr="00B76F54" w:rsidRDefault="00BB590D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14:paraId="2ADC7C5E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1291</w:t>
            </w:r>
          </w:p>
        </w:tc>
      </w:tr>
      <w:tr w:rsidR="00C14730" w:rsidRPr="00B76F54" w14:paraId="11D724C2" w14:textId="77777777" w:rsidTr="001A0F06">
        <w:tc>
          <w:tcPr>
            <w:tcW w:w="3261" w:type="dxa"/>
            <w:tcBorders>
              <w:bottom w:val="single" w:sz="4" w:space="0" w:color="auto"/>
            </w:tcBorders>
          </w:tcPr>
          <w:p w14:paraId="21B41CE5" w14:textId="2147930C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CES-D Scale</w:t>
            </w:r>
          </w:p>
          <w:p w14:paraId="15C55469" w14:textId="34FECBCC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≥16</w:t>
            </w:r>
            <w:r w:rsidR="008D5AC0" w:rsidRPr="00B76F54">
              <w:rPr>
                <w:rFonts w:ascii="Arial" w:hAnsi="Arial" w:cs="Arial"/>
                <w:lang w:val="en-US"/>
              </w:rPr>
              <w:t>,</w:t>
            </w:r>
            <w:r w:rsidRPr="00B76F54">
              <w:rPr>
                <w:rFonts w:ascii="Arial" w:hAnsi="Arial" w:cs="Arial"/>
                <w:lang w:val="en-US"/>
              </w:rPr>
              <w:t xml:space="preserve"> depressive episode possible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44041B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25E4FFC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median 5 (IQR 2-10)</w:t>
            </w:r>
          </w:p>
          <w:p w14:paraId="172F37AA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range 0-36</w:t>
            </w:r>
          </w:p>
          <w:p w14:paraId="09772251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11.5% with a CES-D score ≥16</w:t>
            </w:r>
          </w:p>
          <w:p w14:paraId="3A6C41B0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20C29E" w14:textId="77777777" w:rsidR="00C14730" w:rsidRPr="00B76F54" w:rsidRDefault="00C14730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1343</w:t>
            </w:r>
          </w:p>
        </w:tc>
      </w:tr>
    </w:tbl>
    <w:p w14:paraId="05A9D589" w14:textId="20D48841" w:rsidR="00C14730" w:rsidRPr="00B76F54" w:rsidRDefault="00511739" w:rsidP="00C14730">
      <w:pPr>
        <w:pStyle w:val="KeinLeerraum"/>
        <w:rPr>
          <w:rFonts w:ascii="Arial" w:hAnsi="Arial" w:cs="Arial"/>
          <w:lang w:val="en-US"/>
        </w:rPr>
      </w:pPr>
      <w:r w:rsidRPr="00B76F54">
        <w:rPr>
          <w:rFonts w:ascii="Arial" w:hAnsi="Arial" w:cs="Arial"/>
          <w:bCs/>
          <w:lang w:val="en-US"/>
        </w:rPr>
        <w:t xml:space="preserve">Notes and abbreviations; </w:t>
      </w:r>
      <w:r w:rsidR="003C5BCD" w:rsidRPr="00B76F54">
        <w:rPr>
          <w:rFonts w:ascii="Arial" w:hAnsi="Arial" w:cs="Arial"/>
          <w:lang w:val="en-US"/>
        </w:rPr>
        <w:t>O</w:t>
      </w:r>
      <w:r w:rsidR="00C14730" w:rsidRPr="00B76F54">
        <w:rPr>
          <w:rFonts w:ascii="Arial" w:hAnsi="Arial" w:cs="Arial"/>
          <w:lang w:val="en-US"/>
        </w:rPr>
        <w:t xml:space="preserve">verview of assessment characteristics </w:t>
      </w:r>
      <w:r w:rsidR="00B35AE4" w:rsidRPr="00B76F54">
        <w:rPr>
          <w:rFonts w:ascii="Arial" w:hAnsi="Arial" w:cs="Arial"/>
          <w:lang w:val="en-US"/>
        </w:rPr>
        <w:t>of</w:t>
      </w:r>
      <w:r w:rsidR="00C14730" w:rsidRPr="00B76F54">
        <w:rPr>
          <w:rFonts w:ascii="Arial" w:hAnsi="Arial" w:cs="Arial"/>
          <w:lang w:val="en-US"/>
        </w:rPr>
        <w:t xml:space="preserve"> the </w:t>
      </w:r>
      <w:r w:rsidR="00706709" w:rsidRPr="00B76F54">
        <w:rPr>
          <w:rFonts w:ascii="Arial" w:hAnsi="Arial" w:cs="Arial"/>
          <w:lang w:val="en-US"/>
        </w:rPr>
        <w:t xml:space="preserve">overall </w:t>
      </w:r>
      <w:r w:rsidR="00C14730" w:rsidRPr="00B76F54">
        <w:rPr>
          <w:rFonts w:ascii="Arial" w:hAnsi="Arial" w:cs="Arial"/>
          <w:lang w:val="en-US"/>
        </w:rPr>
        <w:t>study population. Mean and standard deviation was calculated for normally distributed test results. If normal distribution was not met, median and IQR was calculated.</w:t>
      </w:r>
      <w:r w:rsidR="00E801F1" w:rsidRPr="00B76F54">
        <w:rPr>
          <w:rFonts w:ascii="Arial" w:hAnsi="Arial" w:cs="Arial"/>
          <w:lang w:val="en-US"/>
        </w:rPr>
        <w:t xml:space="preserve"> </w:t>
      </w:r>
    </w:p>
    <w:p w14:paraId="46BAAF83" w14:textId="5B57E054" w:rsidR="00E801F1" w:rsidRPr="00B76F54" w:rsidRDefault="00E801F1" w:rsidP="00C14730">
      <w:pPr>
        <w:pStyle w:val="KeinLeerraum"/>
        <w:rPr>
          <w:rFonts w:ascii="Arial" w:hAnsi="Arial" w:cs="Arial"/>
          <w:lang w:val="en-US"/>
        </w:rPr>
      </w:pPr>
      <w:r w:rsidRPr="00B76F54">
        <w:rPr>
          <w:rFonts w:ascii="Arial" w:hAnsi="Arial" w:cs="Arial"/>
          <w:lang w:val="en-US"/>
        </w:rPr>
        <w:t xml:space="preserve">ADL, Activities of </w:t>
      </w:r>
      <w:r w:rsidR="00E16677" w:rsidRPr="00B76F54">
        <w:rPr>
          <w:rFonts w:ascii="Arial" w:hAnsi="Arial" w:cs="Arial"/>
          <w:lang w:val="en-US"/>
        </w:rPr>
        <w:t>D</w:t>
      </w:r>
      <w:r w:rsidRPr="00B76F54">
        <w:rPr>
          <w:rFonts w:ascii="Arial" w:hAnsi="Arial" w:cs="Arial"/>
          <w:lang w:val="en-US"/>
        </w:rPr>
        <w:t xml:space="preserve">aily </w:t>
      </w:r>
      <w:r w:rsidR="00E16677" w:rsidRPr="00B76F54">
        <w:rPr>
          <w:rFonts w:ascii="Arial" w:hAnsi="Arial" w:cs="Arial"/>
          <w:lang w:val="en-US"/>
        </w:rPr>
        <w:t>L</w:t>
      </w:r>
      <w:r w:rsidRPr="00B76F54">
        <w:rPr>
          <w:rFonts w:ascii="Arial" w:hAnsi="Arial" w:cs="Arial"/>
          <w:lang w:val="en-US"/>
        </w:rPr>
        <w:t xml:space="preserve">iving; IADL, </w:t>
      </w:r>
      <w:r w:rsidR="00EB3C39" w:rsidRPr="00B76F54">
        <w:rPr>
          <w:rFonts w:ascii="Arial" w:hAnsi="Arial" w:cs="Arial"/>
          <w:lang w:val="en-US"/>
        </w:rPr>
        <w:t>I</w:t>
      </w:r>
      <w:r w:rsidRPr="00B76F54">
        <w:rPr>
          <w:rFonts w:ascii="Arial" w:hAnsi="Arial" w:cs="Arial"/>
          <w:lang w:val="en-US"/>
        </w:rPr>
        <w:t xml:space="preserve">nstrumental </w:t>
      </w:r>
      <w:r w:rsidR="00E16677" w:rsidRPr="00B76F54">
        <w:rPr>
          <w:rFonts w:ascii="Arial" w:hAnsi="Arial" w:cs="Arial"/>
          <w:lang w:val="en-US"/>
        </w:rPr>
        <w:t>A</w:t>
      </w:r>
      <w:r w:rsidRPr="00B76F54">
        <w:rPr>
          <w:rFonts w:ascii="Arial" w:hAnsi="Arial" w:cs="Arial"/>
          <w:lang w:val="en-US"/>
        </w:rPr>
        <w:t xml:space="preserve">ctivities of </w:t>
      </w:r>
      <w:r w:rsidR="00E16677" w:rsidRPr="00B76F54">
        <w:rPr>
          <w:rFonts w:ascii="Arial" w:hAnsi="Arial" w:cs="Arial"/>
          <w:lang w:val="en-US"/>
        </w:rPr>
        <w:t>D</w:t>
      </w:r>
      <w:r w:rsidRPr="00B76F54">
        <w:rPr>
          <w:rFonts w:ascii="Arial" w:hAnsi="Arial" w:cs="Arial"/>
          <w:lang w:val="en-US"/>
        </w:rPr>
        <w:t xml:space="preserve">aily </w:t>
      </w:r>
      <w:r w:rsidR="00E16677" w:rsidRPr="00B76F54">
        <w:rPr>
          <w:rFonts w:ascii="Arial" w:hAnsi="Arial" w:cs="Arial"/>
          <w:lang w:val="en-US"/>
        </w:rPr>
        <w:t>L</w:t>
      </w:r>
      <w:r w:rsidRPr="00B76F54">
        <w:rPr>
          <w:rFonts w:ascii="Arial" w:hAnsi="Arial" w:cs="Arial"/>
          <w:lang w:val="en-US"/>
        </w:rPr>
        <w:t>iving</w:t>
      </w:r>
      <w:r w:rsidR="00706709" w:rsidRPr="00B76F54">
        <w:rPr>
          <w:rFonts w:ascii="Arial" w:hAnsi="Arial" w:cs="Arial"/>
          <w:lang w:val="en-US"/>
        </w:rPr>
        <w:t>; IQR, interquartile range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801F1" w:rsidRPr="00CB2917" w14:paraId="64007A8E" w14:textId="77777777" w:rsidTr="00305746">
        <w:tc>
          <w:tcPr>
            <w:tcW w:w="9072" w:type="dxa"/>
          </w:tcPr>
          <w:p w14:paraId="32C5A966" w14:textId="41BDA846" w:rsidR="00F41DA0" w:rsidRPr="00B76F54" w:rsidRDefault="00F41DA0" w:rsidP="00827AAF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  <w:tr w:rsidR="00E801F1" w:rsidRPr="00CB2917" w14:paraId="6E78B022" w14:textId="77777777" w:rsidTr="00305746">
        <w:tc>
          <w:tcPr>
            <w:tcW w:w="9072" w:type="dxa"/>
          </w:tcPr>
          <w:p w14:paraId="016A84E3" w14:textId="6CD8648C" w:rsidR="00E801F1" w:rsidRPr="00B76F54" w:rsidRDefault="00E801F1" w:rsidP="00827AAF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38CBC1E1" w14:textId="297B1D72" w:rsidR="00B14DAC" w:rsidRPr="00802CC9" w:rsidRDefault="0068032F" w:rsidP="00794314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EN.REFLIST </w:instrText>
      </w:r>
      <w:r w:rsidR="00CB2917">
        <w:rPr>
          <w:rFonts w:ascii="Arial" w:hAnsi="Arial" w:cs="Arial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</w:p>
    <w:sectPr w:rsidR="00B14DAC" w:rsidRPr="00802CC9" w:rsidSect="00B76F54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4BAE" w14:textId="77777777" w:rsidR="00506364" w:rsidRDefault="00506364" w:rsidP="00F26B71">
      <w:pPr>
        <w:spacing w:after="0" w:line="240" w:lineRule="auto"/>
      </w:pPr>
      <w:r>
        <w:separator/>
      </w:r>
    </w:p>
  </w:endnote>
  <w:endnote w:type="continuationSeparator" w:id="0">
    <w:p w14:paraId="4545BA5F" w14:textId="77777777" w:rsidR="00506364" w:rsidRDefault="00506364" w:rsidP="00F2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71481700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587F157" w14:textId="468EADE9" w:rsidR="005B1918" w:rsidRDefault="005B1918" w:rsidP="008E38D6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30C2F87" w14:textId="77777777" w:rsidR="005B1918" w:rsidRDefault="005B19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5274520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A015C37" w14:textId="3DFA72A0" w:rsidR="005B1918" w:rsidRDefault="005B1918" w:rsidP="005B1918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E34974">
          <w:rPr>
            <w:rStyle w:val="Seitenzahl"/>
            <w:noProof/>
          </w:rPr>
          <w:t>6</w:t>
        </w:r>
        <w:r>
          <w:rPr>
            <w:rStyle w:val="Seitenzahl"/>
          </w:rPr>
          <w:fldChar w:fldCharType="end"/>
        </w:r>
      </w:p>
    </w:sdtContent>
  </w:sdt>
  <w:p w14:paraId="44BFAA28" w14:textId="77777777" w:rsidR="005B1918" w:rsidRDefault="005B19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C2D9" w14:textId="77777777" w:rsidR="00506364" w:rsidRDefault="00506364" w:rsidP="00F26B71">
      <w:pPr>
        <w:spacing w:after="0" w:line="240" w:lineRule="auto"/>
      </w:pPr>
      <w:r>
        <w:separator/>
      </w:r>
    </w:p>
  </w:footnote>
  <w:footnote w:type="continuationSeparator" w:id="0">
    <w:p w14:paraId="76A71765" w14:textId="77777777" w:rsidR="00506364" w:rsidRDefault="00506364" w:rsidP="00F26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2208"/>
    <w:multiLevelType w:val="hybridMultilevel"/>
    <w:tmpl w:val="D026F228"/>
    <w:lvl w:ilvl="0" w:tplc="5D02A4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8F1"/>
    <w:multiLevelType w:val="hybridMultilevel"/>
    <w:tmpl w:val="3FBED4F6"/>
    <w:lvl w:ilvl="0" w:tplc="732CC0F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C2ECF"/>
    <w:multiLevelType w:val="hybridMultilevel"/>
    <w:tmpl w:val="5DB6666C"/>
    <w:lvl w:ilvl="0" w:tplc="28D26B92">
      <w:start w:val="59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ed59er0prdsatertrkpwws1tpev5fzxprsz&quot;&gt;My EndNote Library&lt;record-ids&gt;&lt;item&gt;381&lt;/item&gt;&lt;/record-ids&gt;&lt;/item&gt;&lt;/Libraries&gt;"/>
  </w:docVars>
  <w:rsids>
    <w:rsidRoot w:val="00EC2150"/>
    <w:rsid w:val="0000517B"/>
    <w:rsid w:val="00011746"/>
    <w:rsid w:val="00027E77"/>
    <w:rsid w:val="0003640D"/>
    <w:rsid w:val="00044CD8"/>
    <w:rsid w:val="00056B6C"/>
    <w:rsid w:val="00064153"/>
    <w:rsid w:val="000720D2"/>
    <w:rsid w:val="00094DDE"/>
    <w:rsid w:val="000A1FD7"/>
    <w:rsid w:val="000A2762"/>
    <w:rsid w:val="000A3F33"/>
    <w:rsid w:val="000A6B4C"/>
    <w:rsid w:val="000B6DD1"/>
    <w:rsid w:val="000C7029"/>
    <w:rsid w:val="000F7173"/>
    <w:rsid w:val="0010095E"/>
    <w:rsid w:val="001040B5"/>
    <w:rsid w:val="00114138"/>
    <w:rsid w:val="0012326A"/>
    <w:rsid w:val="00124DD2"/>
    <w:rsid w:val="00140CA3"/>
    <w:rsid w:val="0015181E"/>
    <w:rsid w:val="00152286"/>
    <w:rsid w:val="0016045E"/>
    <w:rsid w:val="001607B6"/>
    <w:rsid w:val="001649C0"/>
    <w:rsid w:val="001679D6"/>
    <w:rsid w:val="00171BF8"/>
    <w:rsid w:val="00173C18"/>
    <w:rsid w:val="001870D4"/>
    <w:rsid w:val="001914D7"/>
    <w:rsid w:val="001A0F06"/>
    <w:rsid w:val="001A543E"/>
    <w:rsid w:val="001B7777"/>
    <w:rsid w:val="001D2081"/>
    <w:rsid w:val="001D2478"/>
    <w:rsid w:val="001E3384"/>
    <w:rsid w:val="001F0AB7"/>
    <w:rsid w:val="001F3202"/>
    <w:rsid w:val="001F3D03"/>
    <w:rsid w:val="001F7D7A"/>
    <w:rsid w:val="00205C0C"/>
    <w:rsid w:val="00206C1C"/>
    <w:rsid w:val="00220D5C"/>
    <w:rsid w:val="00225A5E"/>
    <w:rsid w:val="00243002"/>
    <w:rsid w:val="002471CB"/>
    <w:rsid w:val="0026206A"/>
    <w:rsid w:val="00280815"/>
    <w:rsid w:val="00295E75"/>
    <w:rsid w:val="002A2F7A"/>
    <w:rsid w:val="002C09B8"/>
    <w:rsid w:val="002C7023"/>
    <w:rsid w:val="002D40C0"/>
    <w:rsid w:val="002E3812"/>
    <w:rsid w:val="002E3DF6"/>
    <w:rsid w:val="002F249C"/>
    <w:rsid w:val="0030218A"/>
    <w:rsid w:val="003027F2"/>
    <w:rsid w:val="00305264"/>
    <w:rsid w:val="003054FE"/>
    <w:rsid w:val="00305746"/>
    <w:rsid w:val="00313D44"/>
    <w:rsid w:val="003148F8"/>
    <w:rsid w:val="003212C3"/>
    <w:rsid w:val="00321B17"/>
    <w:rsid w:val="0033602A"/>
    <w:rsid w:val="003570FB"/>
    <w:rsid w:val="00357FBE"/>
    <w:rsid w:val="003803AA"/>
    <w:rsid w:val="003821BD"/>
    <w:rsid w:val="00384A7E"/>
    <w:rsid w:val="00390C50"/>
    <w:rsid w:val="00391E0A"/>
    <w:rsid w:val="00393DFE"/>
    <w:rsid w:val="003A2121"/>
    <w:rsid w:val="003A3BB5"/>
    <w:rsid w:val="003C2BF9"/>
    <w:rsid w:val="003C57CF"/>
    <w:rsid w:val="003C5BCD"/>
    <w:rsid w:val="003E1A87"/>
    <w:rsid w:val="003E5580"/>
    <w:rsid w:val="003F5362"/>
    <w:rsid w:val="00404737"/>
    <w:rsid w:val="00410550"/>
    <w:rsid w:val="0041388E"/>
    <w:rsid w:val="00416E51"/>
    <w:rsid w:val="00417CDE"/>
    <w:rsid w:val="00424F4D"/>
    <w:rsid w:val="00434C2A"/>
    <w:rsid w:val="0046055C"/>
    <w:rsid w:val="00465AE7"/>
    <w:rsid w:val="004661A8"/>
    <w:rsid w:val="004716C1"/>
    <w:rsid w:val="0047357E"/>
    <w:rsid w:val="00476189"/>
    <w:rsid w:val="004861C8"/>
    <w:rsid w:val="00487B9A"/>
    <w:rsid w:val="0049305C"/>
    <w:rsid w:val="004A46FF"/>
    <w:rsid w:val="004B3384"/>
    <w:rsid w:val="004B5431"/>
    <w:rsid w:val="004D1A24"/>
    <w:rsid w:val="004D4C55"/>
    <w:rsid w:val="004E4FA3"/>
    <w:rsid w:val="004F3203"/>
    <w:rsid w:val="004F3F2A"/>
    <w:rsid w:val="00500FFA"/>
    <w:rsid w:val="00506364"/>
    <w:rsid w:val="00511739"/>
    <w:rsid w:val="005201BC"/>
    <w:rsid w:val="00530B0D"/>
    <w:rsid w:val="0053348A"/>
    <w:rsid w:val="00545E41"/>
    <w:rsid w:val="00570DEA"/>
    <w:rsid w:val="0057336E"/>
    <w:rsid w:val="00582085"/>
    <w:rsid w:val="005901D2"/>
    <w:rsid w:val="00592874"/>
    <w:rsid w:val="005A4759"/>
    <w:rsid w:val="005A47D2"/>
    <w:rsid w:val="005B1918"/>
    <w:rsid w:val="005B2760"/>
    <w:rsid w:val="005B3991"/>
    <w:rsid w:val="005B3F16"/>
    <w:rsid w:val="005B5042"/>
    <w:rsid w:val="005B5F90"/>
    <w:rsid w:val="005C1149"/>
    <w:rsid w:val="005C2532"/>
    <w:rsid w:val="005D0B17"/>
    <w:rsid w:val="005D1725"/>
    <w:rsid w:val="005D725B"/>
    <w:rsid w:val="005E1437"/>
    <w:rsid w:val="005E2D24"/>
    <w:rsid w:val="005E51D5"/>
    <w:rsid w:val="005F1DEC"/>
    <w:rsid w:val="005F2A75"/>
    <w:rsid w:val="005F6972"/>
    <w:rsid w:val="00600B31"/>
    <w:rsid w:val="00611AC8"/>
    <w:rsid w:val="00613F4B"/>
    <w:rsid w:val="006215C6"/>
    <w:rsid w:val="006265D2"/>
    <w:rsid w:val="00633B78"/>
    <w:rsid w:val="00641B9C"/>
    <w:rsid w:val="00643FA0"/>
    <w:rsid w:val="00654397"/>
    <w:rsid w:val="006550B5"/>
    <w:rsid w:val="0065693A"/>
    <w:rsid w:val="0068032F"/>
    <w:rsid w:val="00683B69"/>
    <w:rsid w:val="0069304B"/>
    <w:rsid w:val="006939CD"/>
    <w:rsid w:val="006A5540"/>
    <w:rsid w:val="006A5B00"/>
    <w:rsid w:val="006A7828"/>
    <w:rsid w:val="006B23D0"/>
    <w:rsid w:val="006C718D"/>
    <w:rsid w:val="006D0965"/>
    <w:rsid w:val="00706709"/>
    <w:rsid w:val="007137C5"/>
    <w:rsid w:val="00724324"/>
    <w:rsid w:val="00735959"/>
    <w:rsid w:val="00765A3C"/>
    <w:rsid w:val="00767900"/>
    <w:rsid w:val="00771D07"/>
    <w:rsid w:val="00772272"/>
    <w:rsid w:val="00777E31"/>
    <w:rsid w:val="00783D2A"/>
    <w:rsid w:val="00785497"/>
    <w:rsid w:val="00794314"/>
    <w:rsid w:val="007A1D26"/>
    <w:rsid w:val="007A6D08"/>
    <w:rsid w:val="007B02F6"/>
    <w:rsid w:val="007B2AC1"/>
    <w:rsid w:val="007B63D9"/>
    <w:rsid w:val="007F1F10"/>
    <w:rsid w:val="0080289D"/>
    <w:rsid w:val="00802CC9"/>
    <w:rsid w:val="00810038"/>
    <w:rsid w:val="0081459C"/>
    <w:rsid w:val="00827AAF"/>
    <w:rsid w:val="008538A3"/>
    <w:rsid w:val="00855D7F"/>
    <w:rsid w:val="00857A60"/>
    <w:rsid w:val="008670AF"/>
    <w:rsid w:val="00872E55"/>
    <w:rsid w:val="008740D7"/>
    <w:rsid w:val="008761FF"/>
    <w:rsid w:val="00884CFB"/>
    <w:rsid w:val="00884F12"/>
    <w:rsid w:val="008909B1"/>
    <w:rsid w:val="00894162"/>
    <w:rsid w:val="00894546"/>
    <w:rsid w:val="00894FF7"/>
    <w:rsid w:val="008A20A3"/>
    <w:rsid w:val="008B2395"/>
    <w:rsid w:val="008B2785"/>
    <w:rsid w:val="008B5798"/>
    <w:rsid w:val="008D5AC0"/>
    <w:rsid w:val="008D6FD6"/>
    <w:rsid w:val="008E0882"/>
    <w:rsid w:val="008E3840"/>
    <w:rsid w:val="008E38D6"/>
    <w:rsid w:val="008E6ED9"/>
    <w:rsid w:val="009002A1"/>
    <w:rsid w:val="00924DBE"/>
    <w:rsid w:val="009252DD"/>
    <w:rsid w:val="009352CE"/>
    <w:rsid w:val="00940864"/>
    <w:rsid w:val="00944DEA"/>
    <w:rsid w:val="0095225E"/>
    <w:rsid w:val="00962D22"/>
    <w:rsid w:val="009637C4"/>
    <w:rsid w:val="00964A2D"/>
    <w:rsid w:val="00967AC7"/>
    <w:rsid w:val="0099071A"/>
    <w:rsid w:val="009A2AFB"/>
    <w:rsid w:val="009A733F"/>
    <w:rsid w:val="009B5756"/>
    <w:rsid w:val="009C70EC"/>
    <w:rsid w:val="009D3A4B"/>
    <w:rsid w:val="009E4A37"/>
    <w:rsid w:val="009E6D0F"/>
    <w:rsid w:val="009E6EB1"/>
    <w:rsid w:val="00A023F0"/>
    <w:rsid w:val="00A109CD"/>
    <w:rsid w:val="00A120B0"/>
    <w:rsid w:val="00A232B0"/>
    <w:rsid w:val="00A335A3"/>
    <w:rsid w:val="00A4078F"/>
    <w:rsid w:val="00A717DC"/>
    <w:rsid w:val="00A9235C"/>
    <w:rsid w:val="00A94F5C"/>
    <w:rsid w:val="00A954A3"/>
    <w:rsid w:val="00A956DA"/>
    <w:rsid w:val="00AA30E2"/>
    <w:rsid w:val="00AB6989"/>
    <w:rsid w:val="00AC063C"/>
    <w:rsid w:val="00AC3AFC"/>
    <w:rsid w:val="00AC40D3"/>
    <w:rsid w:val="00AD4116"/>
    <w:rsid w:val="00AD5004"/>
    <w:rsid w:val="00AF1951"/>
    <w:rsid w:val="00AF20B1"/>
    <w:rsid w:val="00AF55C5"/>
    <w:rsid w:val="00AF5FD2"/>
    <w:rsid w:val="00AF6975"/>
    <w:rsid w:val="00AF6D84"/>
    <w:rsid w:val="00B013A0"/>
    <w:rsid w:val="00B102E3"/>
    <w:rsid w:val="00B14DAC"/>
    <w:rsid w:val="00B2026A"/>
    <w:rsid w:val="00B20A08"/>
    <w:rsid w:val="00B20FEA"/>
    <w:rsid w:val="00B270BB"/>
    <w:rsid w:val="00B30887"/>
    <w:rsid w:val="00B3516E"/>
    <w:rsid w:val="00B35AE4"/>
    <w:rsid w:val="00B374EC"/>
    <w:rsid w:val="00B47E33"/>
    <w:rsid w:val="00B5182D"/>
    <w:rsid w:val="00B531F6"/>
    <w:rsid w:val="00B578A6"/>
    <w:rsid w:val="00B61578"/>
    <w:rsid w:val="00B76F54"/>
    <w:rsid w:val="00B9007A"/>
    <w:rsid w:val="00B91217"/>
    <w:rsid w:val="00BA08B7"/>
    <w:rsid w:val="00BA1DC7"/>
    <w:rsid w:val="00BA3320"/>
    <w:rsid w:val="00BA340D"/>
    <w:rsid w:val="00BB590D"/>
    <w:rsid w:val="00BC167F"/>
    <w:rsid w:val="00BD14B3"/>
    <w:rsid w:val="00BD3312"/>
    <w:rsid w:val="00BE3E44"/>
    <w:rsid w:val="00BF67D4"/>
    <w:rsid w:val="00BF6C86"/>
    <w:rsid w:val="00BF7047"/>
    <w:rsid w:val="00C11144"/>
    <w:rsid w:val="00C12CB4"/>
    <w:rsid w:val="00C14730"/>
    <w:rsid w:val="00C424C0"/>
    <w:rsid w:val="00C429D0"/>
    <w:rsid w:val="00C4699D"/>
    <w:rsid w:val="00C5256F"/>
    <w:rsid w:val="00C63B5E"/>
    <w:rsid w:val="00C71122"/>
    <w:rsid w:val="00C75681"/>
    <w:rsid w:val="00C75996"/>
    <w:rsid w:val="00C77B63"/>
    <w:rsid w:val="00C80E22"/>
    <w:rsid w:val="00C81CD6"/>
    <w:rsid w:val="00C85370"/>
    <w:rsid w:val="00C92C90"/>
    <w:rsid w:val="00C96E67"/>
    <w:rsid w:val="00CB2917"/>
    <w:rsid w:val="00CB52E5"/>
    <w:rsid w:val="00CC6248"/>
    <w:rsid w:val="00CD62AF"/>
    <w:rsid w:val="00CE354A"/>
    <w:rsid w:val="00CF0B0F"/>
    <w:rsid w:val="00CF4125"/>
    <w:rsid w:val="00D005B7"/>
    <w:rsid w:val="00D06B61"/>
    <w:rsid w:val="00D07FE6"/>
    <w:rsid w:val="00D15C65"/>
    <w:rsid w:val="00D308AB"/>
    <w:rsid w:val="00D335AF"/>
    <w:rsid w:val="00D36AB3"/>
    <w:rsid w:val="00D47C4A"/>
    <w:rsid w:val="00D61065"/>
    <w:rsid w:val="00D67B53"/>
    <w:rsid w:val="00D67DDB"/>
    <w:rsid w:val="00D74F48"/>
    <w:rsid w:val="00D81E7F"/>
    <w:rsid w:val="00D81FA1"/>
    <w:rsid w:val="00D93CF4"/>
    <w:rsid w:val="00D945C0"/>
    <w:rsid w:val="00D96D64"/>
    <w:rsid w:val="00D979FA"/>
    <w:rsid w:val="00DA6AE8"/>
    <w:rsid w:val="00DB10AE"/>
    <w:rsid w:val="00DB69D6"/>
    <w:rsid w:val="00DC793F"/>
    <w:rsid w:val="00DD016D"/>
    <w:rsid w:val="00DD57E5"/>
    <w:rsid w:val="00DD5DAC"/>
    <w:rsid w:val="00DE06A7"/>
    <w:rsid w:val="00DE17AF"/>
    <w:rsid w:val="00DF6293"/>
    <w:rsid w:val="00E018C7"/>
    <w:rsid w:val="00E01F20"/>
    <w:rsid w:val="00E06CFC"/>
    <w:rsid w:val="00E10521"/>
    <w:rsid w:val="00E15A0F"/>
    <w:rsid w:val="00E15EC1"/>
    <w:rsid w:val="00E16677"/>
    <w:rsid w:val="00E17884"/>
    <w:rsid w:val="00E21C39"/>
    <w:rsid w:val="00E24866"/>
    <w:rsid w:val="00E25556"/>
    <w:rsid w:val="00E25EF2"/>
    <w:rsid w:val="00E338D6"/>
    <w:rsid w:val="00E34974"/>
    <w:rsid w:val="00E37D18"/>
    <w:rsid w:val="00E400B9"/>
    <w:rsid w:val="00E509AD"/>
    <w:rsid w:val="00E51342"/>
    <w:rsid w:val="00E55F7C"/>
    <w:rsid w:val="00E56295"/>
    <w:rsid w:val="00E615F1"/>
    <w:rsid w:val="00E6683B"/>
    <w:rsid w:val="00E67ED1"/>
    <w:rsid w:val="00E71AD0"/>
    <w:rsid w:val="00E735FA"/>
    <w:rsid w:val="00E73AEB"/>
    <w:rsid w:val="00E801F1"/>
    <w:rsid w:val="00E85B19"/>
    <w:rsid w:val="00E86036"/>
    <w:rsid w:val="00E87ACC"/>
    <w:rsid w:val="00EA5AF3"/>
    <w:rsid w:val="00EB3C39"/>
    <w:rsid w:val="00EC2150"/>
    <w:rsid w:val="00EC4651"/>
    <w:rsid w:val="00EC5B3C"/>
    <w:rsid w:val="00EE6F73"/>
    <w:rsid w:val="00EF3FA9"/>
    <w:rsid w:val="00EF6226"/>
    <w:rsid w:val="00F07B68"/>
    <w:rsid w:val="00F1081B"/>
    <w:rsid w:val="00F26B71"/>
    <w:rsid w:val="00F41DA0"/>
    <w:rsid w:val="00F45685"/>
    <w:rsid w:val="00F50A85"/>
    <w:rsid w:val="00F52532"/>
    <w:rsid w:val="00F60EC2"/>
    <w:rsid w:val="00F643FA"/>
    <w:rsid w:val="00F91279"/>
    <w:rsid w:val="00F9793A"/>
    <w:rsid w:val="00FB401D"/>
    <w:rsid w:val="00FE470A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C847FF4"/>
  <w15:chartTrackingRefBased/>
  <w15:docId w15:val="{39A2AC00-FD32-C544-983E-8B2DA2A1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4A37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4A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9E4A37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7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730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70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70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70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70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70FB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114138"/>
  </w:style>
  <w:style w:type="character" w:styleId="Hervorhebung">
    <w:name w:val="Emphasis"/>
    <w:basedOn w:val="Absatz-Standardschriftart"/>
    <w:uiPriority w:val="20"/>
    <w:qFormat/>
    <w:rsid w:val="00114138"/>
    <w:rPr>
      <w:i/>
      <w:iCs/>
    </w:rPr>
  </w:style>
  <w:style w:type="paragraph" w:customStyle="1" w:styleId="EndNoteBibliographyTitle">
    <w:name w:val="EndNote Bibliography Title"/>
    <w:basedOn w:val="Standard"/>
    <w:link w:val="EndNoteBibliographyTitleZchn"/>
    <w:rsid w:val="0068032F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8032F"/>
    <w:rPr>
      <w:sz w:val="22"/>
      <w:szCs w:val="22"/>
    </w:rPr>
  </w:style>
  <w:style w:type="character" w:customStyle="1" w:styleId="EndNoteBibliographyTitleZchn">
    <w:name w:val="EndNote Bibliography Title Zchn"/>
    <w:basedOn w:val="KeinLeerraumZchn"/>
    <w:link w:val="EndNoteBibliographyTitle"/>
    <w:rsid w:val="0068032F"/>
    <w:rPr>
      <w:rFonts w:ascii="Calibri" w:hAnsi="Calibri" w:cs="Calibri"/>
      <w:sz w:val="22"/>
      <w:szCs w:val="22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68032F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Zchn">
    <w:name w:val="EndNote Bibliography Zchn"/>
    <w:basedOn w:val="KeinLeerraumZchn"/>
    <w:link w:val="EndNoteBibliography"/>
    <w:rsid w:val="0068032F"/>
    <w:rPr>
      <w:rFonts w:ascii="Calibri" w:hAnsi="Calibri" w:cs="Calibri"/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26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B71"/>
    <w:rPr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F26B71"/>
  </w:style>
  <w:style w:type="character" w:styleId="Zeilennummer">
    <w:name w:val="line number"/>
    <w:basedOn w:val="Absatz-Standardschriftart"/>
    <w:uiPriority w:val="99"/>
    <w:semiHidden/>
    <w:unhideWhenUsed/>
    <w:rsid w:val="00F2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13F6A-F10C-46FA-ADAD-36A40A79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Philipp Landmann</cp:lastModifiedBy>
  <cp:revision>50</cp:revision>
  <cp:lastPrinted>2020-06-18T16:16:00Z</cp:lastPrinted>
  <dcterms:created xsi:type="dcterms:W3CDTF">2021-04-13T14:49:00Z</dcterms:created>
  <dcterms:modified xsi:type="dcterms:W3CDTF">2021-07-12T15:05:00Z</dcterms:modified>
</cp:coreProperties>
</file>