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01F1" w:rsidRPr="000A7D5D" w14:paraId="64007A8E" w14:textId="77777777" w:rsidTr="00305746">
        <w:tc>
          <w:tcPr>
            <w:tcW w:w="9072" w:type="dxa"/>
          </w:tcPr>
          <w:p w14:paraId="32C5A966" w14:textId="41BDA846" w:rsidR="00F41DA0" w:rsidRPr="00B76F54" w:rsidRDefault="00F41DA0" w:rsidP="00827AAF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E801F1" w:rsidRPr="000A7D5D" w14:paraId="6E78B022" w14:textId="77777777" w:rsidTr="00305746">
        <w:tc>
          <w:tcPr>
            <w:tcW w:w="9072" w:type="dxa"/>
          </w:tcPr>
          <w:p w14:paraId="016A84E3" w14:textId="6CD8648C" w:rsidR="00E801F1" w:rsidRPr="00B76F54" w:rsidRDefault="00E801F1" w:rsidP="00827AAF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A21808A" w14:textId="4CD11AAB" w:rsidR="008761FF" w:rsidRPr="00B76F54" w:rsidRDefault="008761FF" w:rsidP="008761FF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Table </w:t>
      </w:r>
      <w:r w:rsidR="00DC793F" w:rsidRPr="00B76F54">
        <w:rPr>
          <w:rFonts w:ascii="Arial" w:hAnsi="Arial" w:cs="Arial"/>
          <w:b/>
          <w:lang w:val="en-US"/>
        </w:rPr>
        <w:t>3</w:t>
      </w:r>
      <w:r w:rsidRPr="00B76F54">
        <w:rPr>
          <w:rFonts w:ascii="Arial" w:hAnsi="Arial" w:cs="Arial"/>
          <w:b/>
          <w:lang w:val="en-US"/>
        </w:rPr>
        <w:t xml:space="preserve">. </w:t>
      </w:r>
      <w:r w:rsidR="007B63D9" w:rsidRPr="00B76F54">
        <w:rPr>
          <w:rFonts w:ascii="Arial" w:hAnsi="Arial" w:cs="Arial"/>
          <w:b/>
          <w:lang w:val="en-US"/>
        </w:rPr>
        <w:t>Basic c</w:t>
      </w:r>
      <w:r w:rsidRPr="00B76F54">
        <w:rPr>
          <w:rFonts w:ascii="Arial" w:hAnsi="Arial" w:cs="Arial"/>
          <w:b/>
          <w:lang w:val="en-US"/>
        </w:rPr>
        <w:t xml:space="preserve">haracteristics of </w:t>
      </w:r>
      <w:r w:rsidR="00152286" w:rsidRPr="00B76F54">
        <w:rPr>
          <w:rFonts w:ascii="Arial" w:hAnsi="Arial" w:cs="Arial"/>
          <w:b/>
          <w:lang w:val="en-US"/>
        </w:rPr>
        <w:t>excluded subjects</w:t>
      </w:r>
      <w:r w:rsidR="007B63D9" w:rsidRPr="00B76F54">
        <w:rPr>
          <w:rFonts w:ascii="Arial" w:hAnsi="Arial" w:cs="Arial"/>
          <w:b/>
          <w:lang w:val="en-US"/>
        </w:rPr>
        <w:t xml:space="preserve"> </w:t>
      </w:r>
      <w:r w:rsidR="00152286" w:rsidRPr="00B76F54">
        <w:rPr>
          <w:rFonts w:ascii="Arial" w:hAnsi="Arial" w:cs="Arial"/>
          <w:b/>
          <w:lang w:val="en-US"/>
        </w:rPr>
        <w:t xml:space="preserve">because of missing data </w:t>
      </w:r>
      <w:r w:rsidR="007B63D9" w:rsidRPr="00B76F54">
        <w:rPr>
          <w:rFonts w:ascii="Arial" w:hAnsi="Arial" w:cs="Arial"/>
          <w:b/>
          <w:lang w:val="en-US"/>
        </w:rPr>
        <w:t xml:space="preserve">in multivariable logistic regression analysis </w:t>
      </w:r>
      <w:r w:rsidR="00D47C4A" w:rsidRPr="00B76F54">
        <w:rPr>
          <w:rFonts w:ascii="Arial" w:hAnsi="Arial" w:cs="Arial"/>
          <w:b/>
          <w:lang w:val="en-US"/>
        </w:rPr>
        <w:t>of</w:t>
      </w:r>
      <w:r w:rsidR="00305264" w:rsidRPr="00B76F54">
        <w:rPr>
          <w:rFonts w:ascii="Arial" w:hAnsi="Arial" w:cs="Arial"/>
          <w:b/>
          <w:lang w:val="en-US"/>
        </w:rPr>
        <w:t xml:space="preserve"> participants characteristics related to PIM use </w:t>
      </w:r>
      <w:r w:rsidR="00E51342" w:rsidRPr="00B76F54">
        <w:rPr>
          <w:rFonts w:ascii="Arial" w:hAnsi="Arial" w:cs="Arial"/>
          <w:b/>
          <w:lang w:val="en-US"/>
        </w:rPr>
        <w:t>compared</w:t>
      </w:r>
      <w:r w:rsidR="007B63D9" w:rsidRPr="00B76F54">
        <w:rPr>
          <w:rFonts w:ascii="Arial" w:hAnsi="Arial" w:cs="Arial"/>
          <w:b/>
          <w:lang w:val="en-US"/>
        </w:rPr>
        <w:t xml:space="preserve"> to the group of </w:t>
      </w:r>
      <w:r w:rsidR="00152286" w:rsidRPr="00B76F54">
        <w:rPr>
          <w:rFonts w:ascii="Arial" w:hAnsi="Arial" w:cs="Arial"/>
          <w:b/>
          <w:lang w:val="en-US"/>
        </w:rPr>
        <w:t>included subjects</w:t>
      </w:r>
    </w:p>
    <w:p w14:paraId="224D1277" w14:textId="77777777" w:rsidR="008761FF" w:rsidRPr="00B76F54" w:rsidRDefault="008761FF" w:rsidP="008761FF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  <w:gridCol w:w="1401"/>
      </w:tblGrid>
      <w:tr w:rsidR="008761FF" w:rsidRPr="00B76F54" w14:paraId="69CEBD26" w14:textId="77777777" w:rsidTr="00E01F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CA1B07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Participants 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7B8D12" w14:textId="1E9D1B64" w:rsidR="008761FF" w:rsidRPr="00B76F54" w:rsidRDefault="00E85B19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Excluded</w:t>
            </w:r>
          </w:p>
          <w:p w14:paraId="3BDFC7DB" w14:textId="3BED9177" w:rsidR="008761FF" w:rsidRPr="00B76F54" w:rsidRDefault="00E85B19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s</w:t>
            </w:r>
            <w:r w:rsidR="008761FF" w:rsidRPr="00B76F54">
              <w:rPr>
                <w:rFonts w:ascii="Arial" w:hAnsi="Arial" w:cs="Arial"/>
                <w:bCs/>
                <w:lang w:val="en-US"/>
              </w:rPr>
              <w:t>ubjects</w:t>
            </w:r>
          </w:p>
          <w:p w14:paraId="1302DEA6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(N=517)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2441B8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Included subjects</w:t>
            </w:r>
          </w:p>
          <w:p w14:paraId="39FA319F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(N=865)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4E6B51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Overall</w:t>
            </w:r>
          </w:p>
          <w:p w14:paraId="3177D20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5CC02017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(N=1382)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519C073E" w14:textId="2BBBBA04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P</w:t>
            </w:r>
            <w:r w:rsidR="00B013A0" w:rsidRPr="00B76F54">
              <w:rPr>
                <w:rFonts w:ascii="Arial" w:hAnsi="Arial" w:cs="Arial"/>
                <w:bCs/>
                <w:lang w:val="en-US"/>
              </w:rPr>
              <w:t>-value</w:t>
            </w:r>
          </w:p>
        </w:tc>
      </w:tr>
      <w:tr w:rsidR="008761FF" w:rsidRPr="00B76F54" w14:paraId="32635E0E" w14:textId="77777777" w:rsidTr="00E01F20">
        <w:tc>
          <w:tcPr>
            <w:tcW w:w="2268" w:type="dxa"/>
            <w:tcBorders>
              <w:top w:val="single" w:sz="4" w:space="0" w:color="auto"/>
            </w:tcBorders>
          </w:tcPr>
          <w:p w14:paraId="1385375F" w14:textId="77777777" w:rsidR="0000517B" w:rsidRPr="00B76F54" w:rsidRDefault="0000517B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3B3B3CA9" w14:textId="4CF2A3DD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Age 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5B"/>
            </w:r>
            <w:r w:rsidRPr="00B76F54">
              <w:rPr>
                <w:rFonts w:ascii="Arial" w:hAnsi="Arial" w:cs="Arial"/>
                <w:bCs/>
                <w:lang w:val="en-US"/>
              </w:rPr>
              <w:t>years</w:t>
            </w:r>
            <w:r w:rsidRPr="00B76F54">
              <w:rPr>
                <w:rFonts w:ascii="Arial" w:hAnsi="Arial" w:cs="Arial"/>
                <w:bCs/>
                <w:lang w:val="en-US"/>
              </w:rPr>
              <w:sym w:font="Symbol" w:char="F05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52ACF9" w14:textId="77777777" w:rsidR="0000517B" w:rsidRPr="00B76F54" w:rsidRDefault="0000517B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6A9301C6" w14:textId="78A9E211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69</w:t>
            </w:r>
          </w:p>
          <w:p w14:paraId="24B7F5BA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67-72</w:t>
            </w:r>
          </w:p>
          <w:p w14:paraId="6F6268A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(N=517)</w:t>
            </w:r>
          </w:p>
          <w:p w14:paraId="405AB085" w14:textId="69A16311" w:rsidR="003821BD" w:rsidRPr="00B76F54" w:rsidRDefault="003821BD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251248" w14:textId="77777777" w:rsidR="0000517B" w:rsidRPr="00B76F54" w:rsidRDefault="0000517B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7232B0E2" w14:textId="06C29D9C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69</w:t>
            </w:r>
          </w:p>
          <w:p w14:paraId="1DB8D4C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67-71</w:t>
            </w:r>
          </w:p>
          <w:p w14:paraId="56C68CF6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(N=865)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F583A4" w14:textId="77777777" w:rsidR="0000517B" w:rsidRPr="00B76F54" w:rsidRDefault="0000517B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1A1A9096" w14:textId="703B3F3A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69</w:t>
            </w:r>
          </w:p>
          <w:p w14:paraId="08298E75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67-71</w:t>
            </w:r>
          </w:p>
          <w:p w14:paraId="3D4AC85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(N=1382)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054AB1FB" w14:textId="77777777" w:rsidR="0000517B" w:rsidRPr="00B76F54" w:rsidRDefault="0000517B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  <w:p w14:paraId="78F38C89" w14:textId="04C7EFE4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0.011*</w:t>
            </w:r>
          </w:p>
        </w:tc>
      </w:tr>
      <w:tr w:rsidR="008761FF" w:rsidRPr="00B76F54" w14:paraId="72A0E3B3" w14:textId="77777777" w:rsidTr="00E01F20">
        <w:tc>
          <w:tcPr>
            <w:tcW w:w="2268" w:type="dxa"/>
          </w:tcPr>
          <w:p w14:paraId="291C0359" w14:textId="5F3BE03A" w:rsidR="008761FF" w:rsidRPr="00B76F54" w:rsidRDefault="0047357E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Women</w:t>
            </w:r>
          </w:p>
        </w:tc>
        <w:tc>
          <w:tcPr>
            <w:tcW w:w="1843" w:type="dxa"/>
          </w:tcPr>
          <w:p w14:paraId="32B93304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53%</w:t>
            </w:r>
          </w:p>
          <w:p w14:paraId="2759A625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(N=517)</w:t>
            </w:r>
          </w:p>
          <w:p w14:paraId="05E6F773" w14:textId="2D54C015" w:rsidR="003821BD" w:rsidRPr="00B76F54" w:rsidRDefault="003821BD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08AFA5D6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50.3%</w:t>
            </w:r>
          </w:p>
          <w:p w14:paraId="5579B8EA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(N=865)</w:t>
            </w:r>
          </w:p>
        </w:tc>
        <w:tc>
          <w:tcPr>
            <w:tcW w:w="1701" w:type="dxa"/>
          </w:tcPr>
          <w:p w14:paraId="39B7CF5C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51.3%</w:t>
            </w:r>
          </w:p>
          <w:p w14:paraId="5B9ADAE8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(N=1382)</w:t>
            </w:r>
          </w:p>
        </w:tc>
        <w:tc>
          <w:tcPr>
            <w:tcW w:w="1401" w:type="dxa"/>
          </w:tcPr>
          <w:p w14:paraId="5ECCD1FE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n. s.</w:t>
            </w:r>
          </w:p>
        </w:tc>
      </w:tr>
      <w:tr w:rsidR="008761FF" w:rsidRPr="00B76F54" w14:paraId="12E413E9" w14:textId="77777777" w:rsidTr="00E01F20">
        <w:tc>
          <w:tcPr>
            <w:tcW w:w="2268" w:type="dxa"/>
          </w:tcPr>
          <w:p w14:paraId="214C2F7C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Morbidity index</w:t>
            </w:r>
          </w:p>
        </w:tc>
        <w:tc>
          <w:tcPr>
            <w:tcW w:w="1843" w:type="dxa"/>
          </w:tcPr>
          <w:p w14:paraId="02C6596E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</w:t>
            </w:r>
          </w:p>
          <w:p w14:paraId="0E6178FA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0-2</w:t>
            </w:r>
          </w:p>
          <w:p w14:paraId="1737AB0D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(N=393)</w:t>
            </w:r>
          </w:p>
          <w:p w14:paraId="4C6AC226" w14:textId="35479BFB" w:rsidR="003821BD" w:rsidRPr="00B76F54" w:rsidRDefault="003821BD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36A7068B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</w:t>
            </w:r>
          </w:p>
          <w:p w14:paraId="40B2DB1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0-2</w:t>
            </w:r>
          </w:p>
          <w:p w14:paraId="288AC31D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(N=865)</w:t>
            </w:r>
          </w:p>
        </w:tc>
        <w:tc>
          <w:tcPr>
            <w:tcW w:w="1701" w:type="dxa"/>
          </w:tcPr>
          <w:p w14:paraId="6E6C0241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</w:t>
            </w:r>
          </w:p>
          <w:p w14:paraId="409F65D5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0-2</w:t>
            </w:r>
          </w:p>
          <w:p w14:paraId="3E127DB6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(N=1258)</w:t>
            </w:r>
          </w:p>
        </w:tc>
        <w:tc>
          <w:tcPr>
            <w:tcW w:w="1401" w:type="dxa"/>
          </w:tcPr>
          <w:p w14:paraId="666D8715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n. s.</w:t>
            </w:r>
          </w:p>
        </w:tc>
      </w:tr>
      <w:tr w:rsidR="008761FF" w:rsidRPr="00B76F54" w14:paraId="2C56E3AB" w14:textId="77777777" w:rsidTr="00E01F20">
        <w:tc>
          <w:tcPr>
            <w:tcW w:w="2268" w:type="dxa"/>
          </w:tcPr>
          <w:p w14:paraId="52DC9EF8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Years of education</w:t>
            </w:r>
          </w:p>
        </w:tc>
        <w:tc>
          <w:tcPr>
            <w:tcW w:w="1843" w:type="dxa"/>
          </w:tcPr>
          <w:p w14:paraId="74CB7B5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14.25</w:t>
            </w:r>
          </w:p>
          <w:p w14:paraId="3D46A97E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12-18</w:t>
            </w:r>
          </w:p>
          <w:p w14:paraId="796E7A40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(N=182)</w:t>
            </w:r>
          </w:p>
          <w:p w14:paraId="5AE1234F" w14:textId="7A53BC5F" w:rsidR="00205C0C" w:rsidRPr="00B76F54" w:rsidRDefault="00205C0C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0A14740E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13</w:t>
            </w:r>
          </w:p>
          <w:p w14:paraId="4DB4F535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11.5-18</w:t>
            </w:r>
          </w:p>
          <w:p w14:paraId="322FCDF8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(N=865)</w:t>
            </w:r>
          </w:p>
        </w:tc>
        <w:tc>
          <w:tcPr>
            <w:tcW w:w="1701" w:type="dxa"/>
          </w:tcPr>
          <w:p w14:paraId="6EFD6328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13.5</w:t>
            </w:r>
          </w:p>
          <w:p w14:paraId="09D1DAFD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11.5-18</w:t>
            </w:r>
          </w:p>
          <w:p w14:paraId="52CACD49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(N=1047)</w:t>
            </w:r>
          </w:p>
        </w:tc>
        <w:tc>
          <w:tcPr>
            <w:tcW w:w="1401" w:type="dxa"/>
          </w:tcPr>
          <w:p w14:paraId="49325E42" w14:textId="77777777" w:rsidR="008761FF" w:rsidRPr="00B76F54" w:rsidRDefault="008761FF" w:rsidP="00E01F20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n. s.</w:t>
            </w:r>
          </w:p>
        </w:tc>
      </w:tr>
    </w:tbl>
    <w:p w14:paraId="1C68DADC" w14:textId="45BC981E" w:rsidR="008761FF" w:rsidRPr="00B76F54" w:rsidRDefault="00511739" w:rsidP="008761FF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>Notes and abbreviations;</w:t>
      </w:r>
      <w:r w:rsidR="008761FF" w:rsidRPr="00B76F54">
        <w:rPr>
          <w:rFonts w:ascii="Arial" w:hAnsi="Arial" w:cs="Arial"/>
          <w:lang w:val="en-US"/>
        </w:rPr>
        <w:t xml:space="preserve"> Characteristics of </w:t>
      </w:r>
      <w:r w:rsidR="00783D2A" w:rsidRPr="00B76F54">
        <w:rPr>
          <w:rFonts w:ascii="Arial" w:hAnsi="Arial" w:cs="Arial"/>
          <w:lang w:val="en-US"/>
        </w:rPr>
        <w:t>subjects</w:t>
      </w:r>
      <w:r w:rsidR="00305264" w:rsidRPr="00B76F54">
        <w:rPr>
          <w:rFonts w:ascii="Arial" w:hAnsi="Arial" w:cs="Arial"/>
          <w:lang w:val="en-US"/>
        </w:rPr>
        <w:t xml:space="preserve"> </w:t>
      </w:r>
      <w:r w:rsidR="00E338D6" w:rsidRPr="00B76F54">
        <w:rPr>
          <w:rFonts w:ascii="Arial" w:hAnsi="Arial" w:cs="Arial"/>
          <w:lang w:val="en-US"/>
        </w:rPr>
        <w:t>ex</w:t>
      </w:r>
      <w:r w:rsidR="008761FF" w:rsidRPr="00B76F54">
        <w:rPr>
          <w:rFonts w:ascii="Arial" w:hAnsi="Arial" w:cs="Arial"/>
          <w:lang w:val="en-US"/>
        </w:rPr>
        <w:t xml:space="preserve">cluded and </w:t>
      </w:r>
      <w:r w:rsidR="00E338D6" w:rsidRPr="00B76F54">
        <w:rPr>
          <w:rFonts w:ascii="Arial" w:hAnsi="Arial" w:cs="Arial"/>
          <w:lang w:val="en-US"/>
        </w:rPr>
        <w:t>in</w:t>
      </w:r>
      <w:r w:rsidR="00305264" w:rsidRPr="00B76F54">
        <w:rPr>
          <w:rFonts w:ascii="Arial" w:hAnsi="Arial" w:cs="Arial"/>
          <w:lang w:val="en-US"/>
        </w:rPr>
        <w:t>cluded</w:t>
      </w:r>
    </w:p>
    <w:p w14:paraId="7DA0E530" w14:textId="77777777" w:rsidR="008761FF" w:rsidRPr="00B76F54" w:rsidRDefault="008761FF" w:rsidP="008761FF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lang w:val="en-US"/>
        </w:rPr>
        <w:t>IQR, interquartile range; n. s., not significant</w:t>
      </w:r>
    </w:p>
    <w:p w14:paraId="50DE8AC1" w14:textId="77777777" w:rsidR="00305746" w:rsidRPr="00B76F54" w:rsidRDefault="00305746" w:rsidP="009352CE">
      <w:pPr>
        <w:pStyle w:val="KeinLeerraum"/>
        <w:rPr>
          <w:rFonts w:ascii="Arial" w:hAnsi="Arial" w:cs="Arial"/>
          <w:b/>
          <w:lang w:val="en-US"/>
        </w:rPr>
      </w:pPr>
    </w:p>
    <w:p w14:paraId="6E7D1EB2" w14:textId="77777777" w:rsidR="00305746" w:rsidRPr="00B76F54" w:rsidRDefault="00305746" w:rsidP="009352CE">
      <w:pPr>
        <w:pStyle w:val="KeinLeerraum"/>
        <w:rPr>
          <w:rFonts w:ascii="Arial" w:hAnsi="Arial" w:cs="Arial"/>
          <w:b/>
          <w:lang w:val="en-US"/>
        </w:rPr>
      </w:pPr>
    </w:p>
    <w:sectPr w:rsidR="00305746" w:rsidRPr="00B76F54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6A63" w14:textId="77777777" w:rsidR="007A36E5" w:rsidRDefault="007A36E5" w:rsidP="00F26B71">
      <w:pPr>
        <w:spacing w:after="0" w:line="240" w:lineRule="auto"/>
      </w:pPr>
      <w:r>
        <w:separator/>
      </w:r>
    </w:p>
  </w:endnote>
  <w:endnote w:type="continuationSeparator" w:id="0">
    <w:p w14:paraId="56C46DD1" w14:textId="77777777" w:rsidR="007A36E5" w:rsidRDefault="007A36E5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298C" w14:textId="77777777" w:rsidR="007A36E5" w:rsidRDefault="007A36E5" w:rsidP="00F26B71">
      <w:pPr>
        <w:spacing w:after="0" w:line="240" w:lineRule="auto"/>
      </w:pPr>
      <w:r>
        <w:separator/>
      </w:r>
    </w:p>
  </w:footnote>
  <w:footnote w:type="continuationSeparator" w:id="0">
    <w:p w14:paraId="18BAF5B1" w14:textId="77777777" w:rsidR="007A36E5" w:rsidRDefault="007A36E5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A7D5D"/>
    <w:rsid w:val="000B6DD1"/>
    <w:rsid w:val="000C7029"/>
    <w:rsid w:val="000F4DD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11739"/>
    <w:rsid w:val="005201BC"/>
    <w:rsid w:val="00530B0D"/>
    <w:rsid w:val="0053348A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36E5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40</cp:revision>
  <cp:lastPrinted>2020-06-18T16:16:00Z</cp:lastPrinted>
  <dcterms:created xsi:type="dcterms:W3CDTF">2021-04-13T14:49:00Z</dcterms:created>
  <dcterms:modified xsi:type="dcterms:W3CDTF">2021-07-12T15:05:00Z</dcterms:modified>
</cp:coreProperties>
</file>