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619C6" w14:textId="77777777" w:rsidR="00252532" w:rsidRDefault="00EC23D0" w:rsidP="00252532">
      <w:pPr>
        <w:spacing w:after="0"/>
        <w:rPr>
          <w:rFonts w:cstheme="minorHAnsi"/>
          <w:b/>
          <w:bCs/>
          <w:sz w:val="20"/>
          <w:szCs w:val="20"/>
          <w:lang w:val="en-US"/>
        </w:rPr>
      </w:pPr>
      <w:r>
        <w:rPr>
          <w:rFonts w:cstheme="minorHAnsi"/>
          <w:b/>
          <w:bCs/>
          <w:sz w:val="20"/>
          <w:szCs w:val="20"/>
          <w:lang w:val="en-US"/>
        </w:rPr>
        <w:t>Supplementary t</w:t>
      </w:r>
      <w:r w:rsidR="00252532" w:rsidRPr="006A4761">
        <w:rPr>
          <w:rFonts w:cstheme="minorHAnsi"/>
          <w:b/>
          <w:bCs/>
          <w:sz w:val="20"/>
          <w:szCs w:val="20"/>
          <w:lang w:val="en-US"/>
        </w:rPr>
        <w:t>able</w:t>
      </w:r>
    </w:p>
    <w:p w14:paraId="6EC78436" w14:textId="2BC62513" w:rsidR="00F64D06" w:rsidRPr="00F64D06" w:rsidRDefault="00805185" w:rsidP="00252532">
      <w:pPr>
        <w:spacing w:after="0"/>
        <w:rPr>
          <w:rFonts w:cstheme="minorHAnsi"/>
          <w:b/>
          <w:bCs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Items included in our ERAS protocol according to the ERAS society recommendations. </w:t>
      </w:r>
    </w:p>
    <w:tbl>
      <w:tblPr>
        <w:tblStyle w:val="Grilledutableau"/>
        <w:tblW w:w="4931" w:type="pct"/>
        <w:tblInd w:w="-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5538"/>
      </w:tblGrid>
      <w:tr w:rsidR="00F64D06" w:rsidRPr="00FC5FDD" w14:paraId="5CA4BC5C" w14:textId="77777777" w:rsidTr="002D50BC">
        <w:trPr>
          <w:trHeight w:val="393"/>
        </w:trPr>
        <w:tc>
          <w:tcPr>
            <w:tcW w:w="1903" w:type="pct"/>
            <w:shd w:val="clear" w:color="auto" w:fill="auto"/>
            <w:vAlign w:val="center"/>
          </w:tcPr>
          <w:p w14:paraId="7728102A" w14:textId="77777777" w:rsidR="00252532" w:rsidRPr="00FC5FDD" w:rsidRDefault="00252532" w:rsidP="00BC64EF">
            <w:pPr>
              <w:spacing w:after="0" w:line="276" w:lineRule="auto"/>
              <w:jc w:val="center"/>
              <w:rPr>
                <w:b/>
                <w:color w:val="000000" w:themeColor="text1"/>
                <w:sz w:val="24"/>
                <w:szCs w:val="20"/>
              </w:rPr>
            </w:pPr>
            <w:r w:rsidRPr="00FC5FDD">
              <w:rPr>
                <w:b/>
                <w:color w:val="000000" w:themeColor="text1"/>
                <w:sz w:val="24"/>
                <w:szCs w:val="20"/>
              </w:rPr>
              <w:t>ERAS single item</w:t>
            </w:r>
          </w:p>
        </w:tc>
        <w:tc>
          <w:tcPr>
            <w:tcW w:w="3097" w:type="pct"/>
            <w:shd w:val="clear" w:color="auto" w:fill="auto"/>
            <w:vAlign w:val="center"/>
          </w:tcPr>
          <w:p w14:paraId="57010189" w14:textId="77777777" w:rsidR="00252532" w:rsidRPr="00FC5FDD" w:rsidRDefault="00252532" w:rsidP="00BC64EF">
            <w:pPr>
              <w:spacing w:after="0" w:line="276" w:lineRule="auto"/>
              <w:jc w:val="center"/>
              <w:rPr>
                <w:b/>
                <w:color w:val="000000" w:themeColor="text1"/>
                <w:sz w:val="24"/>
                <w:szCs w:val="20"/>
              </w:rPr>
            </w:pPr>
            <w:proofErr w:type="spellStart"/>
            <w:r w:rsidRPr="00FC5FDD">
              <w:rPr>
                <w:b/>
                <w:color w:val="000000" w:themeColor="text1"/>
                <w:sz w:val="24"/>
                <w:szCs w:val="20"/>
              </w:rPr>
              <w:t>Specifics</w:t>
            </w:r>
            <w:proofErr w:type="spellEnd"/>
            <w:r w:rsidRPr="00FC5FDD">
              <w:rPr>
                <w:b/>
                <w:color w:val="000000" w:themeColor="text1"/>
                <w:sz w:val="24"/>
                <w:szCs w:val="20"/>
              </w:rPr>
              <w:t xml:space="preserve"> for </w:t>
            </w:r>
            <w:proofErr w:type="spellStart"/>
            <w:r w:rsidRPr="00FC5FDD">
              <w:rPr>
                <w:b/>
                <w:color w:val="000000" w:themeColor="text1"/>
                <w:sz w:val="24"/>
                <w:szCs w:val="20"/>
              </w:rPr>
              <w:t>cystectomy</w:t>
            </w:r>
            <w:proofErr w:type="spellEnd"/>
            <w:r w:rsidRPr="00FC5FDD">
              <w:rPr>
                <w:b/>
                <w:color w:val="000000" w:themeColor="text1"/>
                <w:sz w:val="24"/>
                <w:szCs w:val="20"/>
              </w:rPr>
              <w:t xml:space="preserve"> patients</w:t>
            </w:r>
          </w:p>
        </w:tc>
      </w:tr>
      <w:tr w:rsidR="008C54BF" w:rsidRPr="00FC5FDD" w14:paraId="0A0AF8A4" w14:textId="77777777" w:rsidTr="002D50BC">
        <w:trPr>
          <w:trHeight w:val="11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6DAFC39" w14:textId="77777777" w:rsidR="00252532" w:rsidRPr="00F64D06" w:rsidRDefault="00252532" w:rsidP="00BC64EF">
            <w:pPr>
              <w:spacing w:after="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64D06">
              <w:rPr>
                <w:b/>
                <w:color w:val="000000" w:themeColor="text1"/>
                <w:sz w:val="24"/>
                <w:szCs w:val="24"/>
              </w:rPr>
              <w:t>Preoperative</w:t>
            </w:r>
            <w:proofErr w:type="spellEnd"/>
          </w:p>
        </w:tc>
      </w:tr>
      <w:tr w:rsidR="00F64D06" w:rsidRPr="00805185" w14:paraId="4BE7243C" w14:textId="77777777" w:rsidTr="002D50BC">
        <w:trPr>
          <w:trHeight w:val="256"/>
        </w:trPr>
        <w:tc>
          <w:tcPr>
            <w:tcW w:w="1903" w:type="pct"/>
            <w:shd w:val="clear" w:color="auto" w:fill="auto"/>
            <w:vAlign w:val="center"/>
          </w:tcPr>
          <w:p w14:paraId="61F16E90" w14:textId="77777777" w:rsidR="00252532" w:rsidRPr="00FC5FDD" w:rsidRDefault="00252532" w:rsidP="002D50BC">
            <w:pPr>
              <w:spacing w:after="0" w:line="276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Preoperative</w:t>
            </w:r>
            <w:proofErr w:type="spellEnd"/>
            <w:r w:rsidRPr="00FC5FDD">
              <w:rPr>
                <w:color w:val="000000" w:themeColor="text1"/>
                <w:sz w:val="20"/>
                <w:szCs w:val="20"/>
              </w:rPr>
              <w:t xml:space="preserve"> counseling and </w:t>
            </w: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3097" w:type="pct"/>
            <w:shd w:val="clear" w:color="auto" w:fill="auto"/>
            <w:vAlign w:val="center"/>
          </w:tcPr>
          <w:p w14:paraId="062B72FE" w14:textId="77777777" w:rsidR="00252532" w:rsidRPr="00FC5FDD" w:rsidRDefault="00252532" w:rsidP="002D50BC">
            <w:pPr>
              <w:spacing w:after="0" w:line="276" w:lineRule="auto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FC5FDD">
              <w:rPr>
                <w:color w:val="000000" w:themeColor="text1"/>
                <w:sz w:val="16"/>
                <w:szCs w:val="16"/>
                <w:lang w:val="en-US"/>
              </w:rPr>
              <w:t>Surgical details, hospital stay and discharge criteria in oral and written form; stoma education; patient’s expectations.</w:t>
            </w:r>
          </w:p>
        </w:tc>
      </w:tr>
      <w:tr w:rsidR="00F64D06" w:rsidRPr="00805185" w14:paraId="69B3D053" w14:textId="77777777" w:rsidTr="002D50BC">
        <w:trPr>
          <w:trHeight w:val="395"/>
        </w:trPr>
        <w:tc>
          <w:tcPr>
            <w:tcW w:w="1903" w:type="pct"/>
            <w:shd w:val="clear" w:color="auto" w:fill="auto"/>
            <w:vAlign w:val="center"/>
          </w:tcPr>
          <w:p w14:paraId="7D65E0D8" w14:textId="77777777" w:rsidR="00252532" w:rsidRPr="00FC5FDD" w:rsidRDefault="00252532" w:rsidP="002D50BC">
            <w:pPr>
              <w:spacing w:after="0" w:line="276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Preoperative</w:t>
            </w:r>
            <w:proofErr w:type="spellEnd"/>
            <w:r w:rsidRPr="00FC5FD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medical</w:t>
            </w:r>
            <w:proofErr w:type="spellEnd"/>
            <w:r w:rsidRPr="00FC5FD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optimization</w:t>
            </w:r>
            <w:proofErr w:type="spellEnd"/>
          </w:p>
        </w:tc>
        <w:tc>
          <w:tcPr>
            <w:tcW w:w="3097" w:type="pct"/>
            <w:shd w:val="clear" w:color="auto" w:fill="auto"/>
            <w:vAlign w:val="center"/>
          </w:tcPr>
          <w:p w14:paraId="486FB082" w14:textId="77777777" w:rsidR="00252532" w:rsidRPr="00FC5FDD" w:rsidRDefault="00252532" w:rsidP="002D50BC">
            <w:pPr>
              <w:spacing w:after="0" w:line="276" w:lineRule="auto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FC5FDD">
              <w:rPr>
                <w:color w:val="000000" w:themeColor="text1"/>
                <w:sz w:val="16"/>
                <w:szCs w:val="16"/>
                <w:lang w:val="en-US"/>
              </w:rPr>
              <w:t>Correction of anemia and co-morbidities Nutritional support.</w:t>
            </w:r>
          </w:p>
          <w:p w14:paraId="7FD356BF" w14:textId="77777777" w:rsidR="00252532" w:rsidRPr="00FC5FDD" w:rsidRDefault="00252532" w:rsidP="002D50BC">
            <w:pPr>
              <w:spacing w:after="0" w:line="276" w:lineRule="auto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FC5FDD">
              <w:rPr>
                <w:color w:val="000000" w:themeColor="text1"/>
                <w:sz w:val="16"/>
                <w:szCs w:val="16"/>
                <w:lang w:val="en-US"/>
              </w:rPr>
              <w:t>Smoking cessation and reduction of alcohol intake 4 weeks prior to surgery; encouraging physical exercise.</w:t>
            </w:r>
          </w:p>
        </w:tc>
      </w:tr>
      <w:tr w:rsidR="00F64D06" w:rsidRPr="00805185" w14:paraId="380CE771" w14:textId="77777777" w:rsidTr="002D50BC">
        <w:trPr>
          <w:trHeight w:val="486"/>
        </w:trPr>
        <w:tc>
          <w:tcPr>
            <w:tcW w:w="1903" w:type="pct"/>
            <w:shd w:val="clear" w:color="auto" w:fill="auto"/>
            <w:vAlign w:val="center"/>
          </w:tcPr>
          <w:p w14:paraId="324BF292" w14:textId="77777777" w:rsidR="00252532" w:rsidRPr="00FC5FDD" w:rsidRDefault="00252532" w:rsidP="002D50BC">
            <w:pPr>
              <w:spacing w:after="0" w:line="276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C5FDD">
              <w:rPr>
                <w:color w:val="000000" w:themeColor="text1"/>
                <w:sz w:val="20"/>
                <w:szCs w:val="20"/>
              </w:rPr>
              <w:t xml:space="preserve">Oral </w:t>
            </w: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mechanical</w:t>
            </w:r>
            <w:proofErr w:type="spellEnd"/>
            <w:r w:rsidRPr="00FC5FD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bowel</w:t>
            </w:r>
            <w:proofErr w:type="spellEnd"/>
            <w:r w:rsidRPr="00FC5FD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097" w:type="pct"/>
            <w:shd w:val="clear" w:color="auto" w:fill="auto"/>
            <w:vAlign w:val="center"/>
          </w:tcPr>
          <w:p w14:paraId="26A58C87" w14:textId="77777777" w:rsidR="00252532" w:rsidRPr="00FC5FDD" w:rsidRDefault="00252532" w:rsidP="002D50BC">
            <w:pPr>
              <w:tabs>
                <w:tab w:val="left" w:pos="10915"/>
              </w:tabs>
              <w:spacing w:after="0" w:line="276" w:lineRule="auto"/>
              <w:jc w:val="left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FC5FDD">
              <w:rPr>
                <w:color w:val="000000" w:themeColor="text1"/>
                <w:sz w:val="16"/>
                <w:szCs w:val="16"/>
                <w:lang w:val="en-US"/>
              </w:rPr>
              <w:t>Preoperative bowel preparation can be safely omitted.</w:t>
            </w:r>
          </w:p>
        </w:tc>
      </w:tr>
      <w:tr w:rsidR="00F64D06" w:rsidRPr="00805185" w14:paraId="0D550678" w14:textId="77777777" w:rsidTr="002D50BC">
        <w:trPr>
          <w:trHeight w:val="256"/>
        </w:trPr>
        <w:tc>
          <w:tcPr>
            <w:tcW w:w="1903" w:type="pct"/>
            <w:shd w:val="clear" w:color="auto" w:fill="auto"/>
            <w:vAlign w:val="center"/>
          </w:tcPr>
          <w:p w14:paraId="6217B011" w14:textId="77777777" w:rsidR="00252532" w:rsidRPr="00FC5FDD" w:rsidRDefault="00252532" w:rsidP="002D50BC">
            <w:pPr>
              <w:spacing w:after="0" w:line="276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Preoperative</w:t>
            </w:r>
            <w:proofErr w:type="spellEnd"/>
            <w:r w:rsidRPr="00FC5FDD">
              <w:rPr>
                <w:color w:val="000000" w:themeColor="text1"/>
                <w:sz w:val="20"/>
                <w:szCs w:val="20"/>
              </w:rPr>
              <w:t xml:space="preserve"> carbohydrates </w:t>
            </w: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loading</w:t>
            </w:r>
            <w:proofErr w:type="spellEnd"/>
          </w:p>
        </w:tc>
        <w:tc>
          <w:tcPr>
            <w:tcW w:w="3097" w:type="pct"/>
            <w:shd w:val="clear" w:color="auto" w:fill="auto"/>
            <w:vAlign w:val="center"/>
          </w:tcPr>
          <w:p w14:paraId="41CA6A19" w14:textId="77777777" w:rsidR="00252532" w:rsidRPr="00FC5FDD" w:rsidRDefault="00252532" w:rsidP="002D50BC">
            <w:pPr>
              <w:tabs>
                <w:tab w:val="left" w:pos="10915"/>
              </w:tabs>
              <w:spacing w:after="0" w:line="276" w:lineRule="auto"/>
              <w:jc w:val="left"/>
              <w:rPr>
                <w:rFonts w:cs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 w:rsidRPr="00FC5FDD">
              <w:rPr>
                <w:color w:val="000000" w:themeColor="text1"/>
                <w:sz w:val="16"/>
                <w:szCs w:val="16"/>
                <w:lang w:val="en-US"/>
              </w:rPr>
              <w:t>Preoperative oral carbohydrate loading should be administrated to all non-diabetic patients.</w:t>
            </w:r>
          </w:p>
        </w:tc>
      </w:tr>
      <w:tr w:rsidR="00F64D06" w:rsidRPr="00FC5FDD" w14:paraId="52019ADA" w14:textId="77777777" w:rsidTr="002D50BC">
        <w:trPr>
          <w:trHeight w:val="270"/>
        </w:trPr>
        <w:tc>
          <w:tcPr>
            <w:tcW w:w="1903" w:type="pct"/>
            <w:shd w:val="clear" w:color="auto" w:fill="auto"/>
            <w:vAlign w:val="center"/>
          </w:tcPr>
          <w:p w14:paraId="11E5E4B7" w14:textId="77777777" w:rsidR="00252532" w:rsidRPr="00FC5FDD" w:rsidRDefault="00252532" w:rsidP="002D50BC">
            <w:pPr>
              <w:spacing w:after="0" w:line="276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Preoperative</w:t>
            </w:r>
            <w:proofErr w:type="spellEnd"/>
            <w:r w:rsidRPr="00FC5FD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fasting</w:t>
            </w:r>
            <w:proofErr w:type="spellEnd"/>
          </w:p>
        </w:tc>
        <w:tc>
          <w:tcPr>
            <w:tcW w:w="3097" w:type="pct"/>
            <w:shd w:val="clear" w:color="auto" w:fill="auto"/>
            <w:vAlign w:val="center"/>
          </w:tcPr>
          <w:p w14:paraId="3B840005" w14:textId="77777777" w:rsidR="00252532" w:rsidRPr="00FC5FDD" w:rsidRDefault="00252532" w:rsidP="002D50BC">
            <w:pPr>
              <w:spacing w:after="0" w:line="276" w:lineRule="auto"/>
              <w:jc w:val="left"/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FC5FDD">
              <w:rPr>
                <w:color w:val="000000" w:themeColor="text1"/>
                <w:sz w:val="16"/>
                <w:szCs w:val="16"/>
                <w:lang w:val="en-US"/>
              </w:rPr>
              <w:t>Intake of clear fluid up until 2 h before induction of general anesthesia is recommended. Solids are allowed up until 6 h before anesthesia.</w:t>
            </w:r>
          </w:p>
        </w:tc>
      </w:tr>
      <w:tr w:rsidR="00F64D06" w:rsidRPr="00805185" w14:paraId="6A7D7F20" w14:textId="77777777" w:rsidTr="002D50BC">
        <w:trPr>
          <w:trHeight w:val="250"/>
        </w:trPr>
        <w:tc>
          <w:tcPr>
            <w:tcW w:w="1903" w:type="pct"/>
            <w:shd w:val="clear" w:color="auto" w:fill="auto"/>
            <w:vAlign w:val="center"/>
          </w:tcPr>
          <w:p w14:paraId="229E91A3" w14:textId="77777777" w:rsidR="00252532" w:rsidRPr="00FC5FDD" w:rsidRDefault="00252532" w:rsidP="002D50BC">
            <w:pPr>
              <w:spacing w:after="0" w:line="276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Preanesthesia</w:t>
            </w:r>
            <w:proofErr w:type="spellEnd"/>
            <w:r w:rsidRPr="00FC5FD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medication</w:t>
            </w:r>
            <w:proofErr w:type="spellEnd"/>
          </w:p>
        </w:tc>
        <w:tc>
          <w:tcPr>
            <w:tcW w:w="3097" w:type="pct"/>
            <w:shd w:val="clear" w:color="auto" w:fill="auto"/>
            <w:vAlign w:val="center"/>
          </w:tcPr>
          <w:p w14:paraId="3845D808" w14:textId="77777777" w:rsidR="00252532" w:rsidRPr="00FC5FDD" w:rsidRDefault="00252532" w:rsidP="002D50BC">
            <w:pPr>
              <w:spacing w:after="0" w:line="276" w:lineRule="auto"/>
              <w:jc w:val="left"/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FC5FDD">
              <w:rPr>
                <w:color w:val="000000" w:themeColor="text1"/>
                <w:sz w:val="16"/>
                <w:szCs w:val="16"/>
                <w:lang w:val="en-US"/>
              </w:rPr>
              <w:t>Avoidance of long-acting sedatives.</w:t>
            </w:r>
          </w:p>
        </w:tc>
      </w:tr>
      <w:tr w:rsidR="00252532" w:rsidRPr="00FC5FDD" w14:paraId="1442C40B" w14:textId="77777777" w:rsidTr="002D50BC">
        <w:trPr>
          <w:trHeight w:val="12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B82CEC1" w14:textId="77777777" w:rsidR="00252532" w:rsidRPr="00F64D06" w:rsidRDefault="00252532" w:rsidP="00BC64EF">
            <w:pPr>
              <w:spacing w:after="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4D06">
              <w:rPr>
                <w:b/>
                <w:color w:val="000000" w:themeColor="text1"/>
                <w:sz w:val="24"/>
                <w:szCs w:val="24"/>
              </w:rPr>
              <w:t>Peroperative</w:t>
            </w:r>
            <w:proofErr w:type="spellEnd"/>
          </w:p>
        </w:tc>
      </w:tr>
      <w:tr w:rsidR="00F64D06" w:rsidRPr="00805185" w14:paraId="30AF83CC" w14:textId="77777777" w:rsidTr="002D50BC">
        <w:trPr>
          <w:trHeight w:val="252"/>
        </w:trPr>
        <w:tc>
          <w:tcPr>
            <w:tcW w:w="1903" w:type="pct"/>
            <w:shd w:val="clear" w:color="auto" w:fill="auto"/>
            <w:vAlign w:val="center"/>
          </w:tcPr>
          <w:p w14:paraId="60678C45" w14:textId="77777777" w:rsidR="00252532" w:rsidRPr="00FC5FDD" w:rsidRDefault="00252532" w:rsidP="002D50BC">
            <w:pPr>
              <w:spacing w:after="0" w:line="276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Minimally</w:t>
            </w:r>
            <w:proofErr w:type="spellEnd"/>
            <w:r w:rsidRPr="00FC5FDD">
              <w:rPr>
                <w:color w:val="000000" w:themeColor="text1"/>
                <w:sz w:val="20"/>
                <w:szCs w:val="20"/>
              </w:rPr>
              <w:t xml:space="preserve"> invasive </w:t>
            </w: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approach</w:t>
            </w:r>
            <w:proofErr w:type="spellEnd"/>
          </w:p>
        </w:tc>
        <w:tc>
          <w:tcPr>
            <w:tcW w:w="3097" w:type="pct"/>
            <w:shd w:val="clear" w:color="auto" w:fill="auto"/>
            <w:vAlign w:val="center"/>
          </w:tcPr>
          <w:p w14:paraId="7F7D2EB2" w14:textId="77777777" w:rsidR="00252532" w:rsidRPr="00FC5FDD" w:rsidRDefault="00252532" w:rsidP="002D50BC">
            <w:pPr>
              <w:spacing w:after="0" w:line="276" w:lineRule="auto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FC5FDD">
              <w:rPr>
                <w:color w:val="000000" w:themeColor="text1"/>
                <w:sz w:val="16"/>
                <w:szCs w:val="16"/>
                <w:lang w:val="en-US"/>
              </w:rPr>
              <w:t>At most feasible; in trial setting</w:t>
            </w:r>
          </w:p>
          <w:p w14:paraId="007557A2" w14:textId="77777777" w:rsidR="00252532" w:rsidRPr="00FC5FDD" w:rsidRDefault="00252532" w:rsidP="002D50BC">
            <w:pPr>
              <w:spacing w:after="0" w:line="276" w:lineRule="auto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FC5FDD">
              <w:rPr>
                <w:color w:val="000000" w:themeColor="text1"/>
                <w:sz w:val="16"/>
                <w:szCs w:val="16"/>
                <w:lang w:val="en-US"/>
              </w:rPr>
              <w:t>Long term oncological results awaited.</w:t>
            </w:r>
          </w:p>
        </w:tc>
      </w:tr>
      <w:tr w:rsidR="00F64D06" w:rsidRPr="00805185" w14:paraId="7878B2FA" w14:textId="77777777" w:rsidTr="002D50BC">
        <w:trPr>
          <w:trHeight w:val="242"/>
        </w:trPr>
        <w:tc>
          <w:tcPr>
            <w:tcW w:w="1903" w:type="pct"/>
            <w:shd w:val="clear" w:color="auto" w:fill="auto"/>
            <w:vAlign w:val="center"/>
          </w:tcPr>
          <w:p w14:paraId="585FE773" w14:textId="77777777" w:rsidR="00252532" w:rsidRPr="00FC5FDD" w:rsidRDefault="00252532" w:rsidP="002D50BC">
            <w:pPr>
              <w:spacing w:after="0" w:line="276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Resection</w:t>
            </w:r>
            <w:proofErr w:type="spellEnd"/>
            <w:r w:rsidRPr="00FC5FDD">
              <w:rPr>
                <w:color w:val="000000" w:themeColor="text1"/>
                <w:sz w:val="20"/>
                <w:szCs w:val="20"/>
              </w:rPr>
              <w:t xml:space="preserve"> site drainage</w:t>
            </w:r>
          </w:p>
        </w:tc>
        <w:tc>
          <w:tcPr>
            <w:tcW w:w="3097" w:type="pct"/>
            <w:shd w:val="clear" w:color="auto" w:fill="auto"/>
            <w:vAlign w:val="center"/>
          </w:tcPr>
          <w:p w14:paraId="723F10E9" w14:textId="77777777" w:rsidR="00252532" w:rsidRPr="00FC5FDD" w:rsidRDefault="00252532" w:rsidP="002D50BC">
            <w:pPr>
              <w:spacing w:after="0" w:line="276" w:lineRule="auto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FC5FDD">
              <w:rPr>
                <w:color w:val="000000" w:themeColor="text1"/>
                <w:sz w:val="16"/>
                <w:szCs w:val="16"/>
                <w:lang w:val="en-US"/>
              </w:rPr>
              <w:t>Perianastomotic and/or pelvic drain can be safely omitted.</w:t>
            </w:r>
          </w:p>
        </w:tc>
      </w:tr>
      <w:tr w:rsidR="00F64D06" w:rsidRPr="00805185" w14:paraId="31A03833" w14:textId="77777777" w:rsidTr="002D50BC">
        <w:trPr>
          <w:trHeight w:val="236"/>
        </w:trPr>
        <w:tc>
          <w:tcPr>
            <w:tcW w:w="1903" w:type="pct"/>
            <w:shd w:val="clear" w:color="auto" w:fill="auto"/>
            <w:vAlign w:val="center"/>
          </w:tcPr>
          <w:p w14:paraId="4977163C" w14:textId="77777777" w:rsidR="00252532" w:rsidRPr="00FC5FDD" w:rsidRDefault="00252532" w:rsidP="002D50BC">
            <w:pPr>
              <w:spacing w:after="0" w:line="276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Preventing</w:t>
            </w:r>
            <w:proofErr w:type="spellEnd"/>
            <w:r w:rsidRPr="00FC5FD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intraoperative</w:t>
            </w:r>
            <w:proofErr w:type="spellEnd"/>
            <w:r w:rsidRPr="00FC5FD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hypothermia</w:t>
            </w:r>
            <w:proofErr w:type="spellEnd"/>
          </w:p>
        </w:tc>
        <w:tc>
          <w:tcPr>
            <w:tcW w:w="3097" w:type="pct"/>
            <w:shd w:val="clear" w:color="auto" w:fill="auto"/>
            <w:vAlign w:val="center"/>
          </w:tcPr>
          <w:p w14:paraId="789CC78C" w14:textId="77777777" w:rsidR="00252532" w:rsidRPr="00FC5FDD" w:rsidRDefault="00252532" w:rsidP="002D50BC">
            <w:pPr>
              <w:spacing w:after="0" w:line="276" w:lineRule="auto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FC5FDD">
              <w:rPr>
                <w:color w:val="000000" w:themeColor="text1"/>
                <w:sz w:val="16"/>
                <w:szCs w:val="16"/>
                <w:lang w:val="en-US"/>
              </w:rPr>
              <w:t>Normal body temperature should be maintained per- and postoperatively.</w:t>
            </w:r>
          </w:p>
        </w:tc>
      </w:tr>
      <w:tr w:rsidR="00F64D06" w:rsidRPr="00FC5FDD" w14:paraId="7EA1F82E" w14:textId="77777777" w:rsidTr="002D50BC">
        <w:trPr>
          <w:trHeight w:val="395"/>
        </w:trPr>
        <w:tc>
          <w:tcPr>
            <w:tcW w:w="1903" w:type="pct"/>
            <w:shd w:val="clear" w:color="auto" w:fill="auto"/>
            <w:vAlign w:val="center"/>
          </w:tcPr>
          <w:p w14:paraId="6A98DD8F" w14:textId="77777777" w:rsidR="00252532" w:rsidRPr="00FC5FDD" w:rsidRDefault="00252532" w:rsidP="002D50BC">
            <w:pPr>
              <w:spacing w:after="0" w:line="276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Perioperative</w:t>
            </w:r>
            <w:proofErr w:type="spellEnd"/>
            <w:r w:rsidRPr="00FC5FD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fluid</w:t>
            </w:r>
            <w:proofErr w:type="spellEnd"/>
            <w:r w:rsidRPr="00FC5FDD">
              <w:rPr>
                <w:color w:val="000000" w:themeColor="text1"/>
                <w:sz w:val="20"/>
                <w:szCs w:val="20"/>
              </w:rPr>
              <w:t xml:space="preserve"> management</w:t>
            </w:r>
          </w:p>
        </w:tc>
        <w:tc>
          <w:tcPr>
            <w:tcW w:w="3097" w:type="pct"/>
            <w:shd w:val="clear" w:color="auto" w:fill="auto"/>
            <w:vAlign w:val="center"/>
          </w:tcPr>
          <w:p w14:paraId="05789969" w14:textId="77777777" w:rsidR="00252532" w:rsidRPr="00FC5FDD" w:rsidRDefault="00252532" w:rsidP="002D50BC">
            <w:pPr>
              <w:spacing w:after="0" w:line="276" w:lineRule="auto"/>
              <w:jc w:val="left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FC5FDD">
              <w:rPr>
                <w:color w:val="000000" w:themeColor="text1"/>
                <w:sz w:val="16"/>
                <w:szCs w:val="16"/>
                <w:lang w:val="en-US"/>
              </w:rPr>
              <w:t xml:space="preserve">Fluid balance should be optimized by targeting cardiac output using the esophageal Doppler system or other systems for this purpose and avoiding </w:t>
            </w:r>
            <w:proofErr w:type="spellStart"/>
            <w:r w:rsidRPr="00FC5FDD">
              <w:rPr>
                <w:color w:val="000000" w:themeColor="text1"/>
                <w:sz w:val="16"/>
                <w:szCs w:val="16"/>
                <w:lang w:val="en-US"/>
              </w:rPr>
              <w:t>overhydraion</w:t>
            </w:r>
            <w:proofErr w:type="spellEnd"/>
            <w:r w:rsidRPr="00FC5FDD">
              <w:rPr>
                <w:color w:val="000000" w:themeColor="text1"/>
                <w:sz w:val="16"/>
                <w:szCs w:val="16"/>
                <w:lang w:val="en-US"/>
              </w:rPr>
              <w:t xml:space="preserve">. Judicious use of vasopressors is recommended with arterial hypotension. </w:t>
            </w:r>
          </w:p>
        </w:tc>
      </w:tr>
      <w:tr w:rsidR="00F64D06" w:rsidRPr="00FC5FDD" w14:paraId="0284890D" w14:textId="77777777" w:rsidTr="002D50BC">
        <w:trPr>
          <w:trHeight w:val="190"/>
        </w:trPr>
        <w:tc>
          <w:tcPr>
            <w:tcW w:w="1903" w:type="pct"/>
            <w:shd w:val="clear" w:color="auto" w:fill="auto"/>
            <w:vAlign w:val="center"/>
          </w:tcPr>
          <w:p w14:paraId="26BAEEE7" w14:textId="77777777" w:rsidR="00252532" w:rsidRPr="00FC5FDD" w:rsidRDefault="00252532" w:rsidP="002D50BC">
            <w:pPr>
              <w:spacing w:after="0" w:line="276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Epidural</w:t>
            </w:r>
            <w:proofErr w:type="spellEnd"/>
            <w:r w:rsidRPr="00FC5FD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analgesia</w:t>
            </w:r>
            <w:proofErr w:type="spellEnd"/>
          </w:p>
        </w:tc>
        <w:tc>
          <w:tcPr>
            <w:tcW w:w="3097" w:type="pct"/>
            <w:shd w:val="clear" w:color="auto" w:fill="auto"/>
            <w:vAlign w:val="center"/>
          </w:tcPr>
          <w:p w14:paraId="6C6BE6DC" w14:textId="77777777" w:rsidR="00252532" w:rsidRPr="00FC5FDD" w:rsidRDefault="00252532" w:rsidP="002D50BC">
            <w:pPr>
              <w:spacing w:after="0" w:line="276" w:lineRule="auto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FC5FDD">
              <w:rPr>
                <w:color w:val="000000" w:themeColor="text1"/>
                <w:sz w:val="16"/>
                <w:szCs w:val="16"/>
                <w:lang w:val="en-US"/>
              </w:rPr>
              <w:t>Thoracic epidural analgesia is superior to systemic opioids in relieving pain. It should be continued for 72h.</w:t>
            </w:r>
          </w:p>
        </w:tc>
      </w:tr>
      <w:tr w:rsidR="00F64D06" w:rsidRPr="00FC5FDD" w14:paraId="5519FCEB" w14:textId="77777777" w:rsidTr="002D50BC">
        <w:trPr>
          <w:trHeight w:val="181"/>
        </w:trPr>
        <w:tc>
          <w:tcPr>
            <w:tcW w:w="1903" w:type="pct"/>
            <w:shd w:val="clear" w:color="auto" w:fill="auto"/>
            <w:vAlign w:val="center"/>
          </w:tcPr>
          <w:p w14:paraId="318A6667" w14:textId="77777777" w:rsidR="00252532" w:rsidRPr="00FC5FDD" w:rsidRDefault="00252532" w:rsidP="002D50BC">
            <w:pPr>
              <w:spacing w:after="0" w:line="276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C5FDD">
              <w:rPr>
                <w:color w:val="000000" w:themeColor="text1"/>
                <w:sz w:val="20"/>
                <w:szCs w:val="20"/>
              </w:rPr>
              <w:t xml:space="preserve">Standard </w:t>
            </w: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anesthetic</w:t>
            </w:r>
            <w:proofErr w:type="spellEnd"/>
            <w:r w:rsidRPr="00FC5FD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protocol</w:t>
            </w:r>
            <w:proofErr w:type="spellEnd"/>
          </w:p>
        </w:tc>
        <w:tc>
          <w:tcPr>
            <w:tcW w:w="3097" w:type="pct"/>
            <w:shd w:val="clear" w:color="auto" w:fill="auto"/>
            <w:vAlign w:val="center"/>
          </w:tcPr>
          <w:p w14:paraId="25875D7B" w14:textId="77777777" w:rsidR="00252532" w:rsidRPr="00FC5FDD" w:rsidRDefault="00252532" w:rsidP="002D50BC">
            <w:pPr>
              <w:spacing w:after="0" w:line="276" w:lineRule="auto"/>
              <w:jc w:val="left"/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FC5FDD">
              <w:rPr>
                <w:color w:val="000000" w:themeColor="text1"/>
                <w:sz w:val="16"/>
                <w:szCs w:val="16"/>
                <w:lang w:val="en-US"/>
              </w:rPr>
              <w:t>To attenuate the surgical stress response, intraoperative maintenance of adequate hemodynamic control, central and peripheral oxygenation, muscle relaxation, depth of anesthesia, and appropriate analgesia is recommended. Fast acting agents?</w:t>
            </w:r>
          </w:p>
        </w:tc>
      </w:tr>
      <w:tr w:rsidR="00F64D06" w:rsidRPr="00805185" w14:paraId="0BD81B76" w14:textId="77777777" w:rsidTr="002D50BC">
        <w:trPr>
          <w:trHeight w:val="170"/>
        </w:trPr>
        <w:tc>
          <w:tcPr>
            <w:tcW w:w="1903" w:type="pct"/>
            <w:shd w:val="clear" w:color="auto" w:fill="auto"/>
            <w:vAlign w:val="center"/>
          </w:tcPr>
          <w:p w14:paraId="610896EA" w14:textId="77777777" w:rsidR="00252532" w:rsidRPr="00FC5FDD" w:rsidRDefault="00252532" w:rsidP="002D50BC">
            <w:pPr>
              <w:spacing w:after="0" w:line="276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Prevention</w:t>
            </w:r>
            <w:proofErr w:type="spellEnd"/>
            <w:r w:rsidRPr="00FC5FDD">
              <w:rPr>
                <w:color w:val="000000" w:themeColor="text1"/>
                <w:sz w:val="20"/>
                <w:szCs w:val="20"/>
              </w:rPr>
              <w:t xml:space="preserve"> of PONV</w:t>
            </w:r>
          </w:p>
        </w:tc>
        <w:tc>
          <w:tcPr>
            <w:tcW w:w="3097" w:type="pct"/>
            <w:shd w:val="clear" w:color="auto" w:fill="auto"/>
            <w:vAlign w:val="center"/>
          </w:tcPr>
          <w:p w14:paraId="21927D28" w14:textId="77777777" w:rsidR="00252532" w:rsidRPr="00FC5FDD" w:rsidRDefault="00252532" w:rsidP="002D50BC">
            <w:pPr>
              <w:spacing w:after="0" w:line="276" w:lineRule="auto"/>
              <w:jc w:val="left"/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FC5FDD">
              <w:rPr>
                <w:color w:val="000000" w:themeColor="text1"/>
                <w:sz w:val="16"/>
                <w:szCs w:val="16"/>
                <w:lang w:val="en-US"/>
              </w:rPr>
              <w:t xml:space="preserve">A multimodal PONV prophylaxis should be adopted in all patients with </w:t>
            </w:r>
            <w:r w:rsidRPr="00FC5FD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≥2 risk factors.</w:t>
            </w:r>
          </w:p>
        </w:tc>
      </w:tr>
      <w:tr w:rsidR="00F64D06" w:rsidRPr="00805185" w14:paraId="54EF33EE" w14:textId="77777777" w:rsidTr="002D50BC">
        <w:trPr>
          <w:trHeight w:val="284"/>
        </w:trPr>
        <w:tc>
          <w:tcPr>
            <w:tcW w:w="1903" w:type="pct"/>
            <w:shd w:val="clear" w:color="auto" w:fill="auto"/>
            <w:vAlign w:val="center"/>
          </w:tcPr>
          <w:p w14:paraId="7CA22C9E" w14:textId="77777777" w:rsidR="00252532" w:rsidRPr="00FC5FDD" w:rsidRDefault="00252532" w:rsidP="002D50BC">
            <w:pPr>
              <w:spacing w:after="0" w:line="276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Antimicrobial</w:t>
            </w:r>
            <w:proofErr w:type="spellEnd"/>
            <w:r w:rsidRPr="00FC5FD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prophylaxis</w:t>
            </w:r>
            <w:proofErr w:type="spellEnd"/>
            <w:r w:rsidRPr="00FC5FDD">
              <w:rPr>
                <w:color w:val="000000" w:themeColor="text1"/>
                <w:sz w:val="20"/>
                <w:szCs w:val="20"/>
              </w:rPr>
              <w:t xml:space="preserve"> and skin </w:t>
            </w: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097" w:type="pct"/>
            <w:shd w:val="clear" w:color="auto" w:fill="auto"/>
            <w:vAlign w:val="center"/>
          </w:tcPr>
          <w:p w14:paraId="7496B6C9" w14:textId="77777777" w:rsidR="00252532" w:rsidRPr="00FC5FDD" w:rsidRDefault="00252532" w:rsidP="002D50BC">
            <w:pPr>
              <w:spacing w:after="0" w:line="276" w:lineRule="auto"/>
              <w:jc w:val="left"/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FC5FDD">
              <w:rPr>
                <w:color w:val="000000" w:themeColor="text1"/>
                <w:sz w:val="16"/>
                <w:szCs w:val="16"/>
                <w:lang w:val="en-US"/>
              </w:rPr>
              <w:t>Patient should receive a single dose antimicrobial prophylaxis 1 h before skin incision. Skin preparation with chlorhexidine-alcohol prevents/decreases surgical site infection.</w:t>
            </w:r>
          </w:p>
        </w:tc>
      </w:tr>
      <w:tr w:rsidR="00F64D06" w:rsidRPr="00FC5FDD" w14:paraId="5DF8869C" w14:textId="77777777" w:rsidTr="002D50BC">
        <w:trPr>
          <w:trHeight w:val="284"/>
        </w:trPr>
        <w:tc>
          <w:tcPr>
            <w:tcW w:w="1903" w:type="pct"/>
            <w:shd w:val="clear" w:color="auto" w:fill="auto"/>
            <w:vAlign w:val="center"/>
          </w:tcPr>
          <w:p w14:paraId="77A8157D" w14:textId="77777777" w:rsidR="00252532" w:rsidRPr="00FC5FDD" w:rsidRDefault="00252532" w:rsidP="002D50BC">
            <w:pPr>
              <w:spacing w:after="0" w:line="276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Thrombosis</w:t>
            </w:r>
            <w:proofErr w:type="spellEnd"/>
            <w:r w:rsidRPr="00FC5FD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prophylaxis</w:t>
            </w:r>
            <w:proofErr w:type="spellEnd"/>
          </w:p>
        </w:tc>
        <w:tc>
          <w:tcPr>
            <w:tcW w:w="3097" w:type="pct"/>
            <w:shd w:val="clear" w:color="auto" w:fill="auto"/>
            <w:vAlign w:val="center"/>
          </w:tcPr>
          <w:p w14:paraId="064D490F" w14:textId="77777777" w:rsidR="00252532" w:rsidRPr="00FC5FDD" w:rsidRDefault="00252532" w:rsidP="002D50BC">
            <w:pPr>
              <w:spacing w:after="0" w:line="276" w:lineRule="auto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FC5FDD">
              <w:rPr>
                <w:color w:val="000000" w:themeColor="text1"/>
                <w:sz w:val="16"/>
                <w:szCs w:val="16"/>
                <w:lang w:val="en-US"/>
              </w:rPr>
              <w:t xml:space="preserve">Patient should wear well-fitting compression stockings and receive pharmacological prophylaxis with LMWH. Extended prophylaxis for 4 weeks should be carried out in patients at risk. 12 h interval between injections and epidural manipulation. </w:t>
            </w:r>
          </w:p>
        </w:tc>
      </w:tr>
      <w:tr w:rsidR="00252532" w:rsidRPr="00FC5FDD" w14:paraId="1730C187" w14:textId="77777777" w:rsidTr="002D50BC">
        <w:trPr>
          <w:trHeight w:val="42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250F76C" w14:textId="77777777" w:rsidR="00252532" w:rsidRPr="00F64D06" w:rsidRDefault="00252532" w:rsidP="00BC64EF">
            <w:pPr>
              <w:spacing w:after="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64D06">
              <w:rPr>
                <w:b/>
                <w:color w:val="000000" w:themeColor="text1"/>
                <w:sz w:val="24"/>
                <w:szCs w:val="24"/>
              </w:rPr>
              <w:t>Postoperative</w:t>
            </w:r>
            <w:proofErr w:type="spellEnd"/>
          </w:p>
        </w:tc>
      </w:tr>
      <w:tr w:rsidR="00F64D06" w:rsidRPr="00805185" w14:paraId="72D64113" w14:textId="77777777" w:rsidTr="002D50BC">
        <w:trPr>
          <w:trHeight w:val="395"/>
        </w:trPr>
        <w:tc>
          <w:tcPr>
            <w:tcW w:w="1903" w:type="pct"/>
            <w:shd w:val="clear" w:color="auto" w:fill="auto"/>
            <w:vAlign w:val="center"/>
          </w:tcPr>
          <w:p w14:paraId="447D22F9" w14:textId="77777777" w:rsidR="00252532" w:rsidRPr="00FC5FDD" w:rsidRDefault="00252532" w:rsidP="002D50BC">
            <w:pPr>
              <w:spacing w:after="0" w:line="276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Nasogastric</w:t>
            </w:r>
            <w:proofErr w:type="spellEnd"/>
            <w:r w:rsidRPr="00FC5FDD">
              <w:rPr>
                <w:color w:val="000000" w:themeColor="text1"/>
                <w:sz w:val="20"/>
                <w:szCs w:val="20"/>
              </w:rPr>
              <w:t xml:space="preserve"> intubation</w:t>
            </w:r>
          </w:p>
        </w:tc>
        <w:tc>
          <w:tcPr>
            <w:tcW w:w="3097" w:type="pct"/>
            <w:shd w:val="clear" w:color="auto" w:fill="auto"/>
            <w:vAlign w:val="center"/>
          </w:tcPr>
          <w:p w14:paraId="0FB37683" w14:textId="77777777" w:rsidR="00252532" w:rsidRPr="00FC5FDD" w:rsidRDefault="00252532" w:rsidP="002D50BC">
            <w:pPr>
              <w:spacing w:after="0" w:line="276" w:lineRule="auto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FC5FDD">
              <w:rPr>
                <w:color w:val="000000" w:themeColor="text1"/>
                <w:sz w:val="16"/>
                <w:szCs w:val="16"/>
                <w:lang w:val="en-US"/>
              </w:rPr>
              <w:t xml:space="preserve">Postoperative nasogastric intubation should not be used routinely. </w:t>
            </w:r>
          </w:p>
        </w:tc>
      </w:tr>
      <w:tr w:rsidR="00F64D06" w:rsidRPr="00805185" w14:paraId="3805F8B9" w14:textId="77777777" w:rsidTr="002D50BC">
        <w:trPr>
          <w:trHeight w:val="249"/>
        </w:trPr>
        <w:tc>
          <w:tcPr>
            <w:tcW w:w="1903" w:type="pct"/>
            <w:shd w:val="clear" w:color="auto" w:fill="auto"/>
            <w:vAlign w:val="center"/>
          </w:tcPr>
          <w:p w14:paraId="208B6CAA" w14:textId="77777777" w:rsidR="00252532" w:rsidRPr="00FC5FDD" w:rsidRDefault="00252532" w:rsidP="002D50BC">
            <w:pPr>
              <w:spacing w:after="0" w:line="276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Prevention</w:t>
            </w:r>
            <w:proofErr w:type="spellEnd"/>
            <w:r w:rsidRPr="00FC5FD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of postoperat</w:t>
            </w:r>
            <w:proofErr w:type="spellEnd"/>
            <w:r w:rsidRPr="00FC5FDD">
              <w:rPr>
                <w:color w:val="000000" w:themeColor="text1"/>
                <w:sz w:val="20"/>
                <w:szCs w:val="20"/>
              </w:rPr>
              <w:t xml:space="preserve">ive </w:t>
            </w: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ileus</w:t>
            </w:r>
            <w:proofErr w:type="spellEnd"/>
            <w:r w:rsidRPr="00FC5FD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97" w:type="pct"/>
            <w:shd w:val="clear" w:color="auto" w:fill="auto"/>
            <w:vAlign w:val="center"/>
          </w:tcPr>
          <w:p w14:paraId="1FD48BDA" w14:textId="77777777" w:rsidR="00252532" w:rsidRPr="00FC5FDD" w:rsidRDefault="00252532" w:rsidP="002D50BC">
            <w:pPr>
              <w:spacing w:after="0" w:line="276" w:lineRule="auto"/>
              <w:jc w:val="left"/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FC5FDD">
              <w:rPr>
                <w:color w:val="000000" w:themeColor="text1"/>
                <w:sz w:val="16"/>
                <w:szCs w:val="16"/>
                <w:lang w:val="en-US"/>
              </w:rPr>
              <w:t>A multimodal approach to optimize gut function should involve gum chewing and oral magnesium.</w:t>
            </w:r>
          </w:p>
        </w:tc>
      </w:tr>
      <w:tr w:rsidR="00F64D06" w:rsidRPr="00805185" w14:paraId="6EDA0928" w14:textId="77777777" w:rsidTr="002D50BC">
        <w:trPr>
          <w:trHeight w:val="395"/>
        </w:trPr>
        <w:tc>
          <w:tcPr>
            <w:tcW w:w="1903" w:type="pct"/>
            <w:shd w:val="clear" w:color="auto" w:fill="auto"/>
            <w:vAlign w:val="center"/>
          </w:tcPr>
          <w:p w14:paraId="58239278" w14:textId="77777777" w:rsidR="00252532" w:rsidRPr="00FC5FDD" w:rsidRDefault="00252532" w:rsidP="002D50BC">
            <w:pPr>
              <w:spacing w:after="0" w:line="276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Early</w:t>
            </w:r>
            <w:proofErr w:type="spellEnd"/>
            <w:r w:rsidRPr="00FC5FDD">
              <w:rPr>
                <w:color w:val="000000" w:themeColor="text1"/>
                <w:sz w:val="20"/>
                <w:szCs w:val="20"/>
              </w:rPr>
              <w:t xml:space="preserve"> oral </w:t>
            </w: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diet</w:t>
            </w:r>
            <w:proofErr w:type="spellEnd"/>
          </w:p>
        </w:tc>
        <w:tc>
          <w:tcPr>
            <w:tcW w:w="3097" w:type="pct"/>
            <w:shd w:val="clear" w:color="auto" w:fill="auto"/>
            <w:vAlign w:val="center"/>
          </w:tcPr>
          <w:p w14:paraId="67B6E773" w14:textId="77777777" w:rsidR="00252532" w:rsidRPr="00FC5FDD" w:rsidRDefault="00252532" w:rsidP="002D50BC">
            <w:pPr>
              <w:spacing w:after="0" w:line="276" w:lineRule="auto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FC5FDD">
              <w:rPr>
                <w:color w:val="000000" w:themeColor="text1"/>
                <w:sz w:val="16"/>
                <w:szCs w:val="16"/>
                <w:lang w:val="en-US"/>
              </w:rPr>
              <w:t>Early oral nutrition should be started 4 h after surgery.</w:t>
            </w:r>
          </w:p>
        </w:tc>
      </w:tr>
      <w:tr w:rsidR="00F64D06" w:rsidRPr="00805185" w14:paraId="332065CD" w14:textId="77777777" w:rsidTr="002D50BC">
        <w:trPr>
          <w:trHeight w:val="463"/>
        </w:trPr>
        <w:tc>
          <w:tcPr>
            <w:tcW w:w="1903" w:type="pct"/>
            <w:shd w:val="clear" w:color="auto" w:fill="auto"/>
            <w:vAlign w:val="center"/>
          </w:tcPr>
          <w:p w14:paraId="3D9E3054" w14:textId="77777777" w:rsidR="00252532" w:rsidRPr="00FC5FDD" w:rsidRDefault="00252532" w:rsidP="002D50BC">
            <w:pPr>
              <w:spacing w:after="0" w:line="276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Urinary</w:t>
            </w:r>
            <w:proofErr w:type="spellEnd"/>
            <w:r w:rsidRPr="00FC5FDD">
              <w:rPr>
                <w:color w:val="000000" w:themeColor="text1"/>
                <w:sz w:val="20"/>
                <w:szCs w:val="20"/>
              </w:rPr>
              <w:t xml:space="preserve"> drainage</w:t>
            </w:r>
          </w:p>
        </w:tc>
        <w:tc>
          <w:tcPr>
            <w:tcW w:w="3097" w:type="pct"/>
            <w:shd w:val="clear" w:color="auto" w:fill="auto"/>
            <w:vAlign w:val="center"/>
          </w:tcPr>
          <w:p w14:paraId="78B0D676" w14:textId="77777777" w:rsidR="00252532" w:rsidRPr="00FC5FDD" w:rsidRDefault="00252532" w:rsidP="002D50BC">
            <w:pPr>
              <w:spacing w:after="0" w:line="240" w:lineRule="auto"/>
              <w:contextualSpacing/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FC5FD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Ureteral stents and transurethral neo-bladder catheter should be used. The optimal duration of ureteral stenting and transurethral catheterization is unknown. </w:t>
            </w:r>
          </w:p>
        </w:tc>
      </w:tr>
      <w:tr w:rsidR="00F64D06" w:rsidRPr="00805185" w14:paraId="057DDD38" w14:textId="77777777" w:rsidTr="002D50BC">
        <w:trPr>
          <w:trHeight w:val="71"/>
        </w:trPr>
        <w:tc>
          <w:tcPr>
            <w:tcW w:w="1903" w:type="pct"/>
            <w:shd w:val="clear" w:color="auto" w:fill="auto"/>
            <w:vAlign w:val="center"/>
          </w:tcPr>
          <w:p w14:paraId="7CEE49E7" w14:textId="77777777" w:rsidR="00252532" w:rsidRPr="00FC5FDD" w:rsidRDefault="00252532" w:rsidP="002D50BC">
            <w:pPr>
              <w:spacing w:after="0" w:line="276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Postoperative</w:t>
            </w:r>
            <w:proofErr w:type="spellEnd"/>
            <w:r w:rsidRPr="00FC5FD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analgesia</w:t>
            </w:r>
            <w:proofErr w:type="spellEnd"/>
          </w:p>
        </w:tc>
        <w:tc>
          <w:tcPr>
            <w:tcW w:w="3097" w:type="pct"/>
            <w:shd w:val="clear" w:color="auto" w:fill="auto"/>
            <w:vAlign w:val="center"/>
          </w:tcPr>
          <w:p w14:paraId="5C961A5A" w14:textId="77777777" w:rsidR="00252532" w:rsidRPr="00FC5FDD" w:rsidRDefault="00252532" w:rsidP="002D50BC">
            <w:pPr>
              <w:spacing w:after="0" w:line="276" w:lineRule="auto"/>
              <w:jc w:val="left"/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FC5FD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A multimodal postoperative analgesia should include thoracic epidural analgesia</w:t>
            </w:r>
          </w:p>
        </w:tc>
      </w:tr>
      <w:tr w:rsidR="00F64D06" w:rsidRPr="00805185" w14:paraId="797EA63C" w14:textId="77777777" w:rsidTr="002D50BC">
        <w:trPr>
          <w:trHeight w:val="395"/>
        </w:trPr>
        <w:tc>
          <w:tcPr>
            <w:tcW w:w="1903" w:type="pct"/>
            <w:shd w:val="clear" w:color="auto" w:fill="auto"/>
            <w:vAlign w:val="center"/>
          </w:tcPr>
          <w:p w14:paraId="489C5DBF" w14:textId="77777777" w:rsidR="00252532" w:rsidRPr="00FC5FDD" w:rsidRDefault="00252532" w:rsidP="002D50BC">
            <w:pPr>
              <w:spacing w:after="0" w:line="276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Early</w:t>
            </w:r>
            <w:proofErr w:type="spellEnd"/>
            <w:r w:rsidRPr="00FC5FD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5FDD">
              <w:rPr>
                <w:color w:val="000000" w:themeColor="text1"/>
                <w:sz w:val="20"/>
                <w:szCs w:val="20"/>
              </w:rPr>
              <w:t>mobilization</w:t>
            </w:r>
            <w:proofErr w:type="spellEnd"/>
          </w:p>
        </w:tc>
        <w:tc>
          <w:tcPr>
            <w:tcW w:w="3097" w:type="pct"/>
            <w:shd w:val="clear" w:color="auto" w:fill="auto"/>
            <w:vAlign w:val="center"/>
          </w:tcPr>
          <w:p w14:paraId="31C54F44" w14:textId="77777777" w:rsidR="00252532" w:rsidRPr="00FC5FDD" w:rsidRDefault="00252532" w:rsidP="002D50BC">
            <w:pPr>
              <w:tabs>
                <w:tab w:val="left" w:pos="10915"/>
              </w:tabs>
              <w:spacing w:after="0" w:line="276" w:lineRule="auto"/>
              <w:jc w:val="left"/>
              <w:rPr>
                <w:rFonts w:cs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 w:rsidRPr="00FC5FDD">
              <w:rPr>
                <w:color w:val="000000" w:themeColor="text1"/>
                <w:sz w:val="16"/>
                <w:szCs w:val="16"/>
                <w:lang w:val="en-US"/>
              </w:rPr>
              <w:t xml:space="preserve">Early </w:t>
            </w:r>
            <w:proofErr w:type="spellStart"/>
            <w:r w:rsidRPr="00FC5FDD">
              <w:rPr>
                <w:color w:val="000000" w:themeColor="text1"/>
                <w:sz w:val="16"/>
                <w:szCs w:val="16"/>
                <w:lang w:val="en-US"/>
              </w:rPr>
              <w:t>mobilisation</w:t>
            </w:r>
            <w:proofErr w:type="spellEnd"/>
            <w:r w:rsidRPr="00FC5FDD">
              <w:rPr>
                <w:color w:val="000000" w:themeColor="text1"/>
                <w:sz w:val="16"/>
                <w:szCs w:val="16"/>
                <w:lang w:val="en-US"/>
              </w:rPr>
              <w:t xml:space="preserve"> should be encourage.</w:t>
            </w:r>
          </w:p>
        </w:tc>
      </w:tr>
      <w:tr w:rsidR="00F64D06" w:rsidRPr="00805185" w14:paraId="7599F81F" w14:textId="77777777" w:rsidTr="002D50BC">
        <w:trPr>
          <w:trHeight w:val="105"/>
        </w:trPr>
        <w:tc>
          <w:tcPr>
            <w:tcW w:w="1903" w:type="pct"/>
            <w:shd w:val="clear" w:color="auto" w:fill="auto"/>
            <w:vAlign w:val="center"/>
          </w:tcPr>
          <w:p w14:paraId="0ABC5764" w14:textId="77777777" w:rsidR="00252532" w:rsidRPr="00FC5FDD" w:rsidRDefault="00252532" w:rsidP="002D50BC">
            <w:pPr>
              <w:spacing w:after="0" w:line="276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C5FDD">
              <w:rPr>
                <w:color w:val="000000" w:themeColor="text1"/>
                <w:sz w:val="20"/>
                <w:szCs w:val="20"/>
              </w:rPr>
              <w:t>Audit</w:t>
            </w:r>
          </w:p>
        </w:tc>
        <w:tc>
          <w:tcPr>
            <w:tcW w:w="3097" w:type="pct"/>
            <w:shd w:val="clear" w:color="auto" w:fill="auto"/>
            <w:vAlign w:val="center"/>
          </w:tcPr>
          <w:p w14:paraId="76715A16" w14:textId="77777777" w:rsidR="00252532" w:rsidRPr="00C517E1" w:rsidRDefault="00252532" w:rsidP="002D50BC">
            <w:pPr>
              <w:spacing w:after="0" w:line="276" w:lineRule="auto"/>
              <w:jc w:val="left"/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FC5FDD">
              <w:rPr>
                <w:color w:val="000000" w:themeColor="text1"/>
                <w:sz w:val="16"/>
                <w:szCs w:val="16"/>
                <w:lang w:val="en-US"/>
              </w:rPr>
              <w:t xml:space="preserve">All patients should be audited for protocol </w:t>
            </w:r>
            <w:proofErr w:type="spellStart"/>
            <w:r w:rsidRPr="00FC5FDD">
              <w:rPr>
                <w:color w:val="000000" w:themeColor="text1"/>
                <w:sz w:val="16"/>
                <w:szCs w:val="16"/>
                <w:lang w:val="en-US"/>
              </w:rPr>
              <w:t>complicance</w:t>
            </w:r>
            <w:proofErr w:type="spellEnd"/>
            <w:r w:rsidRPr="00FC5FDD">
              <w:rPr>
                <w:color w:val="000000" w:themeColor="text1"/>
                <w:sz w:val="16"/>
                <w:szCs w:val="16"/>
                <w:lang w:val="en-US"/>
              </w:rPr>
              <w:t xml:space="preserve"> and outcomes</w:t>
            </w:r>
          </w:p>
        </w:tc>
      </w:tr>
    </w:tbl>
    <w:p w14:paraId="2ED0C076" w14:textId="77777777" w:rsidR="003A10B7" w:rsidRPr="00252532" w:rsidRDefault="002D50BC" w:rsidP="00F64D06">
      <w:pPr>
        <w:rPr>
          <w:lang w:val="en-US"/>
        </w:rPr>
      </w:pPr>
    </w:p>
    <w:sectPr w:rsidR="003A10B7" w:rsidRPr="00252532" w:rsidSect="00B83D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32"/>
    <w:rsid w:val="00252532"/>
    <w:rsid w:val="002D50BC"/>
    <w:rsid w:val="0045769D"/>
    <w:rsid w:val="004967DE"/>
    <w:rsid w:val="005078E0"/>
    <w:rsid w:val="005229F1"/>
    <w:rsid w:val="007978E3"/>
    <w:rsid w:val="00805185"/>
    <w:rsid w:val="00810E29"/>
    <w:rsid w:val="00842206"/>
    <w:rsid w:val="008C54BF"/>
    <w:rsid w:val="008C78F7"/>
    <w:rsid w:val="00903098"/>
    <w:rsid w:val="00AC6737"/>
    <w:rsid w:val="00B46A88"/>
    <w:rsid w:val="00B70752"/>
    <w:rsid w:val="00B83DA6"/>
    <w:rsid w:val="00C1048C"/>
    <w:rsid w:val="00CF65C9"/>
    <w:rsid w:val="00D1196F"/>
    <w:rsid w:val="00DC4D42"/>
    <w:rsid w:val="00DF673B"/>
    <w:rsid w:val="00EC23D0"/>
    <w:rsid w:val="00F64D06"/>
    <w:rsid w:val="00FC5FDD"/>
    <w:rsid w:val="00F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6695CF"/>
  <w15:chartTrackingRefBased/>
  <w15:docId w15:val="{8191D4BA-1EE6-D642-9F1A-99458B3E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532"/>
    <w:pPr>
      <w:spacing w:after="160" w:line="360" w:lineRule="auto"/>
    </w:pPr>
    <w:rPr>
      <w:sz w:val="22"/>
      <w:szCs w:val="22"/>
    </w:rPr>
  </w:style>
  <w:style w:type="paragraph" w:styleId="Titre1">
    <w:name w:val="heading 1"/>
    <w:aliases w:val="Niveau 1"/>
    <w:basedOn w:val="Normal"/>
    <w:next w:val="Normal"/>
    <w:link w:val="Titre1Car"/>
    <w:autoRedefine/>
    <w:uiPriority w:val="9"/>
    <w:qFormat/>
    <w:rsid w:val="00842206"/>
    <w:pPr>
      <w:spacing w:before="300" w:after="40" w:line="259" w:lineRule="auto"/>
      <w:jc w:val="left"/>
      <w:outlineLvl w:val="0"/>
    </w:pPr>
    <w:rPr>
      <w:b/>
      <w:smallCaps/>
      <w:spacing w:val="5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10E2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10E29"/>
    <w:pPr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10E29"/>
    <w:pPr>
      <w:spacing w:before="240"/>
      <w:jc w:val="left"/>
      <w:outlineLvl w:val="3"/>
    </w:pPr>
    <w:rPr>
      <w:smallCaps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10E29"/>
    <w:pPr>
      <w:spacing w:before="20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10E29"/>
    <w:pPr>
      <w:jc w:val="left"/>
      <w:outlineLvl w:val="5"/>
    </w:pPr>
    <w:rPr>
      <w:smallCaps/>
      <w:color w:val="C0504D" w:themeColor="accent2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10E29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10E29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10E29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Niveau 1 Car"/>
    <w:basedOn w:val="Policepardfaut"/>
    <w:link w:val="Titre1"/>
    <w:uiPriority w:val="9"/>
    <w:rsid w:val="00842206"/>
    <w:rPr>
      <w:b/>
      <w:smallCaps/>
      <w:spacing w:val="5"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810E29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10E29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10E29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10E29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810E29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810E29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10E29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810E29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10E29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10E2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10E29"/>
    <w:rPr>
      <w:smallCaps/>
      <w:sz w:val="48"/>
      <w:szCs w:val="48"/>
    </w:rPr>
  </w:style>
  <w:style w:type="paragraph" w:styleId="Sous-titre">
    <w:name w:val="Subtitle"/>
    <w:aliases w:val="2"/>
    <w:basedOn w:val="Normal"/>
    <w:next w:val="Normal"/>
    <w:link w:val="Sous-titreCar"/>
    <w:uiPriority w:val="11"/>
    <w:qFormat/>
    <w:rsid w:val="00AC6737"/>
    <w:pPr>
      <w:spacing w:after="120"/>
    </w:pPr>
    <w:rPr>
      <w:rFonts w:eastAsiaTheme="majorEastAsia" w:cstheme="majorBidi"/>
      <w:b/>
      <w:i/>
      <w:sz w:val="24"/>
    </w:rPr>
  </w:style>
  <w:style w:type="character" w:customStyle="1" w:styleId="Sous-titreCar">
    <w:name w:val="Sous-titre Car"/>
    <w:aliases w:val="2 Car"/>
    <w:basedOn w:val="Policepardfaut"/>
    <w:link w:val="Sous-titre"/>
    <w:uiPriority w:val="11"/>
    <w:rsid w:val="00AC6737"/>
    <w:rPr>
      <w:rFonts w:eastAsiaTheme="majorEastAsia" w:cstheme="majorBidi"/>
      <w:b/>
      <w:i/>
      <w:sz w:val="24"/>
      <w:szCs w:val="22"/>
    </w:rPr>
  </w:style>
  <w:style w:type="character" w:styleId="lev">
    <w:name w:val="Strong"/>
    <w:uiPriority w:val="22"/>
    <w:qFormat/>
    <w:rsid w:val="00810E29"/>
    <w:rPr>
      <w:b/>
      <w:color w:val="C0504D" w:themeColor="accent2"/>
    </w:rPr>
  </w:style>
  <w:style w:type="character" w:styleId="Accentuation">
    <w:name w:val="Emphasis"/>
    <w:uiPriority w:val="20"/>
    <w:qFormat/>
    <w:rsid w:val="00810E29"/>
    <w:rPr>
      <w:b/>
      <w:i/>
      <w:spacing w:val="10"/>
    </w:rPr>
  </w:style>
  <w:style w:type="paragraph" w:styleId="Sansinterligne">
    <w:name w:val="No Spacing"/>
    <w:aliases w:val="3"/>
    <w:basedOn w:val="Normal"/>
    <w:next w:val="Normal"/>
    <w:link w:val="SansinterligneCar"/>
    <w:uiPriority w:val="1"/>
    <w:qFormat/>
    <w:rsid w:val="00AC6737"/>
    <w:pPr>
      <w:ind w:left="708"/>
    </w:pPr>
    <w:rPr>
      <w:i/>
    </w:rPr>
  </w:style>
  <w:style w:type="character" w:customStyle="1" w:styleId="SansinterligneCar">
    <w:name w:val="Sans interligne Car"/>
    <w:aliases w:val="3 Car"/>
    <w:basedOn w:val="Policepardfaut"/>
    <w:link w:val="Sansinterligne"/>
    <w:uiPriority w:val="1"/>
    <w:rsid w:val="00AC6737"/>
    <w:rPr>
      <w:i/>
      <w:sz w:val="22"/>
      <w:szCs w:val="22"/>
    </w:rPr>
  </w:style>
  <w:style w:type="paragraph" w:styleId="Paragraphedeliste">
    <w:name w:val="List Paragraph"/>
    <w:aliases w:val="1"/>
    <w:basedOn w:val="Normal"/>
    <w:next w:val="Normal"/>
    <w:uiPriority w:val="34"/>
    <w:qFormat/>
    <w:rsid w:val="00AC6737"/>
    <w:pPr>
      <w:contextualSpacing/>
    </w:pPr>
    <w:rPr>
      <w:b/>
      <w:sz w:val="40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810E29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810E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10E2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10E29"/>
    <w:rPr>
      <w:b/>
      <w:i/>
      <w:color w:val="FFFFFF" w:themeColor="background1"/>
      <w:shd w:val="clear" w:color="auto" w:fill="C0504D" w:themeFill="accent2"/>
    </w:rPr>
  </w:style>
  <w:style w:type="character" w:styleId="Accentuationlgre">
    <w:name w:val="Subtle Emphasis"/>
    <w:uiPriority w:val="19"/>
    <w:qFormat/>
    <w:rsid w:val="00810E29"/>
    <w:rPr>
      <w:i/>
    </w:rPr>
  </w:style>
  <w:style w:type="character" w:styleId="Accentuationintense">
    <w:name w:val="Intense Emphasis"/>
    <w:uiPriority w:val="21"/>
    <w:qFormat/>
    <w:rsid w:val="00810E29"/>
    <w:rPr>
      <w:b/>
      <w:i/>
      <w:color w:val="C0504D" w:themeColor="accent2"/>
      <w:spacing w:val="10"/>
    </w:rPr>
  </w:style>
  <w:style w:type="character" w:styleId="Rfrencelgre">
    <w:name w:val="Subtle Reference"/>
    <w:uiPriority w:val="31"/>
    <w:qFormat/>
    <w:rsid w:val="00810E29"/>
    <w:rPr>
      <w:b/>
    </w:rPr>
  </w:style>
  <w:style w:type="character" w:styleId="Rfrenceintense">
    <w:name w:val="Intense Reference"/>
    <w:uiPriority w:val="32"/>
    <w:qFormat/>
    <w:rsid w:val="00810E29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810E2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10E29"/>
    <w:pPr>
      <w:outlineLvl w:val="9"/>
    </w:pPr>
  </w:style>
  <w:style w:type="table" w:styleId="Grilledutableau">
    <w:name w:val="Table Grid"/>
    <w:basedOn w:val="TableauNormal"/>
    <w:rsid w:val="00252532"/>
    <w:pPr>
      <w:spacing w:after="16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505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LANNES Francois</dc:creator>
  <cp:keywords/>
  <dc:description/>
  <cp:lastModifiedBy>LANNES Francois</cp:lastModifiedBy>
  <cp:revision>9</cp:revision>
  <dcterms:created xsi:type="dcterms:W3CDTF">2020-11-10T17:20:00Z</dcterms:created>
  <dcterms:modified xsi:type="dcterms:W3CDTF">2021-01-19T10:07:00Z</dcterms:modified>
</cp:coreProperties>
</file>