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1C028" w14:textId="0020C41B" w:rsidR="00172AA1" w:rsidRDefault="00172AA1">
      <w:pPr>
        <w:rPr>
          <w:b/>
          <w:bCs/>
          <w:lang w:val="hr-HR"/>
        </w:rPr>
      </w:pPr>
      <w:r w:rsidRPr="00172AA1">
        <w:rPr>
          <w:b/>
          <w:bCs/>
          <w:lang w:val="hr-HR"/>
        </w:rPr>
        <w:t>Supplement 1</w:t>
      </w:r>
    </w:p>
    <w:p w14:paraId="6C7DC3B9" w14:textId="589D5259" w:rsidR="008D6412" w:rsidRDefault="008D6412">
      <w:pPr>
        <w:rPr>
          <w:lang w:val="hr-HR"/>
        </w:rPr>
      </w:pPr>
      <w:r>
        <w:rPr>
          <w:noProof/>
          <w:lang w:val="hr-HR"/>
        </w:rPr>
        <w:drawing>
          <wp:inline distT="0" distB="0" distL="0" distR="0" wp14:anchorId="716383FD" wp14:editId="4D1C7ABC">
            <wp:extent cx="3305908" cy="2845513"/>
            <wp:effectExtent l="0" t="0" r="8890" b="0"/>
            <wp:docPr id="2" name="Slika 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tekst&#10;&#10;Opis je automatski generir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5606" cy="2853861"/>
                    </a:xfrm>
                    <a:prstGeom prst="rect">
                      <a:avLst/>
                    </a:prstGeom>
                  </pic:spPr>
                </pic:pic>
              </a:graphicData>
            </a:graphic>
          </wp:inline>
        </w:drawing>
      </w:r>
    </w:p>
    <w:p w14:paraId="51F3251C" w14:textId="69F93312" w:rsidR="008D6412" w:rsidRDefault="008D6412" w:rsidP="008D6412">
      <w:pPr>
        <w:rPr>
          <w:b/>
          <w:bCs/>
          <w:lang w:val="hr-HR"/>
        </w:rPr>
      </w:pPr>
      <w:r w:rsidRPr="008D6412">
        <w:rPr>
          <w:b/>
          <w:bCs/>
          <w:lang w:val="hr-HR"/>
        </w:rPr>
        <w:t>Fig S1-1.</w:t>
      </w:r>
      <w:r>
        <w:rPr>
          <w:lang w:val="hr-HR"/>
        </w:rPr>
        <w:t xml:space="preserve"> </w:t>
      </w:r>
      <w:r w:rsidRPr="00582BF8">
        <w:rPr>
          <w:b/>
          <w:bCs/>
          <w:lang w:val="hr-HR"/>
        </w:rPr>
        <w:t>Caspase-3 PAGE and Western blot raw data.</w:t>
      </w:r>
    </w:p>
    <w:p w14:paraId="1829377F" w14:textId="1C55C056" w:rsidR="00582BF8" w:rsidRPr="00582BF8" w:rsidRDefault="00582BF8" w:rsidP="008D6412">
      <w:pPr>
        <w:rPr>
          <w:b/>
          <w:bCs/>
          <w:lang w:val="hr-HR"/>
        </w:rPr>
      </w:pPr>
      <w:r>
        <w:rPr>
          <w:b/>
          <w:bCs/>
          <w:noProof/>
          <w:lang w:val="hr-HR"/>
        </w:rPr>
        <w:drawing>
          <wp:inline distT="0" distB="0" distL="0" distR="0" wp14:anchorId="20C0663B" wp14:editId="08896F3C">
            <wp:extent cx="5731510" cy="192976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929765"/>
                    </a:xfrm>
                    <a:prstGeom prst="rect">
                      <a:avLst/>
                    </a:prstGeom>
                  </pic:spPr>
                </pic:pic>
              </a:graphicData>
            </a:graphic>
          </wp:inline>
        </w:drawing>
      </w:r>
    </w:p>
    <w:p w14:paraId="1CB7007D" w14:textId="22748C2A" w:rsidR="00582BF8" w:rsidRDefault="00582BF8" w:rsidP="008D6412">
      <w:pPr>
        <w:rPr>
          <w:lang w:val="hr-HR"/>
        </w:rPr>
      </w:pPr>
      <w:r w:rsidRPr="00582BF8">
        <w:rPr>
          <w:b/>
          <w:bCs/>
          <w:lang w:val="hr-HR"/>
        </w:rPr>
        <w:t>Fig S1-2.</w:t>
      </w:r>
      <w:r>
        <w:rPr>
          <w:lang w:val="hr-HR"/>
        </w:rPr>
        <w:t xml:space="preserve"> </w:t>
      </w:r>
      <w:r w:rsidRPr="00582BF8">
        <w:rPr>
          <w:b/>
          <w:bCs/>
          <w:lang w:val="hr-HR"/>
        </w:rPr>
        <w:t xml:space="preserve">Uncropped images of 17 and 30 kDa caspase-3. </w:t>
      </w:r>
      <w:r>
        <w:rPr>
          <w:b/>
          <w:bCs/>
          <w:lang w:val="hr-HR"/>
        </w:rPr>
        <w:t xml:space="preserve">(A) </w:t>
      </w:r>
      <w:r>
        <w:rPr>
          <w:lang w:val="hr-HR"/>
        </w:rPr>
        <w:t>A strong 17 kDa and weak caspase-3 signal on the same m</w:t>
      </w:r>
      <w:r w:rsidR="001623CB">
        <w:rPr>
          <w:lang w:val="hr-HR"/>
        </w:rPr>
        <w:t>e</w:t>
      </w:r>
      <w:r>
        <w:rPr>
          <w:lang w:val="hr-HR"/>
        </w:rPr>
        <w:t xml:space="preserve">mbrane. </w:t>
      </w:r>
      <w:r w:rsidRPr="00582BF8">
        <w:rPr>
          <w:b/>
          <w:bCs/>
          <w:lang w:val="hr-HR"/>
        </w:rPr>
        <w:t>(B)</w:t>
      </w:r>
      <w:r>
        <w:rPr>
          <w:b/>
          <w:bCs/>
          <w:lang w:val="hr-HR"/>
        </w:rPr>
        <w:t xml:space="preserve"> </w:t>
      </w:r>
      <w:r w:rsidR="001623CB">
        <w:rPr>
          <w:lang w:val="hr-HR"/>
        </w:rPr>
        <w:t>The l</w:t>
      </w:r>
      <w:r w:rsidRPr="00582BF8">
        <w:rPr>
          <w:lang w:val="hr-HR"/>
        </w:rPr>
        <w:t xml:space="preserve">ower </w:t>
      </w:r>
      <w:r>
        <w:rPr>
          <w:lang w:val="hr-HR"/>
        </w:rPr>
        <w:t xml:space="preserve">part </w:t>
      </w:r>
      <w:r w:rsidR="001623CB">
        <w:rPr>
          <w:lang w:val="hr-HR"/>
        </w:rPr>
        <w:t>o</w:t>
      </w:r>
      <w:r>
        <w:rPr>
          <w:lang w:val="hr-HR"/>
        </w:rPr>
        <w:t xml:space="preserve">f the membrane was covered by a </w:t>
      </w:r>
      <w:r w:rsidR="000F6CA1">
        <w:rPr>
          <w:lang w:val="hr-HR"/>
        </w:rPr>
        <w:t xml:space="preserve">non-transparent PVC membrane. </w:t>
      </w:r>
      <w:r w:rsidR="001623CB">
        <w:rPr>
          <w:lang w:val="hr-HR"/>
        </w:rPr>
        <w:t>The u</w:t>
      </w:r>
      <w:r w:rsidR="000F6CA1">
        <w:rPr>
          <w:lang w:val="hr-HR"/>
        </w:rPr>
        <w:t>pper part of the membrane was cut away.</w:t>
      </w:r>
    </w:p>
    <w:p w14:paraId="4FD4BA71" w14:textId="5A00E391" w:rsidR="00AE1842" w:rsidRDefault="00AE1842" w:rsidP="008D6412">
      <w:pPr>
        <w:rPr>
          <w:lang w:val="hr-HR"/>
        </w:rPr>
      </w:pPr>
    </w:p>
    <w:p w14:paraId="6F271DB8" w14:textId="58AD8C60" w:rsidR="00D263AB" w:rsidRDefault="004B2E95" w:rsidP="008D6412">
      <w:pPr>
        <w:rPr>
          <w:lang w:val="hr-HR"/>
        </w:rPr>
      </w:pPr>
      <w:r>
        <w:rPr>
          <w:noProof/>
          <w:lang w:val="hr-HR"/>
        </w:rPr>
        <w:lastRenderedPageBreak/>
        <w:drawing>
          <wp:inline distT="0" distB="0" distL="0" distR="0" wp14:anchorId="14EF1160" wp14:editId="7B46AAEF">
            <wp:extent cx="5731510" cy="506984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069840"/>
                    </a:xfrm>
                    <a:prstGeom prst="rect">
                      <a:avLst/>
                    </a:prstGeom>
                  </pic:spPr>
                </pic:pic>
              </a:graphicData>
            </a:graphic>
          </wp:inline>
        </w:drawing>
      </w:r>
    </w:p>
    <w:p w14:paraId="64E2CDA6" w14:textId="64CBF4C7" w:rsidR="00AE1842" w:rsidRDefault="00AE1842" w:rsidP="00CC3760">
      <w:pPr>
        <w:jc w:val="both"/>
        <w:rPr>
          <w:lang w:val="hr-HR"/>
        </w:rPr>
      </w:pPr>
      <w:r w:rsidRPr="00AE1842">
        <w:rPr>
          <w:b/>
          <w:bCs/>
          <w:lang w:val="hr-HR"/>
        </w:rPr>
        <w:t>Fig S1-3.</w:t>
      </w:r>
      <w:r w:rsidR="00D263AB">
        <w:rPr>
          <w:b/>
          <w:bCs/>
          <w:lang w:val="hr-HR"/>
        </w:rPr>
        <w:t xml:space="preserve"> Contribution of overexposed pixels to 17 kDa and 30 kDa caspase-3 (CAS-3) estimates. </w:t>
      </w:r>
      <w:r w:rsidR="000079BF">
        <w:rPr>
          <w:b/>
          <w:bCs/>
          <w:lang w:val="hr-HR"/>
        </w:rPr>
        <w:t>(</w:t>
      </w:r>
      <w:r w:rsidR="00D263AB">
        <w:rPr>
          <w:b/>
          <w:bCs/>
          <w:lang w:val="hr-HR"/>
        </w:rPr>
        <w:t xml:space="preserve">A) </w:t>
      </w:r>
      <w:r w:rsidR="000079BF" w:rsidRPr="000079BF">
        <w:rPr>
          <w:lang w:val="hr-HR"/>
        </w:rPr>
        <w:t>Measured (left) and predicted (right) values based on plot profile-informed estimates of masked integrated density areas for 17 kDa CAS-3 western blots</w:t>
      </w:r>
      <w:r w:rsidR="000079BF">
        <w:rPr>
          <w:lang w:val="hr-HR"/>
        </w:rPr>
        <w:t>.</w:t>
      </w:r>
      <w:r w:rsidR="000079BF" w:rsidRPr="000079BF">
        <w:rPr>
          <w:lang w:val="hr-HR"/>
        </w:rPr>
        <w:t xml:space="preserve"> </w:t>
      </w:r>
      <w:r w:rsidR="000079BF" w:rsidRPr="000079BF">
        <w:rPr>
          <w:b/>
          <w:bCs/>
          <w:lang w:val="hr-HR"/>
        </w:rPr>
        <w:t xml:space="preserve">(B) </w:t>
      </w:r>
      <w:r w:rsidR="000079BF" w:rsidRPr="000079BF">
        <w:rPr>
          <w:lang w:val="hr-HR"/>
        </w:rPr>
        <w:t>Measured (</w:t>
      </w:r>
      <w:r w:rsidR="000079BF">
        <w:rPr>
          <w:lang w:val="hr-HR"/>
        </w:rPr>
        <w:t xml:space="preserve">left) and predicted (right) </w:t>
      </w:r>
      <w:r w:rsidR="000079BF" w:rsidRPr="000079BF">
        <w:rPr>
          <w:lang w:val="hr-HR"/>
        </w:rPr>
        <w:t xml:space="preserve">values based on plot profile-informed estimates of masked integrated density areas for </w:t>
      </w:r>
      <w:r w:rsidR="000079BF">
        <w:rPr>
          <w:lang w:val="hr-HR"/>
        </w:rPr>
        <w:t>30</w:t>
      </w:r>
      <w:r w:rsidR="000079BF" w:rsidRPr="000079BF">
        <w:rPr>
          <w:lang w:val="hr-HR"/>
        </w:rPr>
        <w:t xml:space="preserve"> kDa CAS-3 western blots.</w:t>
      </w:r>
      <w:r w:rsidR="000079BF">
        <w:rPr>
          <w:lang w:val="hr-HR"/>
        </w:rPr>
        <w:t xml:space="preserve"> </w:t>
      </w:r>
      <w:r w:rsidR="000079BF" w:rsidRPr="00CC3760">
        <w:rPr>
          <w:b/>
          <w:bCs/>
          <w:lang w:val="hr-HR"/>
        </w:rPr>
        <w:t>(C)</w:t>
      </w:r>
      <w:r w:rsidR="00CC3760" w:rsidRPr="00CC3760">
        <w:rPr>
          <w:lang w:val="hr-HR"/>
        </w:rPr>
        <w:t xml:space="preserve"> The proportion of overexposed pixels by </w:t>
      </w:r>
      <w:r w:rsidR="00CC3760">
        <w:rPr>
          <w:lang w:val="hr-HR"/>
        </w:rPr>
        <w:t xml:space="preserve">group for </w:t>
      </w:r>
      <w:r w:rsidR="00CC3760" w:rsidRPr="000079BF">
        <w:rPr>
          <w:lang w:val="hr-HR"/>
        </w:rPr>
        <w:t>17 kDa CAS-3 western blots</w:t>
      </w:r>
      <w:r w:rsidR="00CC3760">
        <w:rPr>
          <w:lang w:val="hr-HR"/>
        </w:rPr>
        <w:t xml:space="preserve">. </w:t>
      </w:r>
      <w:r w:rsidR="00CC3760" w:rsidRPr="00CC3760">
        <w:rPr>
          <w:b/>
          <w:bCs/>
          <w:lang w:val="hr-HR"/>
        </w:rPr>
        <w:t>(D)</w:t>
      </w:r>
      <w:r w:rsidR="00CC3760">
        <w:rPr>
          <w:b/>
          <w:bCs/>
          <w:lang w:val="hr-HR"/>
        </w:rPr>
        <w:t xml:space="preserve"> </w:t>
      </w:r>
      <w:r w:rsidR="00CC3760" w:rsidRPr="00CC3760">
        <w:rPr>
          <w:lang w:val="hr-HR"/>
        </w:rPr>
        <w:t xml:space="preserve">The proportion of overexposed pixels by </w:t>
      </w:r>
      <w:r w:rsidR="00CC3760">
        <w:rPr>
          <w:lang w:val="hr-HR"/>
        </w:rPr>
        <w:t>group for 30</w:t>
      </w:r>
      <w:r w:rsidR="00CC3760" w:rsidRPr="000079BF">
        <w:rPr>
          <w:lang w:val="hr-HR"/>
        </w:rPr>
        <w:t xml:space="preserve"> kDa CAS-3 western blots</w:t>
      </w:r>
      <w:r w:rsidR="00CC3760">
        <w:rPr>
          <w:lang w:val="hr-HR"/>
        </w:rPr>
        <w:t>.</w:t>
      </w:r>
      <w:r w:rsidR="00E6378D">
        <w:rPr>
          <w:lang w:val="hr-HR"/>
        </w:rPr>
        <w:t xml:space="preserve"> </w:t>
      </w:r>
    </w:p>
    <w:p w14:paraId="095C0B38" w14:textId="2B27256F" w:rsidR="00CC3760" w:rsidRDefault="00CC3760" w:rsidP="00CC3760">
      <w:pPr>
        <w:jc w:val="both"/>
        <w:rPr>
          <w:lang w:val="hr-HR"/>
        </w:rPr>
      </w:pPr>
    </w:p>
    <w:p w14:paraId="2F1A828A" w14:textId="6C0BCBC2" w:rsidR="00C734D3" w:rsidRDefault="00CC3760" w:rsidP="00CC3760">
      <w:pPr>
        <w:jc w:val="both"/>
        <w:rPr>
          <w:lang w:val="hr-HR"/>
        </w:rPr>
      </w:pPr>
      <w:r>
        <w:rPr>
          <w:lang w:val="hr-HR"/>
        </w:rPr>
        <w:t xml:space="preserve">As some bands </w:t>
      </w:r>
      <w:r w:rsidR="00E6378D">
        <w:rPr>
          <w:lang w:val="hr-HR"/>
        </w:rPr>
        <w:t xml:space="preserve">i) </w:t>
      </w:r>
      <w:r>
        <w:rPr>
          <w:lang w:val="hr-HR"/>
        </w:rPr>
        <w:t>demonstrated smearing patterns</w:t>
      </w:r>
      <w:r w:rsidR="00E6378D">
        <w:rPr>
          <w:lang w:val="hr-HR"/>
        </w:rPr>
        <w:t>, ii)</w:t>
      </w:r>
      <w:r>
        <w:rPr>
          <w:lang w:val="hr-HR"/>
        </w:rPr>
        <w:t xml:space="preserve"> overexposure</w:t>
      </w:r>
      <w:r w:rsidR="00E6378D">
        <w:rPr>
          <w:lang w:val="hr-HR"/>
        </w:rPr>
        <w:t xml:space="preserve"> and iii) </w:t>
      </w:r>
      <w:r w:rsidR="002A582F">
        <w:rPr>
          <w:lang w:val="hr-HR"/>
        </w:rPr>
        <w:t>demonstrated technical artifacts that, b</w:t>
      </w:r>
      <w:r w:rsidR="00E6378D">
        <w:rPr>
          <w:lang w:val="hr-HR"/>
        </w:rPr>
        <w:t>ased on the proportion and distribution of overexposed pixels</w:t>
      </w:r>
      <w:r w:rsidR="002A582F">
        <w:rPr>
          <w:lang w:val="hr-HR"/>
        </w:rPr>
        <w:t xml:space="preserve"> </w:t>
      </w:r>
      <w:r w:rsidR="00E6378D">
        <w:rPr>
          <w:lang w:val="hr-HR"/>
        </w:rPr>
        <w:t>could have theoretically affected the results (</w:t>
      </w:r>
      <w:r w:rsidR="002A582F">
        <w:rPr>
          <w:lang w:val="hr-HR"/>
        </w:rPr>
        <w:t>although subsequent analyses (Fig. S1-3) indicated a dramatic effect was not very likely), we decided to repeat the western blots. O</w:t>
      </w:r>
      <w:r>
        <w:rPr>
          <w:lang w:val="hr-HR"/>
        </w:rPr>
        <w:t>riginal homogenates were consumed</w:t>
      </w:r>
      <w:r w:rsidR="002A582F">
        <w:rPr>
          <w:lang w:val="hr-HR"/>
        </w:rPr>
        <w:t xml:space="preserve"> so </w:t>
      </w:r>
      <w:r>
        <w:rPr>
          <w:lang w:val="hr-HR"/>
        </w:rPr>
        <w:t xml:space="preserve">adjacent pieces of </w:t>
      </w:r>
      <w:r w:rsidR="00B65F4C">
        <w:rPr>
          <w:lang w:val="hr-HR"/>
        </w:rPr>
        <w:t xml:space="preserve">the </w:t>
      </w:r>
      <w:r>
        <w:rPr>
          <w:lang w:val="hr-HR"/>
        </w:rPr>
        <w:t xml:space="preserve">duodenum were homogenized and analyzed by western blot using the same procedure. Three additional pieces of </w:t>
      </w:r>
      <w:r w:rsidR="00B65F4C">
        <w:rPr>
          <w:lang w:val="hr-HR"/>
        </w:rPr>
        <w:t xml:space="preserve">the </w:t>
      </w:r>
      <w:r>
        <w:rPr>
          <w:lang w:val="hr-HR"/>
        </w:rPr>
        <w:t>duodenum were homogenized per animal so a total of 4 bands were obtained for</w:t>
      </w:r>
      <w:r w:rsidR="00E6378D">
        <w:rPr>
          <w:lang w:val="hr-HR"/>
        </w:rPr>
        <w:t xml:space="preserve"> each</w:t>
      </w:r>
      <w:r>
        <w:rPr>
          <w:lang w:val="hr-HR"/>
        </w:rPr>
        <w:t xml:space="preserve"> animal (including the overexposed </w:t>
      </w:r>
      <w:r w:rsidR="00E6378D">
        <w:rPr>
          <w:lang w:val="hr-HR"/>
        </w:rPr>
        <w:t>membrane shown in Fig S1-1. and Fig S1-2.</w:t>
      </w:r>
      <w:r>
        <w:rPr>
          <w:lang w:val="hr-HR"/>
        </w:rPr>
        <w:t>)</w:t>
      </w:r>
      <w:r w:rsidR="00E6378D">
        <w:rPr>
          <w:lang w:val="hr-HR"/>
        </w:rPr>
        <w:t>. Considering homogenates represented</w:t>
      </w:r>
      <w:r w:rsidR="002A582F">
        <w:rPr>
          <w:lang w:val="hr-HR"/>
        </w:rPr>
        <w:t xml:space="preserve"> hierarchical biological data due to dependence of data obtained from the ana</w:t>
      </w:r>
      <w:r w:rsidR="00B65F4C">
        <w:rPr>
          <w:lang w:val="hr-HR"/>
        </w:rPr>
        <w:t>ly</w:t>
      </w:r>
      <w:r w:rsidR="002A582F">
        <w:rPr>
          <w:lang w:val="hr-HR"/>
        </w:rPr>
        <w:t xml:space="preserve">ses of neighboring cells hierarchical models were used for the analyses in a similar way as described for the hierarchical data obtained by </w:t>
      </w:r>
      <w:r w:rsidR="00C734D3">
        <w:rPr>
          <w:lang w:val="hr-HR"/>
        </w:rPr>
        <w:t xml:space="preserve">immunofluorescence. Group </w:t>
      </w:r>
      <w:r w:rsidR="00C734D3">
        <w:rPr>
          <w:lang w:val="hr-HR"/>
        </w:rPr>
        <w:lastRenderedPageBreak/>
        <w:t>comparisons were based on all data points (4 independent western blot runs (i.e. 4 independent western blot membranes) with 4 (dependent due to isolation from neighboring tissue) sets of 23 homogenates (</w:t>
      </w:r>
      <w:r w:rsidR="00C734D3" w:rsidRPr="00C734D3">
        <w:rPr>
          <w:lang w:val="hr-HR"/>
        </w:rPr>
        <w:t>n</w:t>
      </w:r>
      <w:r w:rsidR="00C734D3" w:rsidRPr="00C734D3">
        <w:rPr>
          <w:vertAlign w:val="subscript"/>
          <w:lang w:val="hr-HR"/>
        </w:rPr>
        <w:t>CTR</w:t>
      </w:r>
      <w:r w:rsidR="00C734D3" w:rsidRPr="00C734D3">
        <w:rPr>
          <w:lang w:val="hr-HR"/>
        </w:rPr>
        <w:t>: 6; n</w:t>
      </w:r>
      <w:r w:rsidR="00C734D3" w:rsidRPr="00C734D3">
        <w:rPr>
          <w:vertAlign w:val="subscript"/>
          <w:lang w:val="hr-HR"/>
        </w:rPr>
        <w:t>STZ</w:t>
      </w:r>
      <w:r w:rsidR="00C734D3" w:rsidRPr="00C734D3">
        <w:rPr>
          <w:lang w:val="hr-HR"/>
        </w:rPr>
        <w:t>: 6; n</w:t>
      </w:r>
      <w:r w:rsidR="00C734D3" w:rsidRPr="00C734D3">
        <w:rPr>
          <w:vertAlign w:val="subscript"/>
          <w:lang w:val="hr-HR"/>
        </w:rPr>
        <w:t>CTRGIPI</w:t>
      </w:r>
      <w:r w:rsidR="00C734D3" w:rsidRPr="00C734D3">
        <w:rPr>
          <w:lang w:val="hr-HR"/>
        </w:rPr>
        <w:t>: 5; n</w:t>
      </w:r>
      <w:r w:rsidR="00C734D3" w:rsidRPr="00C734D3">
        <w:rPr>
          <w:vertAlign w:val="subscript"/>
          <w:lang w:val="hr-HR"/>
        </w:rPr>
        <w:t>STZGIPI</w:t>
      </w:r>
      <w:r w:rsidR="00C734D3" w:rsidRPr="00C734D3">
        <w:rPr>
          <w:lang w:val="hr-HR"/>
        </w:rPr>
        <w:t>: 6</w:t>
      </w:r>
      <w:r w:rsidR="00C734D3">
        <w:rPr>
          <w:lang w:val="hr-HR"/>
        </w:rPr>
        <w:t xml:space="preserve">). </w:t>
      </w:r>
      <w:r w:rsidR="00B65F4C">
        <w:rPr>
          <w:lang w:val="hr-HR"/>
        </w:rPr>
        <w:t>The m</w:t>
      </w:r>
      <w:r w:rsidR="00C734D3">
        <w:rPr>
          <w:lang w:val="hr-HR"/>
        </w:rPr>
        <w:t xml:space="preserve">embrane from which the signal was obtained was included in the model to control for the potential effect of </w:t>
      </w:r>
      <w:r w:rsidR="00B65F4C">
        <w:rPr>
          <w:lang w:val="hr-HR"/>
        </w:rPr>
        <w:t xml:space="preserve">the </w:t>
      </w:r>
      <w:r w:rsidR="00C734D3">
        <w:rPr>
          <w:lang w:val="hr-HR"/>
        </w:rPr>
        <w:t>membrane that contained several potential sources of systemic variation that could have affected overall accuracy to maintain analytical precision. Raw signal from additional gels and membranes is shown in Fig. S1-4.</w:t>
      </w:r>
    </w:p>
    <w:p w14:paraId="7C1A604A" w14:textId="6A9DE579" w:rsidR="00C734D3" w:rsidRDefault="00A05635" w:rsidP="00CC3760">
      <w:pPr>
        <w:jc w:val="both"/>
        <w:rPr>
          <w:lang w:val="hr-HR"/>
        </w:rPr>
      </w:pPr>
      <w:r w:rsidRPr="00A05635">
        <w:rPr>
          <w:noProof/>
        </w:rPr>
        <w:drawing>
          <wp:inline distT="0" distB="0" distL="0" distR="0" wp14:anchorId="46794FDD" wp14:editId="59F97074">
            <wp:extent cx="5731510" cy="5484495"/>
            <wp:effectExtent l="0" t="0" r="2540" b="1905"/>
            <wp:docPr id="4" name="Picture 3">
              <a:extLst xmlns:a="http://schemas.openxmlformats.org/drawingml/2006/main">
                <a:ext uri="{FF2B5EF4-FFF2-40B4-BE49-F238E27FC236}">
                  <a16:creationId xmlns:a16="http://schemas.microsoft.com/office/drawing/2014/main" id="{5FB7061F-7B92-4D73-BECF-DE17B1CEF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B7061F-7B92-4D73-BECF-DE17B1CEFA76}"/>
                        </a:ext>
                      </a:extLst>
                    </pic:cNvPr>
                    <pic:cNvPicPr>
                      <a:picLocks noChangeAspect="1"/>
                    </pic:cNvPicPr>
                  </pic:nvPicPr>
                  <pic:blipFill>
                    <a:blip r:embed="rId9"/>
                    <a:stretch>
                      <a:fillRect/>
                    </a:stretch>
                  </pic:blipFill>
                  <pic:spPr>
                    <a:xfrm>
                      <a:off x="0" y="0"/>
                      <a:ext cx="5731510" cy="5484495"/>
                    </a:xfrm>
                    <a:prstGeom prst="rect">
                      <a:avLst/>
                    </a:prstGeom>
                  </pic:spPr>
                </pic:pic>
              </a:graphicData>
            </a:graphic>
          </wp:inline>
        </w:drawing>
      </w:r>
    </w:p>
    <w:p w14:paraId="17D3CEBF" w14:textId="30608AB4" w:rsidR="00CC3760" w:rsidRPr="00A05635" w:rsidRDefault="00C734D3" w:rsidP="00CC3760">
      <w:pPr>
        <w:jc w:val="both"/>
        <w:rPr>
          <w:lang w:val="hr-HR"/>
        </w:rPr>
      </w:pPr>
      <w:r w:rsidRPr="00A05635">
        <w:rPr>
          <w:b/>
          <w:bCs/>
          <w:lang w:val="hr-HR"/>
        </w:rPr>
        <w:t xml:space="preserve">Fig S1-4. </w:t>
      </w:r>
      <w:r w:rsidR="00A05635" w:rsidRPr="00A05635">
        <w:rPr>
          <w:b/>
          <w:bCs/>
          <w:lang w:val="hr-HR"/>
        </w:rPr>
        <w:t>Additional replicates of western blots from homogenates of adjacent duodenal tissue</w:t>
      </w:r>
      <w:r w:rsidR="00A05635">
        <w:rPr>
          <w:b/>
          <w:bCs/>
          <w:lang w:val="hr-HR"/>
        </w:rPr>
        <w:t xml:space="preserve">. (A) </w:t>
      </w:r>
      <w:r w:rsidR="00A05635">
        <w:rPr>
          <w:lang w:val="hr-HR"/>
        </w:rPr>
        <w:t xml:space="preserve">Additional membrane and gel 1. </w:t>
      </w:r>
      <w:r w:rsidR="00A05635" w:rsidRPr="00A05635">
        <w:rPr>
          <w:b/>
          <w:bCs/>
          <w:lang w:val="hr-HR"/>
        </w:rPr>
        <w:t>(B)</w:t>
      </w:r>
      <w:r w:rsidR="00A05635">
        <w:rPr>
          <w:lang w:val="hr-HR"/>
        </w:rPr>
        <w:t xml:space="preserve"> Additional membrane and gel 2. </w:t>
      </w:r>
      <w:r w:rsidR="00A05635" w:rsidRPr="00A05635">
        <w:rPr>
          <w:b/>
          <w:bCs/>
          <w:lang w:val="hr-HR"/>
        </w:rPr>
        <w:t>(C)</w:t>
      </w:r>
      <w:r w:rsidR="00A05635">
        <w:rPr>
          <w:lang w:val="hr-HR"/>
        </w:rPr>
        <w:t xml:space="preserve"> Addit</w:t>
      </w:r>
      <w:r w:rsidR="00B65F4C">
        <w:rPr>
          <w:lang w:val="hr-HR"/>
        </w:rPr>
        <w:t>i</w:t>
      </w:r>
      <w:r w:rsidR="00A05635">
        <w:rPr>
          <w:lang w:val="hr-HR"/>
        </w:rPr>
        <w:t>onal membrane and gel 3</w:t>
      </w:r>
      <w:r w:rsidR="0032573E">
        <w:rPr>
          <w:lang w:val="hr-HR"/>
        </w:rPr>
        <w:t xml:space="preserve">. A horizontal line artifact is a PVC membrane that was used to spread chemiluminescent reagent evenly across the membrane. </w:t>
      </w:r>
    </w:p>
    <w:p w14:paraId="2EB35F4A" w14:textId="77777777" w:rsidR="00C734D3" w:rsidRPr="00CC3760" w:rsidRDefault="00C734D3" w:rsidP="00CC3760">
      <w:pPr>
        <w:jc w:val="both"/>
        <w:rPr>
          <w:lang w:val="hr-HR"/>
        </w:rPr>
      </w:pPr>
    </w:p>
    <w:p w14:paraId="71D57701" w14:textId="77E38566" w:rsidR="008D6412" w:rsidRPr="00172AA1" w:rsidRDefault="008D6412">
      <w:pPr>
        <w:rPr>
          <w:lang w:val="hr-HR"/>
        </w:rPr>
      </w:pPr>
    </w:p>
    <w:sectPr w:rsidR="008D6412" w:rsidRPr="00172AA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6A514" w14:textId="77777777" w:rsidR="00CB5A77" w:rsidRDefault="00CB5A77" w:rsidP="00172AA1">
      <w:pPr>
        <w:spacing w:after="0" w:line="240" w:lineRule="auto"/>
      </w:pPr>
      <w:r>
        <w:separator/>
      </w:r>
    </w:p>
  </w:endnote>
  <w:endnote w:type="continuationSeparator" w:id="0">
    <w:p w14:paraId="6090CD81" w14:textId="77777777" w:rsidR="00CB5A77" w:rsidRDefault="00CB5A77" w:rsidP="0017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E52F2" w14:textId="77777777" w:rsidR="00CB5A77" w:rsidRDefault="00CB5A77" w:rsidP="00172AA1">
      <w:pPr>
        <w:spacing w:after="0" w:line="240" w:lineRule="auto"/>
      </w:pPr>
      <w:r>
        <w:separator/>
      </w:r>
    </w:p>
  </w:footnote>
  <w:footnote w:type="continuationSeparator" w:id="0">
    <w:p w14:paraId="6D89D65D" w14:textId="77777777" w:rsidR="00CB5A77" w:rsidRDefault="00CB5A77" w:rsidP="00172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9073" w14:textId="774FE0C7" w:rsidR="00172AA1" w:rsidRPr="00603361" w:rsidRDefault="00172AA1" w:rsidP="00172AA1">
    <w:pPr>
      <w:pStyle w:val="Heading1"/>
      <w:jc w:val="both"/>
      <w:rPr>
        <w:rFonts w:ascii="Times New Roman" w:hAnsi="Times New Roman" w:cs="Times New Roman"/>
        <w:sz w:val="22"/>
        <w:szCs w:val="22"/>
        <w:lang w:val="hr-HR"/>
      </w:rPr>
    </w:pPr>
    <w:r>
      <w:rPr>
        <w:rFonts w:ascii="Times New Roman" w:hAnsi="Times New Roman" w:cs="Times New Roman"/>
        <w:sz w:val="22"/>
        <w:szCs w:val="22"/>
        <w:lang w:val="hr-HR"/>
      </w:rPr>
      <w:t xml:space="preserve">Homolak et al. (2021) </w:t>
    </w:r>
    <w:r w:rsidRPr="00603361">
      <w:rPr>
        <w:rFonts w:ascii="Times New Roman" w:hAnsi="Times New Roman" w:cs="Times New Roman"/>
        <w:sz w:val="22"/>
        <w:szCs w:val="22"/>
        <w:lang w:val="hr-HR"/>
      </w:rPr>
      <w:t xml:space="preserve">Disbalance of </w:t>
    </w:r>
    <w:r>
      <w:rPr>
        <w:rFonts w:ascii="Times New Roman" w:hAnsi="Times New Roman" w:cs="Times New Roman"/>
        <w:sz w:val="22"/>
        <w:szCs w:val="22"/>
        <w:lang w:val="hr-HR"/>
      </w:rPr>
      <w:t xml:space="preserve">the </w:t>
    </w:r>
    <w:r w:rsidRPr="00603361">
      <w:rPr>
        <w:rFonts w:ascii="Times New Roman" w:hAnsi="Times New Roman" w:cs="Times New Roman"/>
        <w:sz w:val="22"/>
        <w:szCs w:val="22"/>
        <w:lang w:val="hr-HR"/>
      </w:rPr>
      <w:t>intestinal epithelial cell turnover and apoptosis in a rat model of sporadic Alzheimer's disease</w:t>
    </w:r>
  </w:p>
  <w:p w14:paraId="427588A7" w14:textId="77777777" w:rsidR="00172AA1" w:rsidRDefault="00172A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yNDGzMDI3sjAzMDdW0lEKTi0uzszPAykwqwUA08Gl8CwAAAA="/>
  </w:docVars>
  <w:rsids>
    <w:rsidRoot w:val="00172AA1"/>
    <w:rsid w:val="000079BF"/>
    <w:rsid w:val="000F6CA1"/>
    <w:rsid w:val="001623CB"/>
    <w:rsid w:val="00172AA1"/>
    <w:rsid w:val="00257BFB"/>
    <w:rsid w:val="002A582F"/>
    <w:rsid w:val="0032573E"/>
    <w:rsid w:val="00375AF8"/>
    <w:rsid w:val="00420677"/>
    <w:rsid w:val="00440B4E"/>
    <w:rsid w:val="004B2E95"/>
    <w:rsid w:val="00552FF1"/>
    <w:rsid w:val="00582BF8"/>
    <w:rsid w:val="00742FE3"/>
    <w:rsid w:val="008D6412"/>
    <w:rsid w:val="00A05635"/>
    <w:rsid w:val="00AA6C10"/>
    <w:rsid w:val="00AE1842"/>
    <w:rsid w:val="00B43A5C"/>
    <w:rsid w:val="00B65574"/>
    <w:rsid w:val="00B65F4C"/>
    <w:rsid w:val="00C734D3"/>
    <w:rsid w:val="00CB5A77"/>
    <w:rsid w:val="00CC3760"/>
    <w:rsid w:val="00D263AB"/>
    <w:rsid w:val="00D570C4"/>
    <w:rsid w:val="00E6378D"/>
    <w:rsid w:val="00FE6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BECE6"/>
  <w15:chartTrackingRefBased/>
  <w15:docId w15:val="{87EB203B-A85B-4210-A02A-7B99BBFB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A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A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AA1"/>
  </w:style>
  <w:style w:type="paragraph" w:styleId="Footer">
    <w:name w:val="footer"/>
    <w:basedOn w:val="Normal"/>
    <w:link w:val="FooterChar"/>
    <w:uiPriority w:val="99"/>
    <w:unhideWhenUsed/>
    <w:rsid w:val="00172A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AA1"/>
  </w:style>
  <w:style w:type="character" w:customStyle="1" w:styleId="Heading1Char">
    <w:name w:val="Heading 1 Char"/>
    <w:basedOn w:val="DefaultParagraphFont"/>
    <w:link w:val="Heading1"/>
    <w:uiPriority w:val="9"/>
    <w:rsid w:val="00172AA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414</Words>
  <Characters>2360</Characters>
  <Application>Microsoft Office Word</Application>
  <DocSecurity>0</DocSecurity>
  <Lines>19</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Homolak</dc:creator>
  <cp:keywords/>
  <dc:description/>
  <cp:lastModifiedBy>Jan Homolak</cp:lastModifiedBy>
  <cp:revision>3</cp:revision>
  <dcterms:created xsi:type="dcterms:W3CDTF">2021-09-16T14:28:00Z</dcterms:created>
  <dcterms:modified xsi:type="dcterms:W3CDTF">2021-09-16T18:43:00Z</dcterms:modified>
</cp:coreProperties>
</file>