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A4D7" w14:textId="77777777" w:rsidR="0084028F" w:rsidRPr="000F7860" w:rsidRDefault="0084028F" w:rsidP="0084028F">
      <w:pPr>
        <w:spacing w:after="240"/>
        <w:jc w:val="center"/>
        <w:rPr>
          <w:b/>
          <w:sz w:val="28"/>
          <w:szCs w:val="28"/>
        </w:rPr>
      </w:pPr>
      <w:r w:rsidRPr="000F7860">
        <w:rPr>
          <w:b/>
          <w:sz w:val="28"/>
          <w:szCs w:val="28"/>
        </w:rPr>
        <w:t>Online Supplementary Material</w:t>
      </w:r>
    </w:p>
    <w:p w14:paraId="36EDC5F1" w14:textId="77777777" w:rsidR="0084028F" w:rsidRPr="000F7860" w:rsidRDefault="0084028F" w:rsidP="0084028F">
      <w:pPr>
        <w:spacing w:after="240"/>
        <w:jc w:val="center"/>
        <w:rPr>
          <w:b/>
          <w:i/>
          <w:sz w:val="28"/>
          <w:szCs w:val="28"/>
        </w:rPr>
      </w:pPr>
      <w:r w:rsidRPr="000F7860">
        <w:rPr>
          <w:b/>
          <w:i/>
          <w:sz w:val="28"/>
          <w:szCs w:val="28"/>
        </w:rPr>
        <w:t>for</w:t>
      </w:r>
    </w:p>
    <w:p w14:paraId="5ACF6F5D" w14:textId="77777777" w:rsidR="0084028F" w:rsidRPr="000F7860" w:rsidRDefault="0084028F" w:rsidP="0084028F">
      <w:pPr>
        <w:spacing w:after="240"/>
        <w:jc w:val="center"/>
        <w:rPr>
          <w:b/>
          <w:sz w:val="28"/>
          <w:szCs w:val="28"/>
        </w:rPr>
      </w:pPr>
      <w:r w:rsidRPr="000F7860">
        <w:rPr>
          <w:b/>
          <w:sz w:val="28"/>
          <w:szCs w:val="28"/>
        </w:rPr>
        <w:t xml:space="preserve">Post hoc Analysis of Clinical Outcomes in Placebo- and Pirfenidone-treated Patients with IPF Stratified by BMI and Weight Loss </w:t>
      </w:r>
    </w:p>
    <w:p w14:paraId="62F02131" w14:textId="77777777" w:rsidR="0084028F" w:rsidRPr="000F7860" w:rsidRDefault="0084028F" w:rsidP="0084028F">
      <w:pPr>
        <w:spacing w:after="240"/>
        <w:jc w:val="center"/>
        <w:rPr>
          <w:rFonts w:ascii="Arial" w:hAnsi="Arial" w:cs="Arial"/>
          <w:sz w:val="24"/>
          <w:szCs w:val="24"/>
          <w:highlight w:val="cyan"/>
        </w:rPr>
      </w:pPr>
      <w:r w:rsidRPr="000F7860">
        <w:rPr>
          <w:sz w:val="24"/>
          <w:szCs w:val="24"/>
        </w:rPr>
        <w:t>Stéphane Jouneau, Bruno Crestani, Ronan Thibault, Mathieu Lederlin, Laurent Vernhet, Ming Yang, Elizabeth Morgenthien, Klaus-Uwe Kirchgaessler, Vincent Cottin</w:t>
      </w:r>
      <w:r w:rsidRPr="000F7860">
        <w:rPr>
          <w:rFonts w:ascii="Arial" w:hAnsi="Arial" w:cs="Arial"/>
          <w:sz w:val="24"/>
          <w:szCs w:val="24"/>
          <w:highlight w:val="cyan"/>
        </w:rPr>
        <w:br w:type="page"/>
      </w:r>
    </w:p>
    <w:p w14:paraId="31364FE9" w14:textId="77777777" w:rsidR="0084028F" w:rsidRPr="000F7860" w:rsidRDefault="0084028F" w:rsidP="0084028F">
      <w:pPr>
        <w:spacing w:after="160"/>
        <w:rPr>
          <w:rFonts w:cstheme="minorHAnsi"/>
          <w:b/>
          <w:sz w:val="24"/>
          <w:szCs w:val="24"/>
        </w:rPr>
        <w:sectPr w:rsidR="0084028F" w:rsidRPr="000F7860" w:rsidSect="00367539">
          <w:type w:val="continuous"/>
          <w:pgSz w:w="11906" w:h="16838"/>
          <w:pgMar w:top="1701" w:right="1440" w:bottom="992" w:left="1440" w:header="709" w:footer="709" w:gutter="0"/>
          <w:cols w:space="708"/>
          <w:docGrid w:linePitch="360"/>
        </w:sectPr>
      </w:pPr>
    </w:p>
    <w:p w14:paraId="0BA461D5" w14:textId="77777777" w:rsidR="0084028F" w:rsidRPr="000F7860" w:rsidRDefault="0084028F" w:rsidP="0084028F">
      <w:pPr>
        <w:spacing w:after="240"/>
        <w:rPr>
          <w:rFonts w:cstheme="minorHAnsi"/>
          <w:b/>
          <w:sz w:val="24"/>
          <w:szCs w:val="24"/>
        </w:rPr>
      </w:pPr>
      <w:r w:rsidRPr="000F7860">
        <w:rPr>
          <w:rFonts w:cstheme="minorHAnsi"/>
          <w:b/>
          <w:sz w:val="24"/>
          <w:szCs w:val="24"/>
        </w:rPr>
        <w:lastRenderedPageBreak/>
        <w:t>Table E1.</w:t>
      </w:r>
      <w:r w:rsidRPr="000F7860">
        <w:rPr>
          <w:rFonts w:cstheme="minorHAnsi"/>
          <w:sz w:val="24"/>
          <w:szCs w:val="24"/>
        </w:rPr>
        <w:t xml:space="preserve"> Demographic and baseline characteristics by baseline BMI category in patients from the pirfenidone arms of ASCEND and </w:t>
      </w:r>
      <w:proofErr w:type="gramStart"/>
      <w:r w:rsidRPr="000F7860">
        <w:rPr>
          <w:rFonts w:cstheme="minorHAnsi"/>
          <w:sz w:val="24"/>
          <w:szCs w:val="24"/>
        </w:rPr>
        <w:t>CAPACITY</w:t>
      </w:r>
      <w:proofErr w:type="gramEnd"/>
      <w:r w:rsidRPr="000F7860">
        <w:rPr>
          <w:rFonts w:cstheme="minorHAnsi"/>
          <w:sz w:val="24"/>
          <w:szCs w:val="24"/>
        </w:rPr>
        <w:t xml:space="preserve"> </w:t>
      </w: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793"/>
        <w:gridCol w:w="1986"/>
        <w:gridCol w:w="1986"/>
      </w:tblGrid>
      <w:tr w:rsidR="0084028F" w:rsidRPr="000F7860" w14:paraId="1FC9E66D" w14:textId="77777777" w:rsidTr="004E35CE">
        <w:tc>
          <w:tcPr>
            <w:tcW w:w="3261" w:type="dxa"/>
            <w:tcBorders>
              <w:top w:val="single" w:sz="4" w:space="0" w:color="auto"/>
            </w:tcBorders>
          </w:tcPr>
          <w:p w14:paraId="3C49E718" w14:textId="77777777" w:rsidR="0084028F" w:rsidRPr="000F7860" w:rsidRDefault="0084028F" w:rsidP="004E35CE">
            <w:pPr>
              <w:spacing w:before="120" w:after="120"/>
              <w:rPr>
                <w:rFonts w:ascii="Calibri" w:eastAsia="Calibri" w:hAnsi="Calibri" w:cs="Calibri"/>
                <w:sz w:val="24"/>
                <w:szCs w:val="24"/>
              </w:rPr>
            </w:pPr>
          </w:p>
        </w:tc>
        <w:tc>
          <w:tcPr>
            <w:tcW w:w="5765" w:type="dxa"/>
            <w:gridSpan w:val="3"/>
            <w:tcBorders>
              <w:top w:val="single" w:sz="4" w:space="0" w:color="auto"/>
              <w:bottom w:val="single" w:sz="4" w:space="0" w:color="auto"/>
            </w:tcBorders>
          </w:tcPr>
          <w:p w14:paraId="7A335ED4"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b/>
                <w:sz w:val="24"/>
                <w:szCs w:val="24"/>
              </w:rPr>
              <w:t>Baseline BMI</w:t>
            </w:r>
          </w:p>
        </w:tc>
      </w:tr>
      <w:tr w:rsidR="0084028F" w:rsidRPr="000F7860" w14:paraId="7B139664" w14:textId="77777777" w:rsidTr="004E35CE">
        <w:tc>
          <w:tcPr>
            <w:tcW w:w="3261" w:type="dxa"/>
            <w:tcBorders>
              <w:bottom w:val="single" w:sz="4" w:space="0" w:color="auto"/>
            </w:tcBorders>
          </w:tcPr>
          <w:p w14:paraId="1F999D5F"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b/>
                <w:sz w:val="24"/>
                <w:szCs w:val="24"/>
              </w:rPr>
              <w:t>Demographic/characteristic</w:t>
            </w:r>
            <w:r w:rsidRPr="00340B79">
              <w:rPr>
                <w:rFonts w:ascii="Calibri" w:eastAsia="Calibri" w:hAnsi="Calibri" w:cs="Calibri"/>
                <w:b/>
                <w:sz w:val="24"/>
                <w:szCs w:val="24"/>
                <w:vertAlign w:val="superscript"/>
              </w:rPr>
              <w:t>*</w:t>
            </w:r>
          </w:p>
        </w:tc>
        <w:tc>
          <w:tcPr>
            <w:tcW w:w="1793" w:type="dxa"/>
            <w:tcBorders>
              <w:top w:val="single" w:sz="4" w:space="0" w:color="auto"/>
              <w:bottom w:val="single" w:sz="4" w:space="0" w:color="auto"/>
            </w:tcBorders>
          </w:tcPr>
          <w:p w14:paraId="6336FAB6" w14:textId="77777777" w:rsidR="0084028F" w:rsidRPr="000F7860" w:rsidRDefault="0084028F" w:rsidP="004E35CE">
            <w:pPr>
              <w:spacing w:before="120" w:after="120"/>
              <w:jc w:val="center"/>
              <w:rPr>
                <w:rFonts w:ascii="Calibri" w:eastAsia="Calibri" w:hAnsi="Calibri" w:cs="Calibri"/>
                <w:b/>
                <w:sz w:val="24"/>
                <w:szCs w:val="24"/>
              </w:rPr>
            </w:pPr>
            <w:r w:rsidRPr="000F7860">
              <w:rPr>
                <w:rFonts w:ascii="Calibri" w:eastAsia="Calibri" w:hAnsi="Calibri" w:cs="Calibri"/>
                <w:b/>
                <w:sz w:val="24"/>
                <w:szCs w:val="24"/>
              </w:rPr>
              <w:t>&lt;25 kg/m</w:t>
            </w:r>
            <w:r w:rsidRPr="000F7860">
              <w:rPr>
                <w:rFonts w:ascii="Calibri" w:eastAsia="Calibri" w:hAnsi="Calibri" w:cs="Calibri"/>
                <w:b/>
                <w:sz w:val="24"/>
                <w:szCs w:val="24"/>
                <w:vertAlign w:val="superscript"/>
              </w:rPr>
              <w:t>2</w:t>
            </w:r>
          </w:p>
          <w:p w14:paraId="4F3CF09B"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b/>
                <w:i/>
                <w:sz w:val="24"/>
                <w:szCs w:val="24"/>
              </w:rPr>
              <w:t xml:space="preserve">n </w:t>
            </w:r>
            <w:r w:rsidRPr="000F7860">
              <w:rPr>
                <w:rFonts w:ascii="Calibri" w:eastAsia="Calibri" w:hAnsi="Calibri" w:cs="Calibri"/>
                <w:b/>
                <w:sz w:val="24"/>
                <w:szCs w:val="24"/>
              </w:rPr>
              <w:t>= 73</w:t>
            </w:r>
          </w:p>
        </w:tc>
        <w:tc>
          <w:tcPr>
            <w:tcW w:w="1986" w:type="dxa"/>
            <w:tcBorders>
              <w:top w:val="single" w:sz="4" w:space="0" w:color="auto"/>
              <w:bottom w:val="single" w:sz="4" w:space="0" w:color="auto"/>
            </w:tcBorders>
          </w:tcPr>
          <w:p w14:paraId="6FE75800" w14:textId="77777777" w:rsidR="0084028F" w:rsidRPr="000F7860" w:rsidRDefault="0084028F" w:rsidP="004E35CE">
            <w:pPr>
              <w:spacing w:before="120" w:after="120"/>
              <w:jc w:val="center"/>
              <w:rPr>
                <w:rFonts w:ascii="Calibri" w:eastAsia="Calibri" w:hAnsi="Calibri" w:cs="Calibri"/>
                <w:b/>
                <w:sz w:val="24"/>
                <w:szCs w:val="24"/>
              </w:rPr>
            </w:pPr>
            <w:r w:rsidRPr="000F7860">
              <w:rPr>
                <w:rFonts w:ascii="Calibri" w:eastAsia="Calibri" w:hAnsi="Calibri" w:cs="Calibri"/>
                <w:b/>
                <w:sz w:val="24"/>
                <w:szCs w:val="24"/>
              </w:rPr>
              <w:t>25–&lt;30 kg/m</w:t>
            </w:r>
            <w:r w:rsidRPr="000F7860">
              <w:rPr>
                <w:rFonts w:ascii="Calibri" w:eastAsia="Calibri" w:hAnsi="Calibri" w:cs="Calibri"/>
                <w:b/>
                <w:sz w:val="24"/>
                <w:szCs w:val="24"/>
                <w:vertAlign w:val="superscript"/>
              </w:rPr>
              <w:t>2</w:t>
            </w:r>
          </w:p>
          <w:p w14:paraId="1927F535"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b/>
                <w:i/>
                <w:sz w:val="24"/>
                <w:szCs w:val="24"/>
              </w:rPr>
              <w:t xml:space="preserve">n </w:t>
            </w:r>
            <w:r w:rsidRPr="000F7860">
              <w:rPr>
                <w:rFonts w:ascii="Calibri" w:eastAsia="Calibri" w:hAnsi="Calibri" w:cs="Calibri"/>
                <w:b/>
                <w:sz w:val="24"/>
                <w:szCs w:val="24"/>
              </w:rPr>
              <w:t>= 265</w:t>
            </w:r>
          </w:p>
        </w:tc>
        <w:tc>
          <w:tcPr>
            <w:tcW w:w="1986" w:type="dxa"/>
            <w:tcBorders>
              <w:top w:val="single" w:sz="4" w:space="0" w:color="auto"/>
              <w:bottom w:val="single" w:sz="4" w:space="0" w:color="auto"/>
            </w:tcBorders>
          </w:tcPr>
          <w:p w14:paraId="2CF6B9D0" w14:textId="77777777" w:rsidR="0084028F" w:rsidRPr="000F7860" w:rsidRDefault="0084028F" w:rsidP="004E35CE">
            <w:pPr>
              <w:spacing w:before="120" w:after="120"/>
              <w:jc w:val="center"/>
              <w:rPr>
                <w:rFonts w:ascii="Calibri" w:eastAsia="Calibri" w:hAnsi="Calibri" w:cs="Calibri"/>
                <w:b/>
                <w:sz w:val="24"/>
                <w:szCs w:val="24"/>
              </w:rPr>
            </w:pPr>
            <w:r w:rsidRPr="000F7860">
              <w:rPr>
                <w:rFonts w:ascii="Calibri" w:eastAsia="Calibri" w:hAnsi="Calibri" w:cs="Calibri"/>
                <w:b/>
                <w:sz w:val="24"/>
                <w:szCs w:val="24"/>
              </w:rPr>
              <w:t>≥30 kg/m</w:t>
            </w:r>
            <w:r w:rsidRPr="000F7860">
              <w:rPr>
                <w:rFonts w:ascii="Calibri" w:eastAsia="Calibri" w:hAnsi="Calibri" w:cs="Calibri"/>
                <w:b/>
                <w:sz w:val="24"/>
                <w:szCs w:val="24"/>
                <w:vertAlign w:val="superscript"/>
              </w:rPr>
              <w:t>2</w:t>
            </w:r>
          </w:p>
          <w:p w14:paraId="104325F3"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b/>
                <w:i/>
                <w:sz w:val="24"/>
                <w:szCs w:val="24"/>
              </w:rPr>
              <w:t>n</w:t>
            </w:r>
            <w:r w:rsidRPr="000F7860">
              <w:rPr>
                <w:rFonts w:ascii="Calibri" w:eastAsia="Calibri" w:hAnsi="Calibri" w:cs="Calibri"/>
                <w:b/>
                <w:sz w:val="24"/>
                <w:szCs w:val="24"/>
              </w:rPr>
              <w:t xml:space="preserve"> = 285</w:t>
            </w:r>
          </w:p>
        </w:tc>
      </w:tr>
      <w:tr w:rsidR="0084028F" w:rsidRPr="000F7860" w14:paraId="0C398224" w14:textId="77777777" w:rsidTr="004E35CE">
        <w:tc>
          <w:tcPr>
            <w:tcW w:w="3261" w:type="dxa"/>
            <w:tcBorders>
              <w:top w:val="single" w:sz="4" w:space="0" w:color="auto"/>
            </w:tcBorders>
          </w:tcPr>
          <w:p w14:paraId="397D8698"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Age at randomization, years</w:t>
            </w:r>
          </w:p>
        </w:tc>
        <w:tc>
          <w:tcPr>
            <w:tcW w:w="1793" w:type="dxa"/>
            <w:tcBorders>
              <w:top w:val="single" w:sz="4" w:space="0" w:color="auto"/>
            </w:tcBorders>
          </w:tcPr>
          <w:p w14:paraId="1FA15042"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69.8 (7.5)</w:t>
            </w:r>
          </w:p>
        </w:tc>
        <w:tc>
          <w:tcPr>
            <w:tcW w:w="1986" w:type="dxa"/>
            <w:tcBorders>
              <w:top w:val="single" w:sz="4" w:space="0" w:color="auto"/>
            </w:tcBorders>
          </w:tcPr>
          <w:p w14:paraId="0A90C20E"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68.2 (7.1)</w:t>
            </w:r>
          </w:p>
        </w:tc>
        <w:tc>
          <w:tcPr>
            <w:tcW w:w="1986" w:type="dxa"/>
            <w:tcBorders>
              <w:top w:val="single" w:sz="4" w:space="0" w:color="auto"/>
            </w:tcBorders>
          </w:tcPr>
          <w:p w14:paraId="6E7150E6"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65.6 (7.7)</w:t>
            </w:r>
          </w:p>
        </w:tc>
      </w:tr>
      <w:tr w:rsidR="0084028F" w:rsidRPr="000F7860" w14:paraId="403781A0" w14:textId="77777777" w:rsidTr="004E35CE">
        <w:tc>
          <w:tcPr>
            <w:tcW w:w="3261" w:type="dxa"/>
          </w:tcPr>
          <w:p w14:paraId="154258DA"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 xml:space="preserve">Male, </w:t>
            </w:r>
            <w:r w:rsidRPr="000F7860">
              <w:rPr>
                <w:rFonts w:ascii="Calibri" w:eastAsia="Calibri" w:hAnsi="Calibri" w:cs="Calibri"/>
                <w:i/>
                <w:sz w:val="24"/>
                <w:szCs w:val="24"/>
              </w:rPr>
              <w:t>n</w:t>
            </w:r>
            <w:r w:rsidRPr="000F7860">
              <w:rPr>
                <w:rFonts w:ascii="Calibri" w:eastAsia="Calibri" w:hAnsi="Calibri" w:cs="Calibri"/>
                <w:sz w:val="24"/>
                <w:szCs w:val="24"/>
              </w:rPr>
              <w:t xml:space="preserve"> (%)</w:t>
            </w:r>
          </w:p>
        </w:tc>
        <w:tc>
          <w:tcPr>
            <w:tcW w:w="1793" w:type="dxa"/>
          </w:tcPr>
          <w:p w14:paraId="2D575865"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42 (57.5)</w:t>
            </w:r>
          </w:p>
        </w:tc>
        <w:tc>
          <w:tcPr>
            <w:tcW w:w="1986" w:type="dxa"/>
          </w:tcPr>
          <w:p w14:paraId="0AE6F32F"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215 (81.1)</w:t>
            </w:r>
          </w:p>
        </w:tc>
        <w:tc>
          <w:tcPr>
            <w:tcW w:w="1986" w:type="dxa"/>
          </w:tcPr>
          <w:p w14:paraId="590C1968"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206 (72.3)</w:t>
            </w:r>
          </w:p>
        </w:tc>
      </w:tr>
      <w:tr w:rsidR="0084028F" w:rsidRPr="000F7860" w14:paraId="493E0BF2" w14:textId="77777777" w:rsidTr="004E35CE">
        <w:tc>
          <w:tcPr>
            <w:tcW w:w="3261" w:type="dxa"/>
          </w:tcPr>
          <w:p w14:paraId="2C749E9C"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 xml:space="preserve">White, </w:t>
            </w:r>
            <w:r w:rsidRPr="000F7860">
              <w:rPr>
                <w:rFonts w:ascii="Calibri" w:eastAsia="Calibri" w:hAnsi="Calibri" w:cs="Calibri"/>
                <w:i/>
                <w:sz w:val="24"/>
                <w:szCs w:val="24"/>
              </w:rPr>
              <w:t>n</w:t>
            </w:r>
            <w:r w:rsidRPr="000F7860">
              <w:rPr>
                <w:rFonts w:ascii="Calibri" w:eastAsia="Calibri" w:hAnsi="Calibri" w:cs="Calibri"/>
                <w:sz w:val="24"/>
                <w:szCs w:val="24"/>
              </w:rPr>
              <w:t xml:space="preserve"> (%)</w:t>
            </w:r>
          </w:p>
        </w:tc>
        <w:tc>
          <w:tcPr>
            <w:tcW w:w="1793" w:type="dxa"/>
          </w:tcPr>
          <w:p w14:paraId="10F58517"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58 (79.5)</w:t>
            </w:r>
          </w:p>
        </w:tc>
        <w:tc>
          <w:tcPr>
            <w:tcW w:w="1986" w:type="dxa"/>
          </w:tcPr>
          <w:p w14:paraId="35FF8299"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226 (85.3)</w:t>
            </w:r>
          </w:p>
        </w:tc>
        <w:tc>
          <w:tcPr>
            <w:tcW w:w="1986" w:type="dxa"/>
          </w:tcPr>
          <w:p w14:paraId="2641E6C0"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259 (90.9)</w:t>
            </w:r>
          </w:p>
        </w:tc>
      </w:tr>
      <w:tr w:rsidR="0084028F" w:rsidRPr="000F7860" w14:paraId="4C781A86" w14:textId="77777777" w:rsidTr="004E35CE">
        <w:tc>
          <w:tcPr>
            <w:tcW w:w="9026" w:type="dxa"/>
            <w:gridSpan w:val="4"/>
          </w:tcPr>
          <w:p w14:paraId="6C5D2598"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Weight at baseline, kg</w:t>
            </w:r>
          </w:p>
        </w:tc>
      </w:tr>
      <w:tr w:rsidR="0084028F" w:rsidRPr="000F7860" w14:paraId="60201930" w14:textId="77777777" w:rsidTr="004E35CE">
        <w:tc>
          <w:tcPr>
            <w:tcW w:w="3261" w:type="dxa"/>
          </w:tcPr>
          <w:p w14:paraId="369E6C82"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ab/>
              <w:t>Male</w:t>
            </w:r>
          </w:p>
        </w:tc>
        <w:tc>
          <w:tcPr>
            <w:tcW w:w="1793" w:type="dxa"/>
          </w:tcPr>
          <w:p w14:paraId="76B58B4B"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69.0 (8.0)</w:t>
            </w:r>
          </w:p>
        </w:tc>
        <w:tc>
          <w:tcPr>
            <w:tcW w:w="1986" w:type="dxa"/>
          </w:tcPr>
          <w:p w14:paraId="2DADB4CF"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84.0 (9.0)</w:t>
            </w:r>
          </w:p>
        </w:tc>
        <w:tc>
          <w:tcPr>
            <w:tcW w:w="1986" w:type="dxa"/>
          </w:tcPr>
          <w:p w14:paraId="7BFE26B6"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102.8 (14.5)</w:t>
            </w:r>
          </w:p>
        </w:tc>
      </w:tr>
      <w:tr w:rsidR="0084028F" w:rsidRPr="000F7860" w14:paraId="6DADF9D6" w14:textId="77777777" w:rsidTr="004E35CE">
        <w:tc>
          <w:tcPr>
            <w:tcW w:w="3261" w:type="dxa"/>
          </w:tcPr>
          <w:p w14:paraId="4A73370E"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ab/>
              <w:t>Female</w:t>
            </w:r>
          </w:p>
        </w:tc>
        <w:tc>
          <w:tcPr>
            <w:tcW w:w="1793" w:type="dxa"/>
          </w:tcPr>
          <w:p w14:paraId="4113EE26"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58.6 (7.3)</w:t>
            </w:r>
          </w:p>
        </w:tc>
        <w:tc>
          <w:tcPr>
            <w:tcW w:w="1986" w:type="dxa"/>
          </w:tcPr>
          <w:p w14:paraId="34A40E62"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70.3 (6.1)</w:t>
            </w:r>
          </w:p>
        </w:tc>
        <w:tc>
          <w:tcPr>
            <w:tcW w:w="1986" w:type="dxa"/>
          </w:tcPr>
          <w:p w14:paraId="14C892A1"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85.7 (11.4)</w:t>
            </w:r>
          </w:p>
        </w:tc>
      </w:tr>
      <w:tr w:rsidR="0084028F" w:rsidRPr="000F7860" w14:paraId="7CD20E48" w14:textId="77777777" w:rsidTr="004E35CE">
        <w:tc>
          <w:tcPr>
            <w:tcW w:w="9026" w:type="dxa"/>
            <w:gridSpan w:val="4"/>
          </w:tcPr>
          <w:p w14:paraId="46566E4B"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BMI at baseline</w:t>
            </w:r>
          </w:p>
        </w:tc>
      </w:tr>
      <w:tr w:rsidR="0084028F" w:rsidRPr="000F7860" w14:paraId="355F17AB" w14:textId="77777777" w:rsidTr="004E35CE">
        <w:tc>
          <w:tcPr>
            <w:tcW w:w="3261" w:type="dxa"/>
          </w:tcPr>
          <w:p w14:paraId="217AD499"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ab/>
              <w:t>Male</w:t>
            </w:r>
          </w:p>
        </w:tc>
        <w:tc>
          <w:tcPr>
            <w:tcW w:w="1793" w:type="dxa"/>
          </w:tcPr>
          <w:p w14:paraId="003AAF8D"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23.4 (1.5)</w:t>
            </w:r>
          </w:p>
        </w:tc>
        <w:tc>
          <w:tcPr>
            <w:tcW w:w="1986" w:type="dxa"/>
          </w:tcPr>
          <w:p w14:paraId="666D7003"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27.7 (1.4)</w:t>
            </w:r>
          </w:p>
        </w:tc>
        <w:tc>
          <w:tcPr>
            <w:tcW w:w="1986" w:type="dxa"/>
          </w:tcPr>
          <w:p w14:paraId="0F6F2159"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33.6 (3.2)</w:t>
            </w:r>
          </w:p>
        </w:tc>
      </w:tr>
      <w:tr w:rsidR="0084028F" w:rsidRPr="000F7860" w14:paraId="60EAF476" w14:textId="77777777" w:rsidTr="004E35CE">
        <w:tc>
          <w:tcPr>
            <w:tcW w:w="3261" w:type="dxa"/>
          </w:tcPr>
          <w:p w14:paraId="1C1BC7C6"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ab/>
              <w:t>Female</w:t>
            </w:r>
          </w:p>
        </w:tc>
        <w:tc>
          <w:tcPr>
            <w:tcW w:w="1793" w:type="dxa"/>
          </w:tcPr>
          <w:p w14:paraId="70CBC9CC"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23.2 (1.5)</w:t>
            </w:r>
          </w:p>
        </w:tc>
        <w:tc>
          <w:tcPr>
            <w:tcW w:w="1986" w:type="dxa"/>
          </w:tcPr>
          <w:p w14:paraId="55099344"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27.5 (1.6)</w:t>
            </w:r>
          </w:p>
        </w:tc>
        <w:tc>
          <w:tcPr>
            <w:tcW w:w="1986" w:type="dxa"/>
          </w:tcPr>
          <w:p w14:paraId="6B6370CA"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33.8 (3.3)</w:t>
            </w:r>
          </w:p>
        </w:tc>
      </w:tr>
      <w:tr w:rsidR="0084028F" w:rsidRPr="000F7860" w14:paraId="1868E94A" w14:textId="77777777" w:rsidTr="004E35CE">
        <w:tc>
          <w:tcPr>
            <w:tcW w:w="9026" w:type="dxa"/>
            <w:gridSpan w:val="4"/>
          </w:tcPr>
          <w:p w14:paraId="30B12F1B"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 xml:space="preserve">HRCT diagnosis group at baseline, </w:t>
            </w:r>
            <w:r w:rsidRPr="000F7860">
              <w:rPr>
                <w:rFonts w:ascii="Calibri" w:eastAsia="Calibri" w:hAnsi="Calibri" w:cs="Calibri"/>
                <w:i/>
                <w:sz w:val="24"/>
                <w:szCs w:val="24"/>
              </w:rPr>
              <w:t>n</w:t>
            </w:r>
            <w:r w:rsidRPr="000F7860">
              <w:rPr>
                <w:rFonts w:ascii="Calibri" w:eastAsia="Calibri" w:hAnsi="Calibri" w:cs="Calibri"/>
                <w:sz w:val="24"/>
                <w:szCs w:val="24"/>
              </w:rPr>
              <w:t xml:space="preserve"> (%)</w:t>
            </w:r>
          </w:p>
        </w:tc>
      </w:tr>
      <w:tr w:rsidR="0084028F" w:rsidRPr="000F7860" w14:paraId="3A175ABC" w14:textId="77777777" w:rsidTr="004E35CE">
        <w:tc>
          <w:tcPr>
            <w:tcW w:w="3261" w:type="dxa"/>
          </w:tcPr>
          <w:p w14:paraId="0BCA847E"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ab/>
              <w:t>Definite UIP</w:t>
            </w:r>
          </w:p>
        </w:tc>
        <w:tc>
          <w:tcPr>
            <w:tcW w:w="1793" w:type="dxa"/>
          </w:tcPr>
          <w:p w14:paraId="7349899F"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71 (97.3)</w:t>
            </w:r>
          </w:p>
        </w:tc>
        <w:tc>
          <w:tcPr>
            <w:tcW w:w="1986" w:type="dxa"/>
          </w:tcPr>
          <w:p w14:paraId="67318D46"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247 (</w:t>
            </w:r>
            <w:proofErr w:type="gramStart"/>
            <w:r w:rsidRPr="000F7860">
              <w:rPr>
                <w:rFonts w:ascii="Calibri" w:eastAsia="Calibri" w:hAnsi="Calibri" w:cs="Calibri"/>
                <w:sz w:val="24"/>
                <w:szCs w:val="24"/>
              </w:rPr>
              <w:t>93.6)</w:t>
            </w:r>
            <w:r w:rsidRPr="000F7860">
              <w:rPr>
                <w:rFonts w:ascii="Calibri" w:eastAsia="Calibri" w:hAnsi="Calibri" w:cs="Calibri"/>
                <w:sz w:val="24"/>
                <w:szCs w:val="24"/>
                <w:vertAlign w:val="superscript"/>
              </w:rPr>
              <w:t>†</w:t>
            </w:r>
            <w:proofErr w:type="gramEnd"/>
          </w:p>
        </w:tc>
        <w:tc>
          <w:tcPr>
            <w:tcW w:w="1986" w:type="dxa"/>
          </w:tcPr>
          <w:p w14:paraId="7305A1A6"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256 (89.8)</w:t>
            </w:r>
          </w:p>
        </w:tc>
      </w:tr>
      <w:tr w:rsidR="0084028F" w:rsidRPr="000F7860" w14:paraId="747F018E" w14:textId="77777777" w:rsidTr="004E35CE">
        <w:tc>
          <w:tcPr>
            <w:tcW w:w="3261" w:type="dxa"/>
          </w:tcPr>
          <w:p w14:paraId="2D00BAD6"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ab/>
              <w:t>Probable/possible UIP</w:t>
            </w:r>
          </w:p>
        </w:tc>
        <w:tc>
          <w:tcPr>
            <w:tcW w:w="1793" w:type="dxa"/>
          </w:tcPr>
          <w:p w14:paraId="100C63BC"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 (2.7)</w:t>
            </w:r>
          </w:p>
        </w:tc>
        <w:tc>
          <w:tcPr>
            <w:tcW w:w="1986" w:type="dxa"/>
          </w:tcPr>
          <w:p w14:paraId="465ADB6B"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17 (</w:t>
            </w:r>
            <w:proofErr w:type="gramStart"/>
            <w:r w:rsidRPr="000F7860">
              <w:rPr>
                <w:rFonts w:ascii="Calibri" w:eastAsia="Calibri" w:hAnsi="Calibri" w:cs="Calibri"/>
                <w:sz w:val="24"/>
                <w:szCs w:val="24"/>
              </w:rPr>
              <w:t>6.4)</w:t>
            </w:r>
            <w:r w:rsidRPr="000F7860">
              <w:rPr>
                <w:rFonts w:ascii="Calibri" w:eastAsia="Calibri" w:hAnsi="Calibri" w:cs="Calibri"/>
                <w:sz w:val="24"/>
                <w:szCs w:val="24"/>
                <w:vertAlign w:val="superscript"/>
              </w:rPr>
              <w:t>†</w:t>
            </w:r>
            <w:proofErr w:type="gramEnd"/>
          </w:p>
        </w:tc>
        <w:tc>
          <w:tcPr>
            <w:tcW w:w="1986" w:type="dxa"/>
          </w:tcPr>
          <w:p w14:paraId="26A07396"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27 (9.5)</w:t>
            </w:r>
          </w:p>
        </w:tc>
      </w:tr>
      <w:tr w:rsidR="0084028F" w:rsidRPr="000F7860" w14:paraId="750F675C" w14:textId="77777777" w:rsidTr="004E35CE">
        <w:tc>
          <w:tcPr>
            <w:tcW w:w="3261" w:type="dxa"/>
          </w:tcPr>
          <w:p w14:paraId="476B8A0A"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lastRenderedPageBreak/>
              <w:tab/>
              <w:t>Uncertain with UIP</w:t>
            </w:r>
          </w:p>
        </w:tc>
        <w:tc>
          <w:tcPr>
            <w:tcW w:w="1793" w:type="dxa"/>
          </w:tcPr>
          <w:p w14:paraId="039B7961"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0 (0)</w:t>
            </w:r>
          </w:p>
        </w:tc>
        <w:tc>
          <w:tcPr>
            <w:tcW w:w="1986" w:type="dxa"/>
          </w:tcPr>
          <w:p w14:paraId="7E8C263F"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0 (0)</w:t>
            </w:r>
          </w:p>
        </w:tc>
        <w:tc>
          <w:tcPr>
            <w:tcW w:w="1986" w:type="dxa"/>
          </w:tcPr>
          <w:p w14:paraId="61A43EF0"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2 (0.7)</w:t>
            </w:r>
          </w:p>
        </w:tc>
      </w:tr>
      <w:tr w:rsidR="0084028F" w:rsidRPr="000F7860" w14:paraId="03960E22" w14:textId="77777777" w:rsidTr="004E35CE">
        <w:tc>
          <w:tcPr>
            <w:tcW w:w="3261" w:type="dxa"/>
          </w:tcPr>
          <w:p w14:paraId="6AFD1D05"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Time from IPF diagnosis to randomization, years</w:t>
            </w:r>
          </w:p>
        </w:tc>
        <w:tc>
          <w:tcPr>
            <w:tcW w:w="1793" w:type="dxa"/>
          </w:tcPr>
          <w:p w14:paraId="0B4F388A"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1.7 (1.1)</w:t>
            </w:r>
          </w:p>
        </w:tc>
        <w:tc>
          <w:tcPr>
            <w:tcW w:w="1986" w:type="dxa"/>
          </w:tcPr>
          <w:p w14:paraId="7938B303"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1.5 (1.1)</w:t>
            </w:r>
          </w:p>
        </w:tc>
        <w:tc>
          <w:tcPr>
            <w:tcW w:w="1986" w:type="dxa"/>
          </w:tcPr>
          <w:p w14:paraId="0F3872BA"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1.4 (1.0)</w:t>
            </w:r>
          </w:p>
        </w:tc>
      </w:tr>
      <w:tr w:rsidR="0084028F" w:rsidRPr="000F7860" w14:paraId="5A479FC8" w14:textId="77777777" w:rsidTr="004E35CE">
        <w:tc>
          <w:tcPr>
            <w:tcW w:w="3261" w:type="dxa"/>
          </w:tcPr>
          <w:p w14:paraId="2EA8E98C"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 xml:space="preserve">Percent predicted FVC </w:t>
            </w:r>
          </w:p>
        </w:tc>
        <w:tc>
          <w:tcPr>
            <w:tcW w:w="1793" w:type="dxa"/>
          </w:tcPr>
          <w:p w14:paraId="2114665E"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72.5 (15.9)</w:t>
            </w:r>
          </w:p>
        </w:tc>
        <w:tc>
          <w:tcPr>
            <w:tcW w:w="1986" w:type="dxa"/>
          </w:tcPr>
          <w:p w14:paraId="26A7FB11"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72.3 (13.8)</w:t>
            </w:r>
          </w:p>
        </w:tc>
        <w:tc>
          <w:tcPr>
            <w:tcW w:w="1986" w:type="dxa"/>
          </w:tcPr>
          <w:p w14:paraId="155789A1"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70.7 (11.8)</w:t>
            </w:r>
          </w:p>
        </w:tc>
      </w:tr>
      <w:tr w:rsidR="0084028F" w:rsidRPr="000F7860" w14:paraId="7135BE28" w14:textId="77777777" w:rsidTr="004E35CE">
        <w:tc>
          <w:tcPr>
            <w:tcW w:w="3261" w:type="dxa"/>
          </w:tcPr>
          <w:p w14:paraId="08C9A1A3"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FEV</w:t>
            </w:r>
            <w:r w:rsidRPr="000F7860">
              <w:rPr>
                <w:rFonts w:ascii="Calibri" w:eastAsia="Calibri" w:hAnsi="Calibri" w:cs="Calibri"/>
                <w:sz w:val="24"/>
                <w:szCs w:val="24"/>
                <w:vertAlign w:val="subscript"/>
              </w:rPr>
              <w:t>1</w:t>
            </w:r>
            <w:r w:rsidRPr="000F7860">
              <w:rPr>
                <w:rFonts w:ascii="Calibri" w:eastAsia="Calibri" w:hAnsi="Calibri" w:cs="Calibri"/>
                <w:sz w:val="24"/>
                <w:szCs w:val="24"/>
              </w:rPr>
              <w:t>/FVC ratio</w:t>
            </w:r>
          </w:p>
        </w:tc>
        <w:tc>
          <w:tcPr>
            <w:tcW w:w="1793" w:type="dxa"/>
          </w:tcPr>
          <w:p w14:paraId="3A4AA5DC"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0.9 (0.1)</w:t>
            </w:r>
          </w:p>
        </w:tc>
        <w:tc>
          <w:tcPr>
            <w:tcW w:w="1986" w:type="dxa"/>
          </w:tcPr>
          <w:p w14:paraId="5CC9B2E0"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0.8 (0.0)</w:t>
            </w:r>
          </w:p>
        </w:tc>
        <w:tc>
          <w:tcPr>
            <w:tcW w:w="1986" w:type="dxa"/>
          </w:tcPr>
          <w:p w14:paraId="40E01FEE"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0.8 (0.0)</w:t>
            </w:r>
          </w:p>
        </w:tc>
      </w:tr>
      <w:tr w:rsidR="0084028F" w:rsidRPr="000F7860" w14:paraId="2D1C20B5" w14:textId="77777777" w:rsidTr="004E35CE">
        <w:tc>
          <w:tcPr>
            <w:tcW w:w="3261" w:type="dxa"/>
          </w:tcPr>
          <w:p w14:paraId="35CCF66C"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Percent predicted DLco</w:t>
            </w:r>
          </w:p>
        </w:tc>
        <w:tc>
          <w:tcPr>
            <w:tcW w:w="1793" w:type="dxa"/>
          </w:tcPr>
          <w:p w14:paraId="13166AAC"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44.6 (10.4)</w:t>
            </w:r>
          </w:p>
        </w:tc>
        <w:tc>
          <w:tcPr>
            <w:tcW w:w="1986" w:type="dxa"/>
          </w:tcPr>
          <w:p w14:paraId="5E070F5D"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44.8 (9.9)</w:t>
            </w:r>
          </w:p>
        </w:tc>
        <w:tc>
          <w:tcPr>
            <w:tcW w:w="1986" w:type="dxa"/>
          </w:tcPr>
          <w:p w14:paraId="4FE55C8B"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46.5 (10.3)</w:t>
            </w:r>
          </w:p>
        </w:tc>
      </w:tr>
      <w:tr w:rsidR="0084028F" w:rsidRPr="000F7860" w14:paraId="0A22958B" w14:textId="77777777" w:rsidTr="004E35CE">
        <w:tc>
          <w:tcPr>
            <w:tcW w:w="3261" w:type="dxa"/>
          </w:tcPr>
          <w:p w14:paraId="2B1F7BEC"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Baseline 6MWD, m</w:t>
            </w:r>
          </w:p>
        </w:tc>
        <w:tc>
          <w:tcPr>
            <w:tcW w:w="1793" w:type="dxa"/>
          </w:tcPr>
          <w:p w14:paraId="71E1E11A"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410.5 (</w:t>
            </w:r>
            <w:proofErr w:type="gramStart"/>
            <w:r w:rsidRPr="000F7860">
              <w:rPr>
                <w:rFonts w:ascii="Calibri" w:eastAsia="Calibri" w:hAnsi="Calibri" w:cs="Calibri"/>
                <w:sz w:val="24"/>
                <w:szCs w:val="24"/>
              </w:rPr>
              <w:t>99.0)</w:t>
            </w:r>
            <w:r w:rsidRPr="000F7860">
              <w:rPr>
                <w:rFonts w:ascii="Calibri" w:eastAsia="Calibri" w:hAnsi="Calibri" w:cs="Calibri"/>
                <w:sz w:val="24"/>
                <w:szCs w:val="24"/>
                <w:vertAlign w:val="superscript"/>
              </w:rPr>
              <w:t>‡</w:t>
            </w:r>
            <w:proofErr w:type="gramEnd"/>
          </w:p>
        </w:tc>
        <w:tc>
          <w:tcPr>
            <w:tcW w:w="1986" w:type="dxa"/>
          </w:tcPr>
          <w:p w14:paraId="01859085"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424.2 (</w:t>
            </w:r>
            <w:proofErr w:type="gramStart"/>
            <w:r w:rsidRPr="000F7860">
              <w:rPr>
                <w:rFonts w:ascii="Calibri" w:eastAsia="Calibri" w:hAnsi="Calibri" w:cs="Calibri"/>
                <w:sz w:val="24"/>
                <w:szCs w:val="24"/>
              </w:rPr>
              <w:t>95.5)</w:t>
            </w:r>
            <w:r w:rsidRPr="000F7860">
              <w:rPr>
                <w:rFonts w:ascii="Calibri" w:eastAsia="Calibri" w:hAnsi="Calibri" w:cs="Calibri"/>
                <w:sz w:val="24"/>
                <w:szCs w:val="24"/>
                <w:vertAlign w:val="superscript"/>
              </w:rPr>
              <w:t>†</w:t>
            </w:r>
            <w:proofErr w:type="gramEnd"/>
          </w:p>
        </w:tc>
        <w:tc>
          <w:tcPr>
            <w:tcW w:w="1986" w:type="dxa"/>
          </w:tcPr>
          <w:p w14:paraId="7C05EB58"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383.0 (</w:t>
            </w:r>
            <w:proofErr w:type="gramStart"/>
            <w:r w:rsidRPr="000F7860">
              <w:rPr>
                <w:rFonts w:ascii="Calibri" w:eastAsia="Calibri" w:hAnsi="Calibri" w:cs="Calibri"/>
                <w:sz w:val="24"/>
                <w:szCs w:val="24"/>
              </w:rPr>
              <w:t>86.2)</w:t>
            </w:r>
            <w:r w:rsidRPr="000F7860">
              <w:rPr>
                <w:rFonts w:ascii="Calibri" w:eastAsia="Calibri" w:hAnsi="Calibri" w:cs="Calibri"/>
                <w:sz w:val="24"/>
                <w:szCs w:val="24"/>
                <w:vertAlign w:val="superscript"/>
              </w:rPr>
              <w:t>§</w:t>
            </w:r>
            <w:proofErr w:type="gramEnd"/>
          </w:p>
        </w:tc>
      </w:tr>
      <w:tr w:rsidR="0084028F" w:rsidRPr="000F7860" w14:paraId="231C969D" w14:textId="77777777" w:rsidTr="004E35CE">
        <w:tc>
          <w:tcPr>
            <w:tcW w:w="3261" w:type="dxa"/>
          </w:tcPr>
          <w:p w14:paraId="6BCFBD33"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Baseline SGRQ score</w:t>
            </w:r>
          </w:p>
        </w:tc>
        <w:tc>
          <w:tcPr>
            <w:tcW w:w="1793" w:type="dxa"/>
          </w:tcPr>
          <w:p w14:paraId="1B9A4737"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30.9 (</w:t>
            </w:r>
            <w:proofErr w:type="gramStart"/>
            <w:r w:rsidRPr="000F7860">
              <w:rPr>
                <w:rFonts w:ascii="Calibri" w:eastAsia="Calibri" w:hAnsi="Calibri" w:cs="Calibri"/>
                <w:sz w:val="24"/>
                <w:szCs w:val="24"/>
              </w:rPr>
              <w:t>12.2)</w:t>
            </w:r>
            <w:r w:rsidRPr="000F7860">
              <w:rPr>
                <w:rFonts w:ascii="Calibri" w:eastAsia="Calibri" w:hAnsi="Calibri" w:cs="Calibri"/>
                <w:sz w:val="24"/>
                <w:szCs w:val="24"/>
                <w:vertAlign w:val="superscript"/>
              </w:rPr>
              <w:t>‖</w:t>
            </w:r>
            <w:proofErr w:type="gramEnd"/>
          </w:p>
        </w:tc>
        <w:tc>
          <w:tcPr>
            <w:tcW w:w="1986" w:type="dxa"/>
          </w:tcPr>
          <w:p w14:paraId="08AABBDC"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35.9 (</w:t>
            </w:r>
            <w:proofErr w:type="gramStart"/>
            <w:r w:rsidRPr="000F7860">
              <w:rPr>
                <w:rFonts w:ascii="Calibri" w:eastAsia="Calibri" w:hAnsi="Calibri" w:cs="Calibri"/>
                <w:sz w:val="24"/>
                <w:szCs w:val="24"/>
              </w:rPr>
              <w:t>17.6)</w:t>
            </w:r>
            <w:r w:rsidRPr="00340B79">
              <w:rPr>
                <w:rFonts w:ascii="Calibri" w:eastAsia="Calibri" w:hAnsi="Calibri" w:cs="Calibri"/>
                <w:sz w:val="24"/>
                <w:szCs w:val="24"/>
                <w:vertAlign w:val="superscript"/>
              </w:rPr>
              <w:t>*</w:t>
            </w:r>
            <w:proofErr w:type="gramEnd"/>
            <w:r w:rsidRPr="00340B79">
              <w:rPr>
                <w:rFonts w:ascii="Calibri" w:eastAsia="Calibri" w:hAnsi="Calibri" w:cs="Calibri"/>
                <w:sz w:val="24"/>
                <w:szCs w:val="24"/>
                <w:vertAlign w:val="superscript"/>
              </w:rPr>
              <w:t>*</w:t>
            </w:r>
          </w:p>
        </w:tc>
        <w:tc>
          <w:tcPr>
            <w:tcW w:w="1986" w:type="dxa"/>
          </w:tcPr>
          <w:p w14:paraId="18F5A737"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40.6 (</w:t>
            </w:r>
            <w:proofErr w:type="gramStart"/>
            <w:r w:rsidRPr="000F7860">
              <w:rPr>
                <w:rFonts w:ascii="Calibri" w:eastAsia="Calibri" w:hAnsi="Calibri" w:cs="Calibri"/>
                <w:sz w:val="24"/>
                <w:szCs w:val="24"/>
              </w:rPr>
              <w:t>17.4)</w:t>
            </w:r>
            <w:r w:rsidRPr="000F7860">
              <w:rPr>
                <w:rFonts w:ascii="Calibri" w:eastAsia="Calibri" w:hAnsi="Calibri" w:cs="Calibri"/>
                <w:sz w:val="24"/>
                <w:szCs w:val="24"/>
                <w:vertAlign w:val="superscript"/>
              </w:rPr>
              <w:t>†</w:t>
            </w:r>
            <w:proofErr w:type="gramEnd"/>
            <w:r w:rsidRPr="000F7860">
              <w:rPr>
                <w:rFonts w:ascii="Calibri" w:eastAsia="Calibri" w:hAnsi="Calibri" w:cs="Calibri"/>
                <w:sz w:val="24"/>
                <w:szCs w:val="24"/>
                <w:vertAlign w:val="superscript"/>
              </w:rPr>
              <w:t>†</w:t>
            </w:r>
          </w:p>
        </w:tc>
      </w:tr>
      <w:tr w:rsidR="0084028F" w:rsidRPr="000F7860" w14:paraId="5F22165C" w14:textId="77777777" w:rsidTr="004E35CE">
        <w:tc>
          <w:tcPr>
            <w:tcW w:w="3261" w:type="dxa"/>
          </w:tcPr>
          <w:p w14:paraId="1ACAD044"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br w:type="page"/>
              <w:t xml:space="preserve">Supplemental oxygen </w:t>
            </w:r>
            <w:proofErr w:type="gramStart"/>
            <w:r w:rsidRPr="000F7860">
              <w:rPr>
                <w:rFonts w:ascii="Calibri" w:eastAsia="Calibri" w:hAnsi="Calibri" w:cs="Calibri"/>
                <w:sz w:val="24"/>
                <w:szCs w:val="24"/>
              </w:rPr>
              <w:t>use</w:t>
            </w:r>
            <w:proofErr w:type="gramEnd"/>
            <w:r w:rsidRPr="000F7860">
              <w:rPr>
                <w:rFonts w:ascii="Calibri" w:eastAsia="Calibri" w:hAnsi="Calibri" w:cs="Calibri"/>
                <w:sz w:val="24"/>
                <w:szCs w:val="24"/>
              </w:rPr>
              <w:t xml:space="preserve"> at baseline, </w:t>
            </w:r>
            <w:r w:rsidRPr="000F7860">
              <w:rPr>
                <w:rFonts w:ascii="Calibri" w:eastAsia="Calibri" w:hAnsi="Calibri" w:cs="Calibri"/>
                <w:i/>
                <w:sz w:val="24"/>
                <w:szCs w:val="24"/>
              </w:rPr>
              <w:t>n</w:t>
            </w:r>
            <w:r w:rsidRPr="000F7860">
              <w:rPr>
                <w:rFonts w:ascii="Calibri" w:eastAsia="Calibri" w:hAnsi="Calibri" w:cs="Calibri"/>
                <w:sz w:val="24"/>
                <w:szCs w:val="24"/>
              </w:rPr>
              <w:t xml:space="preserve"> (%)</w:t>
            </w:r>
          </w:p>
        </w:tc>
        <w:tc>
          <w:tcPr>
            <w:tcW w:w="1793" w:type="dxa"/>
          </w:tcPr>
          <w:p w14:paraId="71A48243"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11 (15.1)</w:t>
            </w:r>
          </w:p>
        </w:tc>
        <w:tc>
          <w:tcPr>
            <w:tcW w:w="1986" w:type="dxa"/>
          </w:tcPr>
          <w:p w14:paraId="4F264212"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50 (18.9)</w:t>
            </w:r>
          </w:p>
        </w:tc>
        <w:tc>
          <w:tcPr>
            <w:tcW w:w="1986" w:type="dxa"/>
          </w:tcPr>
          <w:p w14:paraId="09C17E97"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94 (33.0)</w:t>
            </w:r>
          </w:p>
        </w:tc>
      </w:tr>
      <w:tr w:rsidR="0084028F" w:rsidRPr="000F7860" w14:paraId="2EE30E69" w14:textId="77777777" w:rsidTr="004E35CE">
        <w:tc>
          <w:tcPr>
            <w:tcW w:w="9026" w:type="dxa"/>
            <w:gridSpan w:val="4"/>
          </w:tcPr>
          <w:p w14:paraId="39C0A768"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 xml:space="preserve">Smoking status at screening, </w:t>
            </w:r>
            <w:r w:rsidRPr="000F7860">
              <w:rPr>
                <w:rFonts w:ascii="Calibri" w:eastAsia="Calibri" w:hAnsi="Calibri" w:cs="Calibri"/>
                <w:i/>
                <w:sz w:val="24"/>
                <w:szCs w:val="24"/>
              </w:rPr>
              <w:t>n</w:t>
            </w:r>
            <w:r w:rsidRPr="000F7860">
              <w:rPr>
                <w:rFonts w:ascii="Calibri" w:eastAsia="Calibri" w:hAnsi="Calibri" w:cs="Calibri"/>
                <w:sz w:val="24"/>
                <w:szCs w:val="24"/>
              </w:rPr>
              <w:t xml:space="preserve"> (%)</w:t>
            </w:r>
          </w:p>
        </w:tc>
      </w:tr>
      <w:tr w:rsidR="0084028F" w:rsidRPr="000F7860" w14:paraId="6B1DC474" w14:textId="77777777" w:rsidTr="004E35CE">
        <w:tc>
          <w:tcPr>
            <w:tcW w:w="3261" w:type="dxa"/>
          </w:tcPr>
          <w:p w14:paraId="57AC8C83"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ab/>
              <w:t>Current</w:t>
            </w:r>
          </w:p>
        </w:tc>
        <w:tc>
          <w:tcPr>
            <w:tcW w:w="1793" w:type="dxa"/>
          </w:tcPr>
          <w:p w14:paraId="11976A8A"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0 (0.0)</w:t>
            </w:r>
          </w:p>
        </w:tc>
        <w:tc>
          <w:tcPr>
            <w:tcW w:w="1986" w:type="dxa"/>
          </w:tcPr>
          <w:p w14:paraId="78DEE7A7"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3 (1.1)</w:t>
            </w:r>
          </w:p>
        </w:tc>
        <w:tc>
          <w:tcPr>
            <w:tcW w:w="1986" w:type="dxa"/>
          </w:tcPr>
          <w:p w14:paraId="1A69E25D"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5 (1.8)</w:t>
            </w:r>
          </w:p>
        </w:tc>
      </w:tr>
      <w:tr w:rsidR="0084028F" w:rsidRPr="000F7860" w14:paraId="20A38159" w14:textId="77777777" w:rsidTr="004E35CE">
        <w:tc>
          <w:tcPr>
            <w:tcW w:w="3261" w:type="dxa"/>
          </w:tcPr>
          <w:p w14:paraId="70067898"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ab/>
              <w:t>History</w:t>
            </w:r>
          </w:p>
        </w:tc>
        <w:tc>
          <w:tcPr>
            <w:tcW w:w="1793" w:type="dxa"/>
          </w:tcPr>
          <w:p w14:paraId="434D5322"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38 (52.1)</w:t>
            </w:r>
          </w:p>
        </w:tc>
        <w:tc>
          <w:tcPr>
            <w:tcW w:w="1986" w:type="dxa"/>
          </w:tcPr>
          <w:p w14:paraId="087B1932"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173 (65.3)</w:t>
            </w:r>
          </w:p>
        </w:tc>
        <w:tc>
          <w:tcPr>
            <w:tcW w:w="1986" w:type="dxa"/>
          </w:tcPr>
          <w:p w14:paraId="75823E78"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195 (68.4)</w:t>
            </w:r>
          </w:p>
        </w:tc>
      </w:tr>
      <w:tr w:rsidR="0084028F" w:rsidRPr="000F7860" w14:paraId="00F034CC" w14:textId="77777777" w:rsidTr="004E35CE">
        <w:tc>
          <w:tcPr>
            <w:tcW w:w="3261" w:type="dxa"/>
            <w:tcBorders>
              <w:bottom w:val="single" w:sz="4" w:space="0" w:color="auto"/>
            </w:tcBorders>
          </w:tcPr>
          <w:p w14:paraId="3BA601A2" w14:textId="77777777" w:rsidR="0084028F" w:rsidRPr="000F7860" w:rsidRDefault="0084028F" w:rsidP="004E35CE">
            <w:pPr>
              <w:spacing w:before="120" w:after="120"/>
              <w:rPr>
                <w:rFonts w:ascii="Calibri" w:eastAsia="Calibri" w:hAnsi="Calibri" w:cs="Calibri"/>
                <w:sz w:val="24"/>
                <w:szCs w:val="24"/>
              </w:rPr>
            </w:pPr>
            <w:r w:rsidRPr="000F7860">
              <w:rPr>
                <w:rFonts w:ascii="Calibri" w:eastAsia="Calibri" w:hAnsi="Calibri" w:cs="Calibri"/>
                <w:sz w:val="24"/>
                <w:szCs w:val="24"/>
              </w:rPr>
              <w:tab/>
              <w:t>Never</w:t>
            </w:r>
          </w:p>
        </w:tc>
        <w:tc>
          <w:tcPr>
            <w:tcW w:w="1793" w:type="dxa"/>
            <w:tcBorders>
              <w:bottom w:val="single" w:sz="4" w:space="0" w:color="auto"/>
            </w:tcBorders>
          </w:tcPr>
          <w:p w14:paraId="6A997692"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35 (47.9)</w:t>
            </w:r>
          </w:p>
        </w:tc>
        <w:tc>
          <w:tcPr>
            <w:tcW w:w="1986" w:type="dxa"/>
            <w:tcBorders>
              <w:bottom w:val="single" w:sz="4" w:space="0" w:color="auto"/>
            </w:tcBorders>
          </w:tcPr>
          <w:p w14:paraId="1C66AD43"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89 (33.6)</w:t>
            </w:r>
          </w:p>
        </w:tc>
        <w:tc>
          <w:tcPr>
            <w:tcW w:w="1986" w:type="dxa"/>
            <w:tcBorders>
              <w:bottom w:val="single" w:sz="4" w:space="0" w:color="auto"/>
            </w:tcBorders>
          </w:tcPr>
          <w:p w14:paraId="2A119E3C" w14:textId="77777777" w:rsidR="0084028F" w:rsidRPr="000F7860" w:rsidRDefault="0084028F" w:rsidP="004E35CE">
            <w:pPr>
              <w:spacing w:before="120" w:after="120"/>
              <w:jc w:val="center"/>
              <w:rPr>
                <w:rFonts w:ascii="Calibri" w:eastAsia="Calibri" w:hAnsi="Calibri" w:cs="Calibri"/>
                <w:sz w:val="24"/>
                <w:szCs w:val="24"/>
              </w:rPr>
            </w:pPr>
            <w:r w:rsidRPr="000F7860">
              <w:rPr>
                <w:rFonts w:ascii="Calibri" w:eastAsia="Calibri" w:hAnsi="Calibri" w:cs="Calibri"/>
                <w:sz w:val="24"/>
                <w:szCs w:val="24"/>
              </w:rPr>
              <w:t>85 (29.8)</w:t>
            </w:r>
          </w:p>
        </w:tc>
      </w:tr>
    </w:tbl>
    <w:p w14:paraId="1A263726" w14:textId="77777777" w:rsidR="0084028F" w:rsidRPr="000F7860" w:rsidRDefault="0084028F" w:rsidP="0084028F">
      <w:pPr>
        <w:spacing w:before="120"/>
        <w:rPr>
          <w:rFonts w:cstheme="minorHAnsi"/>
          <w:sz w:val="24"/>
          <w:szCs w:val="24"/>
        </w:rPr>
      </w:pPr>
      <w:r w:rsidRPr="00340B79">
        <w:rPr>
          <w:rFonts w:cstheme="minorHAnsi"/>
          <w:sz w:val="24"/>
          <w:szCs w:val="24"/>
          <w:vertAlign w:val="superscript"/>
        </w:rPr>
        <w:t>*</w:t>
      </w:r>
      <w:r w:rsidRPr="000F7860">
        <w:rPr>
          <w:rFonts w:cstheme="minorHAnsi"/>
          <w:sz w:val="24"/>
          <w:szCs w:val="24"/>
        </w:rPr>
        <w:t xml:space="preserve">Data are presented as mean (SD) unless specified otherwise. </w:t>
      </w:r>
      <w:r w:rsidRPr="000F7860">
        <w:rPr>
          <w:rFonts w:cstheme="minorHAnsi"/>
          <w:sz w:val="24"/>
          <w:szCs w:val="24"/>
          <w:vertAlign w:val="superscript"/>
        </w:rPr>
        <w:t>†</w:t>
      </w:r>
      <w:r w:rsidRPr="000F7860">
        <w:rPr>
          <w:rFonts w:cstheme="minorHAnsi"/>
          <w:i/>
          <w:sz w:val="24"/>
          <w:szCs w:val="24"/>
        </w:rPr>
        <w:t>n</w:t>
      </w:r>
      <w:r w:rsidRPr="000F7860">
        <w:rPr>
          <w:rFonts w:cstheme="minorHAnsi"/>
          <w:sz w:val="24"/>
          <w:szCs w:val="24"/>
        </w:rPr>
        <w:t xml:space="preserve"> = 264. </w:t>
      </w:r>
      <w:r w:rsidRPr="000F7860">
        <w:rPr>
          <w:rFonts w:cstheme="minorHAnsi"/>
          <w:sz w:val="24"/>
          <w:szCs w:val="24"/>
          <w:vertAlign w:val="superscript"/>
        </w:rPr>
        <w:t>‡</w:t>
      </w:r>
      <w:r w:rsidRPr="000F7860">
        <w:rPr>
          <w:rFonts w:cstheme="minorHAnsi"/>
          <w:i/>
          <w:sz w:val="24"/>
          <w:szCs w:val="24"/>
        </w:rPr>
        <w:t>n</w:t>
      </w:r>
      <w:r w:rsidRPr="000F7860">
        <w:rPr>
          <w:rFonts w:cstheme="minorHAnsi"/>
          <w:sz w:val="24"/>
          <w:szCs w:val="24"/>
        </w:rPr>
        <w:t xml:space="preserve"> = 71. </w:t>
      </w:r>
      <w:bookmarkStart w:id="0" w:name="_Hlk55206690"/>
      <w:r w:rsidRPr="000F7860">
        <w:rPr>
          <w:rFonts w:cstheme="minorHAnsi"/>
          <w:sz w:val="24"/>
          <w:szCs w:val="24"/>
          <w:vertAlign w:val="superscript"/>
        </w:rPr>
        <w:t>§</w:t>
      </w:r>
      <w:bookmarkEnd w:id="0"/>
      <w:r w:rsidRPr="000F7860">
        <w:rPr>
          <w:rFonts w:cstheme="minorHAnsi"/>
          <w:i/>
          <w:sz w:val="24"/>
          <w:szCs w:val="24"/>
        </w:rPr>
        <w:t>n</w:t>
      </w:r>
      <w:r w:rsidRPr="000F7860">
        <w:rPr>
          <w:rFonts w:cstheme="minorHAnsi"/>
          <w:sz w:val="24"/>
          <w:szCs w:val="24"/>
        </w:rPr>
        <w:t xml:space="preserve"> = 282. </w:t>
      </w:r>
      <w:r w:rsidRPr="000F7860">
        <w:rPr>
          <w:rFonts w:cstheme="minorHAnsi"/>
          <w:sz w:val="24"/>
          <w:szCs w:val="24"/>
          <w:vertAlign w:val="superscript"/>
        </w:rPr>
        <w:t>‖</w:t>
      </w:r>
      <w:r w:rsidRPr="000F7860">
        <w:rPr>
          <w:rFonts w:cstheme="minorHAnsi"/>
          <w:i/>
          <w:sz w:val="24"/>
          <w:szCs w:val="24"/>
        </w:rPr>
        <w:t>n</w:t>
      </w:r>
      <w:r w:rsidRPr="000F7860">
        <w:rPr>
          <w:rFonts w:cstheme="minorHAnsi"/>
          <w:sz w:val="24"/>
          <w:szCs w:val="24"/>
        </w:rPr>
        <w:t xml:space="preserve"> = 32. </w:t>
      </w:r>
      <w:r w:rsidRPr="000F7860">
        <w:rPr>
          <w:rFonts w:cstheme="minorHAnsi"/>
          <w:sz w:val="24"/>
          <w:szCs w:val="24"/>
          <w:vertAlign w:val="superscript"/>
        </w:rPr>
        <w:t>**</w:t>
      </w:r>
      <w:r w:rsidRPr="000F7860">
        <w:rPr>
          <w:rFonts w:cstheme="minorHAnsi"/>
          <w:i/>
          <w:sz w:val="24"/>
          <w:szCs w:val="24"/>
        </w:rPr>
        <w:t>n</w:t>
      </w:r>
      <w:r w:rsidRPr="000F7860">
        <w:rPr>
          <w:rFonts w:cstheme="minorHAnsi"/>
          <w:sz w:val="24"/>
          <w:szCs w:val="24"/>
        </w:rPr>
        <w:t xml:space="preserve"> = 127. </w:t>
      </w:r>
      <w:r w:rsidRPr="000F7860">
        <w:rPr>
          <w:rFonts w:cstheme="minorHAnsi"/>
          <w:sz w:val="24"/>
          <w:szCs w:val="24"/>
          <w:vertAlign w:val="superscript"/>
        </w:rPr>
        <w:t>††</w:t>
      </w:r>
      <w:r w:rsidRPr="000F7860">
        <w:rPr>
          <w:rFonts w:cstheme="minorHAnsi"/>
          <w:i/>
          <w:sz w:val="24"/>
          <w:szCs w:val="24"/>
        </w:rPr>
        <w:t>n</w:t>
      </w:r>
      <w:r w:rsidRPr="000F7860">
        <w:rPr>
          <w:rFonts w:cstheme="minorHAnsi"/>
          <w:sz w:val="24"/>
          <w:szCs w:val="24"/>
        </w:rPr>
        <w:t xml:space="preserve"> = 170. 6MWD, 6-min walk distance; BMI, body mass index; DLco, carbon monoxide diffusing capacity; FEV</w:t>
      </w:r>
      <w:r w:rsidRPr="000F7860">
        <w:rPr>
          <w:rFonts w:cstheme="minorHAnsi"/>
          <w:sz w:val="24"/>
          <w:szCs w:val="24"/>
          <w:vertAlign w:val="subscript"/>
        </w:rPr>
        <w:t>1</w:t>
      </w:r>
      <w:r w:rsidRPr="000F7860">
        <w:rPr>
          <w:rFonts w:cstheme="minorHAnsi"/>
          <w:sz w:val="24"/>
          <w:szCs w:val="24"/>
        </w:rPr>
        <w:t xml:space="preserve">, forced expiratory volume in 1 second; FVC, forced vital capacity; HRCT, high-resolution computed tomography; IPF, idiopathic </w:t>
      </w:r>
      <w:r w:rsidRPr="000F7860">
        <w:rPr>
          <w:rFonts w:cstheme="minorHAnsi"/>
          <w:sz w:val="24"/>
          <w:szCs w:val="24"/>
        </w:rPr>
        <w:lastRenderedPageBreak/>
        <w:t>pulmonary fibrosis; SD, standard deviation; SGRQ, St. George’s Respiratory Questionnaire; UIP, usual interstitial pneumonia.</w:t>
      </w:r>
    </w:p>
    <w:p w14:paraId="471E79C2" w14:textId="77777777" w:rsidR="0084028F" w:rsidRPr="000F7860" w:rsidRDefault="0084028F" w:rsidP="0084028F">
      <w:pPr>
        <w:rPr>
          <w:rFonts w:cstheme="minorHAnsi"/>
          <w:sz w:val="24"/>
          <w:szCs w:val="24"/>
        </w:rPr>
        <w:sectPr w:rsidR="0084028F" w:rsidRPr="000F7860" w:rsidSect="00367539">
          <w:type w:val="continuous"/>
          <w:pgSz w:w="11906" w:h="16838"/>
          <w:pgMar w:top="1701" w:right="1440" w:bottom="992" w:left="1440" w:header="709" w:footer="709" w:gutter="0"/>
          <w:cols w:space="708"/>
          <w:docGrid w:linePitch="360"/>
        </w:sectPr>
      </w:pPr>
    </w:p>
    <w:p w14:paraId="7731DB5B" w14:textId="77777777" w:rsidR="0084028F" w:rsidRPr="000F7860" w:rsidRDefault="0084028F" w:rsidP="0084028F">
      <w:pPr>
        <w:spacing w:after="240"/>
        <w:rPr>
          <w:rFonts w:cstheme="minorHAnsi"/>
          <w:b/>
          <w:i/>
          <w:sz w:val="24"/>
          <w:szCs w:val="24"/>
        </w:rPr>
      </w:pPr>
      <w:r w:rsidRPr="000F7860">
        <w:rPr>
          <w:rFonts w:cstheme="minorHAnsi"/>
          <w:b/>
          <w:sz w:val="24"/>
          <w:szCs w:val="24"/>
        </w:rPr>
        <w:lastRenderedPageBreak/>
        <w:t xml:space="preserve">Table E2. </w:t>
      </w:r>
      <w:r w:rsidRPr="000F7860">
        <w:rPr>
          <w:rFonts w:cstheme="minorHAnsi"/>
          <w:sz w:val="24"/>
          <w:szCs w:val="24"/>
        </w:rPr>
        <w:t>Sensitivity analysis of clinical outcomes at 1 year stratified by annualized percent change in body weight, excluding 19 patients with no post-baseline body-weight measurement after Day 90,</w:t>
      </w:r>
      <w:r w:rsidRPr="000F7860">
        <w:rPr>
          <w:sz w:val="24"/>
          <w:szCs w:val="24"/>
        </w:rPr>
        <w:t xml:space="preserve"> in patients from the placebo arms of ASCEND and CAPACITY, and all patients from INSPIRE and RIFF (Cohort A)</w:t>
      </w:r>
    </w:p>
    <w:tbl>
      <w:tblPr>
        <w:tblStyle w:val="TableGrid"/>
        <w:tblW w:w="5000" w:type="pct"/>
        <w:tblLook w:val="04A0" w:firstRow="1" w:lastRow="0" w:firstColumn="1" w:lastColumn="0" w:noHBand="0" w:noVBand="1"/>
      </w:tblPr>
      <w:tblGrid>
        <w:gridCol w:w="3553"/>
        <w:gridCol w:w="3276"/>
        <w:gridCol w:w="3901"/>
        <w:gridCol w:w="3415"/>
      </w:tblGrid>
      <w:tr w:rsidR="0084028F" w:rsidRPr="000F7860" w14:paraId="269ACD1E" w14:textId="77777777" w:rsidTr="004E35CE">
        <w:trPr>
          <w:trHeight w:val="402"/>
        </w:trPr>
        <w:tc>
          <w:tcPr>
            <w:tcW w:w="1256" w:type="pct"/>
            <w:tcBorders>
              <w:left w:val="nil"/>
              <w:bottom w:val="nil"/>
            </w:tcBorders>
          </w:tcPr>
          <w:p w14:paraId="4EB92C57" w14:textId="77777777" w:rsidR="0084028F" w:rsidRPr="000F7860" w:rsidRDefault="0084028F" w:rsidP="004E35CE">
            <w:pPr>
              <w:pStyle w:val="normal0"/>
              <w:spacing w:before="0" w:after="0" w:line="480" w:lineRule="auto"/>
              <w:rPr>
                <w:rFonts w:asciiTheme="minorHAnsi" w:hAnsiTheme="minorHAnsi" w:cstheme="minorHAnsi"/>
                <w:b/>
                <w:sz w:val="24"/>
                <w:szCs w:val="24"/>
              </w:rPr>
            </w:pPr>
          </w:p>
        </w:tc>
        <w:tc>
          <w:tcPr>
            <w:tcW w:w="3744" w:type="pct"/>
            <w:gridSpan w:val="3"/>
            <w:tcBorders>
              <w:bottom w:val="single" w:sz="4" w:space="0" w:color="auto"/>
              <w:right w:val="nil"/>
            </w:tcBorders>
          </w:tcPr>
          <w:p w14:paraId="30E6F03B"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sz w:val="24"/>
                <w:szCs w:val="24"/>
              </w:rPr>
              <w:t>Annualized percent change in body weight</w:t>
            </w:r>
          </w:p>
        </w:tc>
      </w:tr>
      <w:tr w:rsidR="0084028F" w:rsidRPr="000F7860" w14:paraId="153E09D6" w14:textId="77777777" w:rsidTr="004E35CE">
        <w:trPr>
          <w:trHeight w:val="809"/>
        </w:trPr>
        <w:tc>
          <w:tcPr>
            <w:tcW w:w="1256" w:type="pct"/>
            <w:tcBorders>
              <w:top w:val="nil"/>
              <w:left w:val="nil"/>
              <w:bottom w:val="single" w:sz="4" w:space="0" w:color="auto"/>
              <w:right w:val="single" w:sz="4" w:space="0" w:color="auto"/>
            </w:tcBorders>
          </w:tcPr>
          <w:p w14:paraId="1BBBCEE5" w14:textId="77777777" w:rsidR="0084028F" w:rsidRPr="000F7860" w:rsidRDefault="0084028F" w:rsidP="004E35CE">
            <w:pPr>
              <w:pStyle w:val="normal0"/>
              <w:spacing w:before="0" w:after="0" w:line="480" w:lineRule="auto"/>
              <w:rPr>
                <w:rFonts w:asciiTheme="minorHAnsi" w:hAnsiTheme="minorHAnsi" w:cstheme="minorHAnsi"/>
                <w:b/>
                <w:sz w:val="24"/>
                <w:szCs w:val="24"/>
              </w:rPr>
            </w:pPr>
            <w:r w:rsidRPr="000F7860">
              <w:rPr>
                <w:rFonts w:asciiTheme="minorHAnsi" w:hAnsiTheme="minorHAnsi" w:cstheme="minorHAnsi"/>
                <w:b/>
                <w:sz w:val="24"/>
                <w:szCs w:val="24"/>
              </w:rPr>
              <w:t>Outcome</w:t>
            </w:r>
          </w:p>
        </w:tc>
        <w:tc>
          <w:tcPr>
            <w:tcW w:w="1158" w:type="pct"/>
            <w:tcBorders>
              <w:top w:val="single" w:sz="4" w:space="0" w:color="auto"/>
              <w:left w:val="single" w:sz="4" w:space="0" w:color="auto"/>
              <w:bottom w:val="single" w:sz="4" w:space="0" w:color="auto"/>
              <w:right w:val="nil"/>
            </w:tcBorders>
          </w:tcPr>
          <w:p w14:paraId="0EFCD640"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sz w:val="24"/>
                <w:szCs w:val="24"/>
              </w:rPr>
              <w:t>No loss</w:t>
            </w:r>
          </w:p>
          <w:p w14:paraId="14B40B6D"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i/>
                <w:sz w:val="24"/>
                <w:szCs w:val="24"/>
              </w:rPr>
              <w:t>n</w:t>
            </w:r>
            <w:r w:rsidRPr="000F7860">
              <w:rPr>
                <w:rFonts w:asciiTheme="minorHAnsi" w:hAnsiTheme="minorHAnsi" w:cstheme="minorHAnsi"/>
                <w:b/>
                <w:sz w:val="24"/>
                <w:szCs w:val="24"/>
              </w:rPr>
              <w:t xml:space="preserve"> = 841</w:t>
            </w:r>
          </w:p>
        </w:tc>
        <w:tc>
          <w:tcPr>
            <w:tcW w:w="1379" w:type="pct"/>
            <w:tcBorders>
              <w:top w:val="single" w:sz="4" w:space="0" w:color="auto"/>
              <w:left w:val="nil"/>
              <w:bottom w:val="single" w:sz="4" w:space="0" w:color="auto"/>
              <w:right w:val="nil"/>
            </w:tcBorders>
          </w:tcPr>
          <w:p w14:paraId="5A271496"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sz w:val="24"/>
                <w:szCs w:val="24"/>
              </w:rPr>
              <w:t>&gt;0–&lt;5% loss</w:t>
            </w:r>
          </w:p>
          <w:p w14:paraId="284D9CFB"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i/>
                <w:sz w:val="24"/>
                <w:szCs w:val="24"/>
              </w:rPr>
              <w:t>n</w:t>
            </w:r>
            <w:r w:rsidRPr="000F7860">
              <w:rPr>
                <w:rFonts w:asciiTheme="minorHAnsi" w:hAnsiTheme="minorHAnsi" w:cstheme="minorHAnsi"/>
                <w:b/>
                <w:sz w:val="24"/>
                <w:szCs w:val="24"/>
              </w:rPr>
              <w:t xml:space="preserve"> = 599</w:t>
            </w:r>
          </w:p>
        </w:tc>
        <w:tc>
          <w:tcPr>
            <w:tcW w:w="1207" w:type="pct"/>
            <w:tcBorders>
              <w:top w:val="single" w:sz="4" w:space="0" w:color="auto"/>
              <w:left w:val="nil"/>
              <w:bottom w:val="single" w:sz="4" w:space="0" w:color="auto"/>
              <w:right w:val="nil"/>
            </w:tcBorders>
          </w:tcPr>
          <w:p w14:paraId="448BFE88"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sz w:val="24"/>
                <w:szCs w:val="24"/>
              </w:rPr>
              <w:t>≥5% loss</w:t>
            </w:r>
          </w:p>
          <w:p w14:paraId="49B08DD5"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i/>
                <w:sz w:val="24"/>
                <w:szCs w:val="24"/>
              </w:rPr>
              <w:t>n</w:t>
            </w:r>
            <w:r w:rsidRPr="000F7860">
              <w:rPr>
                <w:rFonts w:asciiTheme="minorHAnsi" w:hAnsiTheme="minorHAnsi" w:cstheme="minorHAnsi"/>
                <w:b/>
                <w:sz w:val="24"/>
                <w:szCs w:val="24"/>
              </w:rPr>
              <w:t xml:space="preserve"> = 99</w:t>
            </w:r>
          </w:p>
        </w:tc>
      </w:tr>
      <w:tr w:rsidR="0084028F" w:rsidRPr="000F7860" w14:paraId="509A9BE5" w14:textId="77777777" w:rsidTr="004E35CE">
        <w:trPr>
          <w:trHeight w:val="421"/>
        </w:trPr>
        <w:tc>
          <w:tcPr>
            <w:tcW w:w="5000" w:type="pct"/>
            <w:gridSpan w:val="4"/>
            <w:tcBorders>
              <w:top w:val="single" w:sz="4" w:space="0" w:color="auto"/>
              <w:left w:val="nil"/>
              <w:bottom w:val="single" w:sz="4" w:space="0" w:color="auto"/>
              <w:right w:val="nil"/>
            </w:tcBorders>
          </w:tcPr>
          <w:p w14:paraId="080C07F9"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Annualized change from baseline in percent predicted FVC, %</w:t>
            </w:r>
            <w:r w:rsidRPr="00340B79">
              <w:rPr>
                <w:rFonts w:asciiTheme="minorHAnsi" w:hAnsiTheme="minorHAnsi" w:cstheme="minorHAnsi"/>
                <w:b/>
                <w:sz w:val="24"/>
                <w:szCs w:val="24"/>
                <w:vertAlign w:val="superscript"/>
              </w:rPr>
              <w:t>*</w:t>
            </w:r>
          </w:p>
        </w:tc>
      </w:tr>
      <w:tr w:rsidR="0084028F" w:rsidRPr="000F7860" w14:paraId="2E46A911" w14:textId="77777777" w:rsidTr="004E35CE">
        <w:trPr>
          <w:trHeight w:val="779"/>
        </w:trPr>
        <w:tc>
          <w:tcPr>
            <w:tcW w:w="1256" w:type="pct"/>
            <w:tcBorders>
              <w:top w:val="single" w:sz="4" w:space="0" w:color="auto"/>
              <w:left w:val="nil"/>
              <w:bottom w:val="single" w:sz="4" w:space="0" w:color="auto"/>
              <w:right w:val="single" w:sz="4" w:space="0" w:color="auto"/>
            </w:tcBorders>
          </w:tcPr>
          <w:p w14:paraId="565B821F"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0F9BC89D"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666BF158"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158" w:type="pct"/>
            <w:tcBorders>
              <w:top w:val="single" w:sz="4" w:space="0" w:color="auto"/>
              <w:left w:val="single" w:sz="4" w:space="0" w:color="auto"/>
              <w:bottom w:val="single" w:sz="4" w:space="0" w:color="auto"/>
              <w:right w:val="nil"/>
            </w:tcBorders>
          </w:tcPr>
          <w:p w14:paraId="5616B3A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838</w:t>
            </w:r>
          </w:p>
          <w:p w14:paraId="3FF70315" w14:textId="77777777" w:rsidR="0084028F" w:rsidRPr="000F7860" w:rsidRDefault="0084028F" w:rsidP="004E35CE">
            <w:pPr>
              <w:pStyle w:val="normal0"/>
              <w:spacing w:before="0" w:after="0" w:line="480" w:lineRule="auto"/>
              <w:jc w:val="center"/>
              <w:rPr>
                <w:rFonts w:asciiTheme="minorHAnsi" w:hAnsiTheme="minorHAnsi" w:cstheme="minorHAnsi"/>
                <w:sz w:val="24"/>
                <w:szCs w:val="24"/>
                <w:vertAlign w:val="superscript"/>
              </w:rPr>
            </w:pPr>
            <w:r w:rsidRPr="000F7860">
              <w:rPr>
                <w:rFonts w:asciiTheme="minorHAnsi" w:hAnsiTheme="minorHAnsi" w:cstheme="minorHAnsi"/>
                <w:sz w:val="24"/>
                <w:szCs w:val="24"/>
              </w:rPr>
              <w:t>-4.2 (-4.6, -3.8)</w:t>
            </w:r>
          </w:p>
          <w:p w14:paraId="023E085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p>
        </w:tc>
        <w:tc>
          <w:tcPr>
            <w:tcW w:w="1379" w:type="pct"/>
            <w:tcBorders>
              <w:top w:val="single" w:sz="4" w:space="0" w:color="auto"/>
              <w:left w:val="nil"/>
              <w:bottom w:val="single" w:sz="4" w:space="0" w:color="auto"/>
              <w:right w:val="nil"/>
            </w:tcBorders>
          </w:tcPr>
          <w:p w14:paraId="20D183B6"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589</w:t>
            </w:r>
          </w:p>
          <w:p w14:paraId="20B69BC3"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-5.5 (-6.0, -5.0)</w:t>
            </w:r>
          </w:p>
          <w:p w14:paraId="18824CA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-1.3 (-1.9, -0.6)</w:t>
            </w:r>
          </w:p>
        </w:tc>
        <w:tc>
          <w:tcPr>
            <w:tcW w:w="1207" w:type="pct"/>
            <w:tcBorders>
              <w:top w:val="single" w:sz="4" w:space="0" w:color="auto"/>
              <w:left w:val="nil"/>
              <w:bottom w:val="single" w:sz="4" w:space="0" w:color="auto"/>
              <w:right w:val="nil"/>
            </w:tcBorders>
          </w:tcPr>
          <w:p w14:paraId="59C26639"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99</w:t>
            </w:r>
          </w:p>
          <w:p w14:paraId="11D87938"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-9.5 (-10.7, -8.2)</w:t>
            </w:r>
          </w:p>
          <w:p w14:paraId="38AF0B06"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-5.2 (-6.6, -3.9)</w:t>
            </w:r>
          </w:p>
        </w:tc>
      </w:tr>
      <w:tr w:rsidR="0084028F" w:rsidRPr="000F7860" w14:paraId="4D8B06D6" w14:textId="77777777" w:rsidTr="004E35CE">
        <w:trPr>
          <w:trHeight w:val="338"/>
        </w:trPr>
        <w:tc>
          <w:tcPr>
            <w:tcW w:w="5000" w:type="pct"/>
            <w:gridSpan w:val="4"/>
            <w:tcBorders>
              <w:top w:val="single" w:sz="4" w:space="0" w:color="auto"/>
              <w:left w:val="nil"/>
              <w:bottom w:val="single" w:sz="4" w:space="0" w:color="auto"/>
              <w:right w:val="nil"/>
            </w:tcBorders>
          </w:tcPr>
          <w:p w14:paraId="67D0BA61"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Annualized change from baseline in percent predicted DLco, %</w:t>
            </w:r>
            <w:r w:rsidRPr="00340B79">
              <w:rPr>
                <w:rFonts w:asciiTheme="minorHAnsi" w:hAnsiTheme="minorHAnsi" w:cstheme="minorHAnsi"/>
                <w:b/>
                <w:sz w:val="24"/>
                <w:szCs w:val="24"/>
                <w:vertAlign w:val="superscript"/>
              </w:rPr>
              <w:t>*</w:t>
            </w:r>
            <w:r w:rsidRPr="000F7860">
              <w:rPr>
                <w:rFonts w:asciiTheme="minorHAnsi" w:hAnsiTheme="minorHAnsi" w:cstheme="minorHAnsi"/>
                <w:b/>
                <w:sz w:val="24"/>
                <w:szCs w:val="24"/>
                <w:vertAlign w:val="superscript"/>
              </w:rPr>
              <w:t>,</w:t>
            </w:r>
            <w:r w:rsidRPr="000F7860">
              <w:rPr>
                <w:rFonts w:asciiTheme="minorHAnsi" w:hAnsiTheme="minorHAnsi" w:cstheme="minorHAnsi"/>
                <w:b/>
                <w:bCs/>
                <w:sz w:val="24"/>
                <w:szCs w:val="24"/>
                <w:vertAlign w:val="superscript"/>
              </w:rPr>
              <w:t>‡</w:t>
            </w:r>
          </w:p>
        </w:tc>
      </w:tr>
      <w:tr w:rsidR="0084028F" w:rsidRPr="000F7860" w14:paraId="26CB963D" w14:textId="77777777" w:rsidTr="004E35CE">
        <w:trPr>
          <w:trHeight w:val="779"/>
        </w:trPr>
        <w:tc>
          <w:tcPr>
            <w:tcW w:w="1256" w:type="pct"/>
            <w:tcBorders>
              <w:top w:val="single" w:sz="4" w:space="0" w:color="auto"/>
              <w:left w:val="nil"/>
              <w:bottom w:val="single" w:sz="4" w:space="0" w:color="auto"/>
              <w:right w:val="single" w:sz="4" w:space="0" w:color="auto"/>
            </w:tcBorders>
          </w:tcPr>
          <w:p w14:paraId="69921349"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23FAC5AB"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667DE50B"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158" w:type="pct"/>
            <w:tcBorders>
              <w:top w:val="single" w:sz="4" w:space="0" w:color="auto"/>
              <w:left w:val="single" w:sz="4" w:space="0" w:color="auto"/>
              <w:bottom w:val="single" w:sz="4" w:space="0" w:color="auto"/>
              <w:right w:val="nil"/>
            </w:tcBorders>
          </w:tcPr>
          <w:p w14:paraId="06C8D27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699</w:t>
            </w:r>
          </w:p>
          <w:p w14:paraId="613F7958"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-4.1 (-4.6, -3.7)</w:t>
            </w:r>
          </w:p>
        </w:tc>
        <w:tc>
          <w:tcPr>
            <w:tcW w:w="1379" w:type="pct"/>
            <w:tcBorders>
              <w:top w:val="single" w:sz="4" w:space="0" w:color="auto"/>
              <w:left w:val="nil"/>
              <w:bottom w:val="single" w:sz="4" w:space="0" w:color="auto"/>
              <w:right w:val="nil"/>
            </w:tcBorders>
          </w:tcPr>
          <w:p w14:paraId="5B1F1BCE"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489</w:t>
            </w:r>
          </w:p>
          <w:p w14:paraId="537A8AD2" w14:textId="77777777" w:rsidR="0084028F" w:rsidRPr="000F7860" w:rsidRDefault="0084028F" w:rsidP="004E35CE">
            <w:pPr>
              <w:pStyle w:val="normal0"/>
              <w:spacing w:before="0" w:after="0" w:line="480" w:lineRule="auto"/>
              <w:jc w:val="center"/>
              <w:rPr>
                <w:rFonts w:asciiTheme="minorHAnsi" w:hAnsiTheme="minorHAnsi" w:cstheme="minorHAnsi"/>
                <w:sz w:val="24"/>
                <w:szCs w:val="24"/>
                <w:vertAlign w:val="superscript"/>
              </w:rPr>
            </w:pPr>
            <w:r w:rsidRPr="000F7860">
              <w:rPr>
                <w:rFonts w:asciiTheme="minorHAnsi" w:hAnsiTheme="minorHAnsi" w:cstheme="minorHAnsi"/>
                <w:sz w:val="24"/>
                <w:szCs w:val="24"/>
              </w:rPr>
              <w:t>-5.2 (-5.7, -4.6)</w:t>
            </w:r>
          </w:p>
          <w:p w14:paraId="1F2C841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-1.0 (-1.7, -0.3)</w:t>
            </w:r>
          </w:p>
        </w:tc>
        <w:tc>
          <w:tcPr>
            <w:tcW w:w="1207" w:type="pct"/>
            <w:tcBorders>
              <w:top w:val="single" w:sz="4" w:space="0" w:color="auto"/>
              <w:left w:val="nil"/>
              <w:bottom w:val="single" w:sz="4" w:space="0" w:color="auto"/>
              <w:right w:val="nil"/>
            </w:tcBorders>
          </w:tcPr>
          <w:p w14:paraId="09D42C1E"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67</w:t>
            </w:r>
          </w:p>
          <w:p w14:paraId="2BAD327F"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-6.9 (-8.5, -5.3)</w:t>
            </w:r>
          </w:p>
          <w:p w14:paraId="2E77036F"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-2.8 (-4.4, -1.1)</w:t>
            </w:r>
          </w:p>
        </w:tc>
      </w:tr>
      <w:tr w:rsidR="0084028F" w:rsidRPr="000F7860" w14:paraId="5EEE105E" w14:textId="77777777" w:rsidTr="004E35CE">
        <w:trPr>
          <w:trHeight w:val="171"/>
        </w:trPr>
        <w:tc>
          <w:tcPr>
            <w:tcW w:w="5000" w:type="pct"/>
            <w:gridSpan w:val="4"/>
            <w:tcBorders>
              <w:top w:val="single" w:sz="4" w:space="0" w:color="auto"/>
              <w:left w:val="nil"/>
              <w:bottom w:val="single" w:sz="4" w:space="0" w:color="auto"/>
              <w:right w:val="nil"/>
            </w:tcBorders>
          </w:tcPr>
          <w:p w14:paraId="6B4F5EA0"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lastRenderedPageBreak/>
              <w:t>Annualized change from baseline in 6MWD, m</w:t>
            </w:r>
            <w:r w:rsidRPr="00340B79">
              <w:rPr>
                <w:rFonts w:asciiTheme="minorHAnsi" w:hAnsiTheme="minorHAnsi" w:cstheme="minorHAnsi"/>
                <w:b/>
                <w:sz w:val="24"/>
                <w:szCs w:val="24"/>
                <w:vertAlign w:val="superscript"/>
              </w:rPr>
              <w:t>*</w:t>
            </w:r>
          </w:p>
        </w:tc>
      </w:tr>
      <w:tr w:rsidR="0084028F" w:rsidRPr="000F7860" w14:paraId="4F270136" w14:textId="77777777" w:rsidTr="004E35CE">
        <w:trPr>
          <w:trHeight w:val="779"/>
        </w:trPr>
        <w:tc>
          <w:tcPr>
            <w:tcW w:w="1256" w:type="pct"/>
            <w:tcBorders>
              <w:top w:val="single" w:sz="4" w:space="0" w:color="auto"/>
              <w:left w:val="nil"/>
              <w:bottom w:val="single" w:sz="4" w:space="0" w:color="auto"/>
              <w:right w:val="single" w:sz="4" w:space="0" w:color="auto"/>
            </w:tcBorders>
          </w:tcPr>
          <w:p w14:paraId="6DF6C3E2"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2EC597DC"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6D5F95FB"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158" w:type="pct"/>
            <w:tcBorders>
              <w:top w:val="single" w:sz="4" w:space="0" w:color="auto"/>
              <w:left w:val="single" w:sz="4" w:space="0" w:color="auto"/>
              <w:bottom w:val="single" w:sz="4" w:space="0" w:color="auto"/>
              <w:right w:val="nil"/>
            </w:tcBorders>
          </w:tcPr>
          <w:p w14:paraId="0709ADD5"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839</w:t>
            </w:r>
          </w:p>
          <w:p w14:paraId="195E6A5F" w14:textId="77777777" w:rsidR="0084028F" w:rsidRPr="000F7860" w:rsidRDefault="0084028F" w:rsidP="004E35CE">
            <w:pPr>
              <w:pStyle w:val="normal0"/>
              <w:spacing w:before="0" w:after="0" w:line="480" w:lineRule="auto"/>
              <w:jc w:val="center"/>
              <w:rPr>
                <w:rFonts w:asciiTheme="minorHAnsi" w:hAnsiTheme="minorHAnsi" w:cstheme="minorHAnsi"/>
                <w:sz w:val="24"/>
                <w:szCs w:val="24"/>
                <w:vertAlign w:val="superscript"/>
              </w:rPr>
            </w:pPr>
            <w:r w:rsidRPr="000F7860">
              <w:rPr>
                <w:rFonts w:asciiTheme="minorHAnsi" w:hAnsiTheme="minorHAnsi" w:cstheme="minorHAnsi"/>
                <w:sz w:val="24"/>
                <w:szCs w:val="24"/>
              </w:rPr>
              <w:t>-25.7 (-31.0, -20.4)</w:t>
            </w:r>
          </w:p>
        </w:tc>
        <w:tc>
          <w:tcPr>
            <w:tcW w:w="1379" w:type="pct"/>
            <w:tcBorders>
              <w:top w:val="single" w:sz="4" w:space="0" w:color="auto"/>
              <w:left w:val="nil"/>
              <w:bottom w:val="single" w:sz="4" w:space="0" w:color="auto"/>
              <w:right w:val="nil"/>
            </w:tcBorders>
          </w:tcPr>
          <w:p w14:paraId="56237582"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589</w:t>
            </w:r>
          </w:p>
          <w:p w14:paraId="295FE281"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-37.3 (-43.8, -30.8)</w:t>
            </w:r>
          </w:p>
          <w:p w14:paraId="5E814661"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-11.6 (-20.0, -3.2)</w:t>
            </w:r>
          </w:p>
        </w:tc>
        <w:tc>
          <w:tcPr>
            <w:tcW w:w="1207" w:type="pct"/>
            <w:tcBorders>
              <w:top w:val="single" w:sz="4" w:space="0" w:color="auto"/>
              <w:left w:val="nil"/>
              <w:bottom w:val="single" w:sz="4" w:space="0" w:color="auto"/>
              <w:right w:val="nil"/>
            </w:tcBorders>
          </w:tcPr>
          <w:p w14:paraId="2075D713"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99</w:t>
            </w:r>
          </w:p>
          <w:p w14:paraId="63C8B39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-81.1 (-98.7, -63.6)</w:t>
            </w:r>
          </w:p>
          <w:p w14:paraId="259E90D5"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-55.5 (-73.8, -37.1)</w:t>
            </w:r>
          </w:p>
        </w:tc>
      </w:tr>
      <w:tr w:rsidR="0084028F" w:rsidRPr="000F7860" w14:paraId="3F861D09" w14:textId="77777777" w:rsidTr="004E35CE">
        <w:trPr>
          <w:trHeight w:val="428"/>
        </w:trPr>
        <w:tc>
          <w:tcPr>
            <w:tcW w:w="5000" w:type="pct"/>
            <w:gridSpan w:val="4"/>
            <w:tcBorders>
              <w:left w:val="nil"/>
              <w:bottom w:val="single" w:sz="4" w:space="0" w:color="auto"/>
              <w:right w:val="nil"/>
            </w:tcBorders>
          </w:tcPr>
          <w:p w14:paraId="2666598C" w14:textId="4DC87CDE"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Annualized change from baseline in SGRQ total score</w:t>
            </w:r>
            <w:r w:rsidR="00340B79" w:rsidRPr="00340B79">
              <w:rPr>
                <w:rFonts w:asciiTheme="minorHAnsi" w:hAnsiTheme="minorHAnsi" w:cstheme="minorHAnsi"/>
                <w:b/>
                <w:sz w:val="24"/>
                <w:szCs w:val="24"/>
                <w:vertAlign w:val="superscript"/>
              </w:rPr>
              <w:t>*</w:t>
            </w:r>
            <w:r w:rsidRPr="000F7860">
              <w:rPr>
                <w:rFonts w:asciiTheme="minorHAnsi" w:hAnsiTheme="minorHAnsi" w:cstheme="minorHAnsi"/>
                <w:b/>
                <w:sz w:val="24"/>
                <w:szCs w:val="24"/>
                <w:vertAlign w:val="superscript"/>
              </w:rPr>
              <w:t>,</w:t>
            </w:r>
            <w:r w:rsidRPr="000F7860">
              <w:rPr>
                <w:rFonts w:asciiTheme="minorHAnsi" w:hAnsiTheme="minorHAnsi" w:cstheme="minorHAnsi"/>
                <w:b/>
                <w:bCs/>
                <w:sz w:val="24"/>
                <w:szCs w:val="24"/>
                <w:vertAlign w:val="superscript"/>
              </w:rPr>
              <w:t>‡</w:t>
            </w:r>
          </w:p>
        </w:tc>
      </w:tr>
      <w:tr w:rsidR="0084028F" w:rsidRPr="000F7860" w14:paraId="556C3CBB" w14:textId="77777777" w:rsidTr="004E35CE">
        <w:trPr>
          <w:trHeight w:val="779"/>
        </w:trPr>
        <w:tc>
          <w:tcPr>
            <w:tcW w:w="1256" w:type="pct"/>
            <w:tcBorders>
              <w:left w:val="nil"/>
              <w:bottom w:val="single" w:sz="4" w:space="0" w:color="auto"/>
              <w:right w:val="single" w:sz="4" w:space="0" w:color="auto"/>
            </w:tcBorders>
          </w:tcPr>
          <w:p w14:paraId="1714BF8F"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120589E6"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7987F1D3"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158" w:type="pct"/>
            <w:tcBorders>
              <w:top w:val="single" w:sz="4" w:space="0" w:color="auto"/>
              <w:left w:val="single" w:sz="4" w:space="0" w:color="auto"/>
              <w:bottom w:val="single" w:sz="4" w:space="0" w:color="auto"/>
              <w:right w:val="nil"/>
            </w:tcBorders>
          </w:tcPr>
          <w:p w14:paraId="6F553179"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699</w:t>
            </w:r>
          </w:p>
          <w:p w14:paraId="3257D8AF"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3.5 (2.8, 4.2)</w:t>
            </w:r>
          </w:p>
        </w:tc>
        <w:tc>
          <w:tcPr>
            <w:tcW w:w="1379" w:type="pct"/>
            <w:tcBorders>
              <w:top w:val="single" w:sz="4" w:space="0" w:color="auto"/>
              <w:left w:val="nil"/>
              <w:bottom w:val="single" w:sz="4" w:space="0" w:color="auto"/>
              <w:right w:val="nil"/>
            </w:tcBorders>
          </w:tcPr>
          <w:p w14:paraId="6F20707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487</w:t>
            </w:r>
          </w:p>
          <w:p w14:paraId="4A8661BD" w14:textId="77777777" w:rsidR="0084028F" w:rsidRPr="000F7860" w:rsidRDefault="0084028F" w:rsidP="004E35CE">
            <w:pPr>
              <w:pStyle w:val="normal0"/>
              <w:spacing w:before="0" w:after="0" w:line="480" w:lineRule="auto"/>
              <w:jc w:val="center"/>
              <w:rPr>
                <w:rFonts w:asciiTheme="minorHAnsi" w:hAnsiTheme="minorHAnsi" w:cstheme="minorHAnsi"/>
                <w:sz w:val="24"/>
                <w:szCs w:val="24"/>
                <w:vertAlign w:val="superscript"/>
              </w:rPr>
            </w:pPr>
            <w:r w:rsidRPr="000F7860">
              <w:rPr>
                <w:rFonts w:asciiTheme="minorHAnsi" w:hAnsiTheme="minorHAnsi" w:cstheme="minorHAnsi"/>
                <w:sz w:val="24"/>
                <w:szCs w:val="24"/>
              </w:rPr>
              <w:t>5.0 (4.2, 5.9)</w:t>
            </w:r>
          </w:p>
          <w:p w14:paraId="20605C9D"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1.5 (0.4, 2.6)</w:t>
            </w:r>
          </w:p>
        </w:tc>
        <w:tc>
          <w:tcPr>
            <w:tcW w:w="1207" w:type="pct"/>
            <w:tcBorders>
              <w:top w:val="single" w:sz="4" w:space="0" w:color="auto"/>
              <w:left w:val="nil"/>
              <w:bottom w:val="single" w:sz="4" w:space="0" w:color="auto"/>
              <w:right w:val="nil"/>
            </w:tcBorders>
          </w:tcPr>
          <w:p w14:paraId="2BCDBB6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67</w:t>
            </w:r>
          </w:p>
          <w:p w14:paraId="0E9BBD2F"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9.6 (7.2, 12.0)</w:t>
            </w:r>
          </w:p>
          <w:p w14:paraId="07B5683A"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6.1 (3.5, 8.6)</w:t>
            </w:r>
          </w:p>
        </w:tc>
      </w:tr>
      <w:tr w:rsidR="0084028F" w:rsidRPr="000F7860" w14:paraId="48843B2E" w14:textId="77777777" w:rsidTr="004E35CE">
        <w:trPr>
          <w:trHeight w:val="272"/>
        </w:trPr>
        <w:tc>
          <w:tcPr>
            <w:tcW w:w="5000" w:type="pct"/>
            <w:gridSpan w:val="4"/>
            <w:tcBorders>
              <w:left w:val="nil"/>
              <w:bottom w:val="single" w:sz="4" w:space="0" w:color="auto"/>
              <w:right w:val="nil"/>
            </w:tcBorders>
          </w:tcPr>
          <w:p w14:paraId="3462AC99"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 xml:space="preserve">Absolute decline in percent predicted FVC ≥10% or death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sz w:val="24"/>
                <w:szCs w:val="24"/>
                <w:vertAlign w:val="superscript"/>
              </w:rPr>
              <w:t>§</w:t>
            </w:r>
          </w:p>
        </w:tc>
      </w:tr>
      <w:tr w:rsidR="0084028F" w:rsidRPr="000F7860" w14:paraId="1383293A" w14:textId="77777777" w:rsidTr="004E35CE">
        <w:trPr>
          <w:trHeight w:val="779"/>
        </w:trPr>
        <w:tc>
          <w:tcPr>
            <w:tcW w:w="1256" w:type="pct"/>
            <w:tcBorders>
              <w:left w:val="nil"/>
              <w:bottom w:val="single" w:sz="4" w:space="0" w:color="auto"/>
              <w:right w:val="single" w:sz="4" w:space="0" w:color="auto"/>
            </w:tcBorders>
          </w:tcPr>
          <w:p w14:paraId="13DF2623"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72C6B8B2"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4CA87668"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158" w:type="pct"/>
            <w:tcBorders>
              <w:top w:val="single" w:sz="4" w:space="0" w:color="auto"/>
              <w:left w:val="single" w:sz="4" w:space="0" w:color="auto"/>
              <w:bottom w:val="single" w:sz="4" w:space="0" w:color="auto"/>
              <w:right w:val="nil"/>
            </w:tcBorders>
          </w:tcPr>
          <w:p w14:paraId="75D3436D"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838</w:t>
            </w:r>
          </w:p>
          <w:p w14:paraId="44CEB006"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8.0 (3.1, 12.8)</w:t>
            </w:r>
          </w:p>
        </w:tc>
        <w:tc>
          <w:tcPr>
            <w:tcW w:w="1379" w:type="pct"/>
            <w:tcBorders>
              <w:top w:val="single" w:sz="4" w:space="0" w:color="auto"/>
              <w:left w:val="nil"/>
              <w:bottom w:val="single" w:sz="4" w:space="0" w:color="auto"/>
              <w:right w:val="nil"/>
            </w:tcBorders>
          </w:tcPr>
          <w:p w14:paraId="4843A0BC"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589</w:t>
            </w:r>
          </w:p>
          <w:p w14:paraId="657A1BDE"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12.3 (6.9, 17.8)</w:t>
            </w:r>
          </w:p>
          <w:p w14:paraId="188C101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4.3 (0.4, 8.2)</w:t>
            </w:r>
          </w:p>
        </w:tc>
        <w:tc>
          <w:tcPr>
            <w:tcW w:w="1207" w:type="pct"/>
            <w:tcBorders>
              <w:top w:val="single" w:sz="4" w:space="0" w:color="auto"/>
              <w:left w:val="nil"/>
              <w:bottom w:val="single" w:sz="4" w:space="0" w:color="auto"/>
              <w:right w:val="nil"/>
            </w:tcBorders>
          </w:tcPr>
          <w:p w14:paraId="5052AA55"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99</w:t>
            </w:r>
          </w:p>
          <w:p w14:paraId="0E5D6682"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21.9 (12.6, 31.1)</w:t>
            </w:r>
          </w:p>
          <w:p w14:paraId="303244B9"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13.9 (4.9, 22.8)</w:t>
            </w:r>
          </w:p>
        </w:tc>
      </w:tr>
      <w:tr w:rsidR="0084028F" w:rsidRPr="000F7860" w14:paraId="5FD690CF" w14:textId="77777777" w:rsidTr="004E35CE">
        <w:trPr>
          <w:trHeight w:val="272"/>
        </w:trPr>
        <w:tc>
          <w:tcPr>
            <w:tcW w:w="5000" w:type="pct"/>
            <w:gridSpan w:val="4"/>
            <w:tcBorders>
              <w:left w:val="nil"/>
              <w:bottom w:val="single" w:sz="4" w:space="0" w:color="auto"/>
              <w:right w:val="nil"/>
            </w:tcBorders>
          </w:tcPr>
          <w:p w14:paraId="29D15C81"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 xml:space="preserve">Relative decline in percent predicted FVC ≥10% or death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sz w:val="24"/>
                <w:szCs w:val="24"/>
                <w:vertAlign w:val="superscript"/>
              </w:rPr>
              <w:t>§</w:t>
            </w:r>
          </w:p>
        </w:tc>
      </w:tr>
      <w:tr w:rsidR="0084028F" w:rsidRPr="000F7860" w14:paraId="41675076" w14:textId="77777777" w:rsidTr="004E35CE">
        <w:trPr>
          <w:trHeight w:val="779"/>
        </w:trPr>
        <w:tc>
          <w:tcPr>
            <w:tcW w:w="1256" w:type="pct"/>
            <w:tcBorders>
              <w:left w:val="nil"/>
              <w:bottom w:val="single" w:sz="4" w:space="0" w:color="auto"/>
              <w:right w:val="single" w:sz="4" w:space="0" w:color="auto"/>
            </w:tcBorders>
          </w:tcPr>
          <w:p w14:paraId="457E4E22"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19884EA3"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1D3D865A"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lastRenderedPageBreak/>
              <w:t>Difference (95% CI)</w:t>
            </w:r>
            <w:r w:rsidRPr="000F7860">
              <w:rPr>
                <w:rFonts w:asciiTheme="minorHAnsi" w:hAnsiTheme="minorHAnsi" w:cstheme="minorHAnsi"/>
                <w:sz w:val="24"/>
                <w:szCs w:val="24"/>
                <w:vertAlign w:val="superscript"/>
              </w:rPr>
              <w:t>†</w:t>
            </w:r>
          </w:p>
        </w:tc>
        <w:tc>
          <w:tcPr>
            <w:tcW w:w="1158" w:type="pct"/>
            <w:tcBorders>
              <w:top w:val="single" w:sz="4" w:space="0" w:color="auto"/>
              <w:left w:val="single" w:sz="4" w:space="0" w:color="auto"/>
              <w:bottom w:val="single" w:sz="4" w:space="0" w:color="auto"/>
              <w:right w:val="nil"/>
            </w:tcBorders>
          </w:tcPr>
          <w:p w14:paraId="5C57FAF1"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lastRenderedPageBreak/>
              <w:t>837</w:t>
            </w:r>
          </w:p>
          <w:p w14:paraId="3642DDFF"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8.8 (4.0, 13.6)</w:t>
            </w:r>
          </w:p>
        </w:tc>
        <w:tc>
          <w:tcPr>
            <w:tcW w:w="1379" w:type="pct"/>
            <w:tcBorders>
              <w:top w:val="single" w:sz="4" w:space="0" w:color="auto"/>
              <w:left w:val="nil"/>
              <w:bottom w:val="single" w:sz="4" w:space="0" w:color="auto"/>
              <w:right w:val="nil"/>
            </w:tcBorders>
          </w:tcPr>
          <w:p w14:paraId="3E4B4F7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589</w:t>
            </w:r>
          </w:p>
          <w:p w14:paraId="6A334052"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16.0 (10.7, 21.4)</w:t>
            </w:r>
          </w:p>
          <w:p w14:paraId="4B37725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lastRenderedPageBreak/>
              <w:t>7.2 (3.5, 11.0)</w:t>
            </w:r>
          </w:p>
        </w:tc>
        <w:tc>
          <w:tcPr>
            <w:tcW w:w="1207" w:type="pct"/>
            <w:tcBorders>
              <w:top w:val="single" w:sz="4" w:space="0" w:color="auto"/>
              <w:left w:val="nil"/>
              <w:bottom w:val="single" w:sz="4" w:space="0" w:color="auto"/>
              <w:right w:val="nil"/>
            </w:tcBorders>
          </w:tcPr>
          <w:p w14:paraId="29294FD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lastRenderedPageBreak/>
              <w:t>99</w:t>
            </w:r>
          </w:p>
          <w:p w14:paraId="30E7B5D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37.4 (27.0, 47.8)</w:t>
            </w:r>
          </w:p>
          <w:p w14:paraId="44385D7D"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lastRenderedPageBreak/>
              <w:t>28.5 (18.6, 38.5)</w:t>
            </w:r>
          </w:p>
        </w:tc>
      </w:tr>
      <w:tr w:rsidR="0084028F" w:rsidRPr="000F7860" w14:paraId="4FB6B13E" w14:textId="77777777" w:rsidTr="004E35CE">
        <w:trPr>
          <w:trHeight w:val="333"/>
        </w:trPr>
        <w:tc>
          <w:tcPr>
            <w:tcW w:w="5000" w:type="pct"/>
            <w:gridSpan w:val="4"/>
            <w:tcBorders>
              <w:left w:val="nil"/>
              <w:bottom w:val="single" w:sz="4" w:space="0" w:color="auto"/>
              <w:right w:val="nil"/>
            </w:tcBorders>
          </w:tcPr>
          <w:p w14:paraId="3386A6B8"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lastRenderedPageBreak/>
              <w:t xml:space="preserve">Any all-cause hospitalization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sz w:val="24"/>
                <w:szCs w:val="24"/>
                <w:vertAlign w:val="superscript"/>
              </w:rPr>
              <w:t>§</w:t>
            </w:r>
          </w:p>
        </w:tc>
      </w:tr>
      <w:tr w:rsidR="0084028F" w:rsidRPr="000F7860" w14:paraId="504A397B" w14:textId="77777777" w:rsidTr="004E35CE">
        <w:trPr>
          <w:trHeight w:val="779"/>
        </w:trPr>
        <w:tc>
          <w:tcPr>
            <w:tcW w:w="1256" w:type="pct"/>
            <w:tcBorders>
              <w:left w:val="nil"/>
              <w:bottom w:val="single" w:sz="4" w:space="0" w:color="auto"/>
              <w:right w:val="single" w:sz="4" w:space="0" w:color="auto"/>
            </w:tcBorders>
          </w:tcPr>
          <w:p w14:paraId="2EBA6D8B"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4109350E"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19451F79"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158" w:type="pct"/>
            <w:tcBorders>
              <w:top w:val="single" w:sz="4" w:space="0" w:color="auto"/>
              <w:left w:val="single" w:sz="4" w:space="0" w:color="auto"/>
              <w:bottom w:val="single" w:sz="4" w:space="0" w:color="auto"/>
              <w:right w:val="nil"/>
            </w:tcBorders>
          </w:tcPr>
          <w:p w14:paraId="0BD5201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839</w:t>
            </w:r>
          </w:p>
          <w:p w14:paraId="0A3C5ECF" w14:textId="77777777" w:rsidR="0084028F" w:rsidRPr="000F7860" w:rsidRDefault="0084028F" w:rsidP="004E35CE">
            <w:pPr>
              <w:pStyle w:val="normal0"/>
              <w:spacing w:before="0" w:after="0" w:line="480" w:lineRule="auto"/>
              <w:jc w:val="center"/>
              <w:rPr>
                <w:rFonts w:asciiTheme="minorHAnsi" w:hAnsiTheme="minorHAnsi" w:cstheme="minorHAnsi"/>
                <w:sz w:val="24"/>
                <w:szCs w:val="24"/>
                <w:vertAlign w:val="superscript"/>
              </w:rPr>
            </w:pPr>
            <w:r w:rsidRPr="000F7860">
              <w:rPr>
                <w:rFonts w:asciiTheme="minorHAnsi" w:hAnsiTheme="minorHAnsi" w:cstheme="minorHAnsi"/>
                <w:sz w:val="24"/>
                <w:szCs w:val="24"/>
              </w:rPr>
              <w:t>19.3 (14.1, 24.6)</w:t>
            </w:r>
          </w:p>
        </w:tc>
        <w:tc>
          <w:tcPr>
            <w:tcW w:w="1379" w:type="pct"/>
            <w:tcBorders>
              <w:top w:val="single" w:sz="4" w:space="0" w:color="auto"/>
              <w:left w:val="nil"/>
              <w:bottom w:val="single" w:sz="4" w:space="0" w:color="auto"/>
              <w:right w:val="nil"/>
            </w:tcBorders>
          </w:tcPr>
          <w:p w14:paraId="490DDFE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589</w:t>
            </w:r>
          </w:p>
          <w:p w14:paraId="3452627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24.5 (18.8, 30.3)</w:t>
            </w:r>
          </w:p>
          <w:p w14:paraId="5797B9F5"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5.2 (1.2, 9.2)</w:t>
            </w:r>
          </w:p>
        </w:tc>
        <w:tc>
          <w:tcPr>
            <w:tcW w:w="1207" w:type="pct"/>
            <w:tcBorders>
              <w:top w:val="single" w:sz="4" w:space="0" w:color="auto"/>
              <w:left w:val="nil"/>
              <w:bottom w:val="single" w:sz="4" w:space="0" w:color="auto"/>
              <w:right w:val="nil"/>
            </w:tcBorders>
          </w:tcPr>
          <w:p w14:paraId="72C5C038"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99</w:t>
            </w:r>
          </w:p>
          <w:p w14:paraId="276C2AD8"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39.7 (29.5, 49.9)</w:t>
            </w:r>
          </w:p>
          <w:p w14:paraId="7BB455BD"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20.4 (10.5, 30.2)</w:t>
            </w:r>
          </w:p>
        </w:tc>
      </w:tr>
      <w:tr w:rsidR="0084028F" w:rsidRPr="000F7860" w14:paraId="79EB33EE" w14:textId="77777777" w:rsidTr="004E35CE">
        <w:trPr>
          <w:trHeight w:val="77"/>
        </w:trPr>
        <w:tc>
          <w:tcPr>
            <w:tcW w:w="5000" w:type="pct"/>
            <w:gridSpan w:val="4"/>
            <w:tcBorders>
              <w:left w:val="nil"/>
              <w:bottom w:val="single" w:sz="4" w:space="0" w:color="auto"/>
              <w:right w:val="nil"/>
            </w:tcBorders>
          </w:tcPr>
          <w:p w14:paraId="4A8C0D68"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 xml:space="preserve">All-cause mortality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sz w:val="24"/>
                <w:szCs w:val="24"/>
                <w:vertAlign w:val="superscript"/>
              </w:rPr>
              <w:t>§</w:t>
            </w:r>
          </w:p>
        </w:tc>
      </w:tr>
      <w:tr w:rsidR="0084028F" w:rsidRPr="000F7860" w14:paraId="6136C8D3" w14:textId="77777777" w:rsidTr="004E35CE">
        <w:trPr>
          <w:trHeight w:val="77"/>
        </w:trPr>
        <w:tc>
          <w:tcPr>
            <w:tcW w:w="1256" w:type="pct"/>
            <w:tcBorders>
              <w:left w:val="nil"/>
              <w:bottom w:val="single" w:sz="4" w:space="0" w:color="auto"/>
              <w:right w:val="single" w:sz="4" w:space="0" w:color="auto"/>
            </w:tcBorders>
          </w:tcPr>
          <w:p w14:paraId="4F3439E8"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219E4A48"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50946D31"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158" w:type="pct"/>
            <w:tcBorders>
              <w:top w:val="single" w:sz="4" w:space="0" w:color="auto"/>
              <w:left w:val="single" w:sz="4" w:space="0" w:color="auto"/>
              <w:bottom w:val="single" w:sz="4" w:space="0" w:color="auto"/>
              <w:right w:val="nil"/>
            </w:tcBorders>
          </w:tcPr>
          <w:p w14:paraId="692DE41D"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839</w:t>
            </w:r>
          </w:p>
          <w:p w14:paraId="20951B48"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7.6 (2.8, 12.4)</w:t>
            </w:r>
          </w:p>
        </w:tc>
        <w:tc>
          <w:tcPr>
            <w:tcW w:w="1379" w:type="pct"/>
            <w:tcBorders>
              <w:top w:val="single" w:sz="4" w:space="0" w:color="auto"/>
              <w:left w:val="nil"/>
              <w:bottom w:val="single" w:sz="4" w:space="0" w:color="auto"/>
              <w:right w:val="nil"/>
            </w:tcBorders>
          </w:tcPr>
          <w:p w14:paraId="13445E78"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589</w:t>
            </w:r>
          </w:p>
          <w:p w14:paraId="40E8D5BE"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10.4 (4.7, 16.2)</w:t>
            </w:r>
          </w:p>
          <w:p w14:paraId="3F5CC40C"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2.9 (-1.5, 7.2)</w:t>
            </w:r>
          </w:p>
        </w:tc>
        <w:tc>
          <w:tcPr>
            <w:tcW w:w="1207" w:type="pct"/>
            <w:tcBorders>
              <w:top w:val="single" w:sz="4" w:space="0" w:color="auto"/>
              <w:left w:val="nil"/>
              <w:bottom w:val="single" w:sz="4" w:space="0" w:color="auto"/>
              <w:right w:val="nil"/>
            </w:tcBorders>
          </w:tcPr>
          <w:p w14:paraId="64D9DB05"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99</w:t>
            </w:r>
          </w:p>
          <w:p w14:paraId="14B446C8"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12.0 (3.1, 20.9)</w:t>
            </w:r>
          </w:p>
          <w:p w14:paraId="630C12B6"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4.4 (-4.0, 12.8)</w:t>
            </w:r>
          </w:p>
        </w:tc>
      </w:tr>
      <w:tr w:rsidR="0084028F" w:rsidRPr="000F7860" w14:paraId="15574A31" w14:textId="77777777" w:rsidTr="004E35CE">
        <w:trPr>
          <w:trHeight w:val="77"/>
        </w:trPr>
        <w:tc>
          <w:tcPr>
            <w:tcW w:w="5000" w:type="pct"/>
            <w:gridSpan w:val="4"/>
            <w:tcBorders>
              <w:left w:val="nil"/>
              <w:bottom w:val="single" w:sz="4" w:space="0" w:color="auto"/>
              <w:right w:val="nil"/>
            </w:tcBorders>
          </w:tcPr>
          <w:p w14:paraId="0DC33866"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 xml:space="preserve">Any treatment-emergent SAEs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sz w:val="24"/>
                <w:szCs w:val="24"/>
                <w:vertAlign w:val="superscript"/>
              </w:rPr>
              <w:t>§</w:t>
            </w:r>
          </w:p>
        </w:tc>
      </w:tr>
      <w:tr w:rsidR="0084028F" w:rsidRPr="000F7860" w14:paraId="1E9D498F" w14:textId="77777777" w:rsidTr="004E35CE">
        <w:trPr>
          <w:trHeight w:val="77"/>
        </w:trPr>
        <w:tc>
          <w:tcPr>
            <w:tcW w:w="1256" w:type="pct"/>
            <w:tcBorders>
              <w:left w:val="nil"/>
              <w:bottom w:val="single" w:sz="8" w:space="0" w:color="000000"/>
              <w:right w:val="single" w:sz="4" w:space="0" w:color="auto"/>
            </w:tcBorders>
          </w:tcPr>
          <w:p w14:paraId="50C608ED"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58513EBE"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3FE0E646"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158" w:type="pct"/>
            <w:tcBorders>
              <w:top w:val="single" w:sz="4" w:space="0" w:color="auto"/>
              <w:left w:val="single" w:sz="4" w:space="0" w:color="auto"/>
              <w:bottom w:val="single" w:sz="8" w:space="0" w:color="000000"/>
              <w:right w:val="nil"/>
            </w:tcBorders>
          </w:tcPr>
          <w:p w14:paraId="31EEF0CF"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839</w:t>
            </w:r>
          </w:p>
          <w:p w14:paraId="369905D3"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22.1 (16.6, 27.6)</w:t>
            </w:r>
          </w:p>
        </w:tc>
        <w:tc>
          <w:tcPr>
            <w:tcW w:w="1379" w:type="pct"/>
            <w:tcBorders>
              <w:top w:val="single" w:sz="4" w:space="0" w:color="auto"/>
              <w:left w:val="nil"/>
              <w:bottom w:val="single" w:sz="8" w:space="0" w:color="000000"/>
              <w:right w:val="nil"/>
            </w:tcBorders>
          </w:tcPr>
          <w:p w14:paraId="2781343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589</w:t>
            </w:r>
          </w:p>
          <w:p w14:paraId="22BCDD2D"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25.4 (19.5, 31.3)</w:t>
            </w:r>
          </w:p>
          <w:p w14:paraId="427DCDD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3.3 (-0.9, 7.6)</w:t>
            </w:r>
          </w:p>
        </w:tc>
        <w:tc>
          <w:tcPr>
            <w:tcW w:w="1207" w:type="pct"/>
            <w:tcBorders>
              <w:top w:val="single" w:sz="4" w:space="0" w:color="auto"/>
              <w:left w:val="nil"/>
              <w:bottom w:val="single" w:sz="8" w:space="0" w:color="000000"/>
              <w:right w:val="nil"/>
            </w:tcBorders>
          </w:tcPr>
          <w:p w14:paraId="6F4F2179"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99</w:t>
            </w:r>
          </w:p>
          <w:p w14:paraId="49C413C5" w14:textId="77777777" w:rsidR="0084028F" w:rsidRPr="000F7860" w:rsidRDefault="0084028F" w:rsidP="004E35CE">
            <w:pPr>
              <w:pStyle w:val="normal0"/>
              <w:spacing w:before="0" w:after="0" w:line="480" w:lineRule="auto"/>
              <w:jc w:val="center"/>
              <w:rPr>
                <w:rFonts w:asciiTheme="minorHAnsi" w:hAnsiTheme="minorHAnsi" w:cstheme="minorHAnsi"/>
                <w:sz w:val="24"/>
                <w:szCs w:val="24"/>
                <w:vertAlign w:val="superscript"/>
              </w:rPr>
            </w:pPr>
            <w:r w:rsidRPr="000F7860">
              <w:rPr>
                <w:rFonts w:asciiTheme="minorHAnsi" w:hAnsiTheme="minorHAnsi" w:cstheme="minorHAnsi"/>
                <w:sz w:val="24"/>
                <w:szCs w:val="24"/>
              </w:rPr>
              <w:t>51.0 (40.4, 61.7)</w:t>
            </w:r>
          </w:p>
          <w:p w14:paraId="02374D4E"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28.9 (18.7, 39.2)</w:t>
            </w:r>
          </w:p>
        </w:tc>
      </w:tr>
    </w:tbl>
    <w:p w14:paraId="131BAA7A" w14:textId="65A37321" w:rsidR="0084028F" w:rsidRPr="000F7860" w:rsidRDefault="00340B79" w:rsidP="0084028F">
      <w:pPr>
        <w:spacing w:before="120"/>
        <w:rPr>
          <w:rFonts w:cstheme="minorHAnsi"/>
          <w:b/>
          <w:sz w:val="24"/>
          <w:szCs w:val="24"/>
        </w:rPr>
      </w:pPr>
      <w:r w:rsidRPr="00340B79">
        <w:rPr>
          <w:rFonts w:cstheme="minorHAnsi"/>
          <w:sz w:val="24"/>
          <w:szCs w:val="24"/>
          <w:vertAlign w:val="superscript"/>
        </w:rPr>
        <w:t>*</w:t>
      </w:r>
      <w:r w:rsidR="0084028F" w:rsidRPr="000F7860">
        <w:rPr>
          <w:rFonts w:cstheme="minorHAnsi"/>
          <w:sz w:val="24"/>
          <w:szCs w:val="24"/>
        </w:rPr>
        <w:t xml:space="preserve">Estimates (95% CI) based on repeated-measures analysis of covariance with study, age, sex, race, baseline HRCT status, years since IPF diagnosis, baseline oxygen use, baseline smoking status, annualized percent change category, time, and annualized percent change </w:t>
      </w:r>
      <w:r w:rsidR="0084028F" w:rsidRPr="000F7860">
        <w:rPr>
          <w:rFonts w:cstheme="minorHAnsi"/>
          <w:sz w:val="24"/>
          <w:szCs w:val="24"/>
        </w:rPr>
        <w:lastRenderedPageBreak/>
        <w:t xml:space="preserve">category*time as fixed-effect covariates, with random intercept and random slope for time for each patient. </w:t>
      </w:r>
      <w:r w:rsidR="0084028F" w:rsidRPr="000F7860">
        <w:rPr>
          <w:rFonts w:cstheme="minorHAnsi"/>
          <w:sz w:val="24"/>
          <w:szCs w:val="24"/>
          <w:vertAlign w:val="superscript"/>
        </w:rPr>
        <w:t>†</w:t>
      </w:r>
      <w:r w:rsidR="0084028F" w:rsidRPr="000F7860">
        <w:rPr>
          <w:rFonts w:cstheme="minorHAnsi"/>
          <w:sz w:val="24"/>
          <w:szCs w:val="24"/>
        </w:rPr>
        <w:t xml:space="preserve">Estimated difference from first category. </w:t>
      </w:r>
      <w:r w:rsidR="0084028F" w:rsidRPr="000F7860">
        <w:rPr>
          <w:rFonts w:cstheme="minorHAnsi"/>
          <w:sz w:val="24"/>
          <w:szCs w:val="24"/>
          <w:vertAlign w:val="superscript"/>
        </w:rPr>
        <w:t>‡</w:t>
      </w:r>
      <w:r w:rsidR="0084028F" w:rsidRPr="000F7860">
        <w:rPr>
          <w:rFonts w:cstheme="minorHAnsi"/>
          <w:sz w:val="24"/>
          <w:szCs w:val="24"/>
        </w:rPr>
        <w:t xml:space="preserve">Excludes ASCEND study. </w:t>
      </w:r>
      <w:r w:rsidR="0084028F" w:rsidRPr="000F7860">
        <w:rPr>
          <w:rFonts w:cstheme="minorHAnsi"/>
          <w:sz w:val="24"/>
          <w:szCs w:val="24"/>
          <w:vertAlign w:val="superscript"/>
        </w:rPr>
        <w:t>§</w:t>
      </w:r>
      <w:r w:rsidR="0084028F" w:rsidRPr="000F7860">
        <w:rPr>
          <w:rFonts w:cstheme="minorHAnsi"/>
          <w:sz w:val="24"/>
          <w:szCs w:val="24"/>
        </w:rPr>
        <w:t>Estimates (95% CI) based on logistic regression with study, age, sex, race, baseline HRCT status, years since IPF diagnosis, baseline oxygen use, baseline smoking status, and annualized percent change in body-weight category as model factors. 6MWD, 6</w:t>
      </w:r>
      <w:r w:rsidR="0084028F" w:rsidRPr="000F7860">
        <w:rPr>
          <w:rFonts w:cstheme="minorHAnsi"/>
          <w:sz w:val="24"/>
          <w:szCs w:val="24"/>
        </w:rPr>
        <w:noBreakHyphen/>
        <w:t>min walk distance; CI, confidence interval; DLco, carbon monoxide diffusing capacity; FVC, forced vital capacity; HRCT, high-resolution computed tomography; IPF, idiopathic pulmonary fibrosis; SAE, serious adverse event; SGRQ, St. George’s Respiratory Questionnaire.</w:t>
      </w:r>
      <w:r w:rsidR="0084028F" w:rsidRPr="000F7860">
        <w:rPr>
          <w:rFonts w:cstheme="minorHAnsi"/>
          <w:b/>
          <w:sz w:val="24"/>
          <w:szCs w:val="24"/>
        </w:rPr>
        <w:br w:type="page"/>
      </w:r>
    </w:p>
    <w:p w14:paraId="2767C54A" w14:textId="77777777" w:rsidR="0084028F" w:rsidRPr="000F7860" w:rsidRDefault="0084028F" w:rsidP="0084028F">
      <w:pPr>
        <w:spacing w:after="240"/>
        <w:rPr>
          <w:rFonts w:cstheme="minorHAnsi"/>
          <w:b/>
          <w:bCs/>
          <w:i/>
          <w:iCs/>
          <w:sz w:val="24"/>
          <w:szCs w:val="24"/>
        </w:rPr>
      </w:pPr>
      <w:r w:rsidRPr="000F7860">
        <w:rPr>
          <w:rFonts w:cstheme="minorHAnsi"/>
          <w:b/>
          <w:sz w:val="24"/>
          <w:szCs w:val="24"/>
        </w:rPr>
        <w:lastRenderedPageBreak/>
        <w:t>Table E3.</w:t>
      </w:r>
      <w:r w:rsidRPr="000F7860">
        <w:rPr>
          <w:rFonts w:cstheme="minorHAnsi"/>
          <w:sz w:val="24"/>
          <w:szCs w:val="24"/>
        </w:rPr>
        <w:t xml:space="preserve"> Clinical outcomes at 1 year stratified by baseline BMI category in patients from the pirfenidone arms of ASCEND and </w:t>
      </w:r>
      <w:proofErr w:type="gramStart"/>
      <w:r w:rsidRPr="000F7860">
        <w:rPr>
          <w:rFonts w:cstheme="minorHAnsi"/>
          <w:sz w:val="24"/>
          <w:szCs w:val="24"/>
        </w:rPr>
        <w:t>CAPACITY</w:t>
      </w:r>
      <w:proofErr w:type="gramEnd"/>
      <w:r w:rsidRPr="000F7860">
        <w:rPr>
          <w:rFonts w:cstheme="minorHAnsi"/>
          <w:sz w:val="24"/>
          <w:szCs w:val="24"/>
        </w:rPr>
        <w:t xml:space="preserve"> </w:t>
      </w:r>
    </w:p>
    <w:tbl>
      <w:tblPr>
        <w:tblStyle w:val="TableGrid"/>
        <w:tblW w:w="4843" w:type="pct"/>
        <w:tblLook w:val="04A0" w:firstRow="1" w:lastRow="0" w:firstColumn="1" w:lastColumn="0" w:noHBand="0" w:noVBand="1"/>
      </w:tblPr>
      <w:tblGrid>
        <w:gridCol w:w="3307"/>
        <w:gridCol w:w="3305"/>
        <w:gridCol w:w="3779"/>
        <w:gridCol w:w="3310"/>
      </w:tblGrid>
      <w:tr w:rsidR="0084028F" w:rsidRPr="000F7860" w14:paraId="706EA4DC" w14:textId="77777777" w:rsidTr="004E35CE">
        <w:trPr>
          <w:trHeight w:val="401"/>
        </w:trPr>
        <w:tc>
          <w:tcPr>
            <w:tcW w:w="1207" w:type="pct"/>
            <w:tcBorders>
              <w:left w:val="nil"/>
              <w:bottom w:val="nil"/>
            </w:tcBorders>
          </w:tcPr>
          <w:p w14:paraId="53087FD9" w14:textId="77777777" w:rsidR="0084028F" w:rsidRPr="000F7860" w:rsidRDefault="0084028F" w:rsidP="004E35CE">
            <w:pPr>
              <w:pStyle w:val="normal0"/>
              <w:spacing w:before="0" w:after="0" w:line="480" w:lineRule="auto"/>
              <w:rPr>
                <w:rFonts w:asciiTheme="minorHAnsi" w:hAnsiTheme="minorHAnsi" w:cstheme="minorHAnsi"/>
                <w:b/>
                <w:sz w:val="24"/>
                <w:szCs w:val="24"/>
              </w:rPr>
            </w:pPr>
            <w:bookmarkStart w:id="1" w:name="_Hlk55210341"/>
          </w:p>
        </w:tc>
        <w:tc>
          <w:tcPr>
            <w:tcW w:w="3793" w:type="pct"/>
            <w:gridSpan w:val="3"/>
            <w:tcBorders>
              <w:bottom w:val="single" w:sz="4" w:space="0" w:color="auto"/>
              <w:right w:val="nil"/>
            </w:tcBorders>
          </w:tcPr>
          <w:p w14:paraId="081D8B1E"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sz w:val="24"/>
                <w:szCs w:val="24"/>
              </w:rPr>
              <w:t>Baseline BMI</w:t>
            </w:r>
          </w:p>
        </w:tc>
      </w:tr>
      <w:tr w:rsidR="0084028F" w:rsidRPr="000F7860" w14:paraId="6A2F09A9" w14:textId="77777777" w:rsidTr="004E35CE">
        <w:trPr>
          <w:trHeight w:val="807"/>
        </w:trPr>
        <w:tc>
          <w:tcPr>
            <w:tcW w:w="1207" w:type="pct"/>
            <w:tcBorders>
              <w:top w:val="nil"/>
              <w:left w:val="nil"/>
              <w:bottom w:val="single" w:sz="4" w:space="0" w:color="auto"/>
              <w:right w:val="single" w:sz="4" w:space="0" w:color="auto"/>
            </w:tcBorders>
          </w:tcPr>
          <w:p w14:paraId="5FB77725" w14:textId="77777777" w:rsidR="0084028F" w:rsidRPr="000F7860" w:rsidRDefault="0084028F" w:rsidP="004E35CE">
            <w:pPr>
              <w:pStyle w:val="normal0"/>
              <w:spacing w:before="0" w:after="0" w:line="480" w:lineRule="auto"/>
              <w:rPr>
                <w:rFonts w:asciiTheme="minorHAnsi" w:hAnsiTheme="minorHAnsi" w:cstheme="minorHAnsi"/>
                <w:b/>
                <w:sz w:val="24"/>
                <w:szCs w:val="24"/>
              </w:rPr>
            </w:pPr>
            <w:r w:rsidRPr="000F7860">
              <w:rPr>
                <w:rFonts w:asciiTheme="minorHAnsi" w:hAnsiTheme="minorHAnsi" w:cstheme="minorHAnsi"/>
                <w:b/>
                <w:sz w:val="24"/>
                <w:szCs w:val="24"/>
              </w:rPr>
              <w:t>Outcome</w:t>
            </w:r>
          </w:p>
        </w:tc>
        <w:tc>
          <w:tcPr>
            <w:tcW w:w="1206" w:type="pct"/>
            <w:tcBorders>
              <w:top w:val="single" w:sz="4" w:space="0" w:color="auto"/>
              <w:left w:val="single" w:sz="4" w:space="0" w:color="auto"/>
              <w:bottom w:val="single" w:sz="4" w:space="0" w:color="auto"/>
              <w:right w:val="nil"/>
            </w:tcBorders>
          </w:tcPr>
          <w:p w14:paraId="1C629D96"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vertAlign w:val="superscript"/>
              </w:rPr>
            </w:pPr>
            <w:r w:rsidRPr="000F7860">
              <w:rPr>
                <w:rFonts w:asciiTheme="minorHAnsi" w:hAnsiTheme="minorHAnsi" w:cstheme="minorHAnsi"/>
                <w:b/>
                <w:sz w:val="24"/>
                <w:szCs w:val="24"/>
              </w:rPr>
              <w:t>&lt;25 </w:t>
            </w:r>
            <w:r w:rsidRPr="000F7860">
              <w:rPr>
                <w:rFonts w:asciiTheme="minorHAnsi" w:hAnsiTheme="minorHAnsi" w:cstheme="minorHAnsi"/>
                <w:b/>
                <w:sz w:val="24"/>
                <w:szCs w:val="24"/>
                <w:lang w:val="en-GB"/>
              </w:rPr>
              <w:t>kg/m</w:t>
            </w:r>
            <w:r w:rsidRPr="000F7860">
              <w:rPr>
                <w:rFonts w:asciiTheme="minorHAnsi" w:hAnsiTheme="minorHAnsi" w:cstheme="minorHAnsi"/>
                <w:b/>
                <w:sz w:val="24"/>
                <w:szCs w:val="24"/>
                <w:vertAlign w:val="superscript"/>
                <w:lang w:val="en-GB"/>
              </w:rPr>
              <w:t>2</w:t>
            </w:r>
          </w:p>
          <w:p w14:paraId="0E44407D"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i/>
                <w:sz w:val="24"/>
                <w:szCs w:val="24"/>
              </w:rPr>
              <w:t>n</w:t>
            </w:r>
            <w:r w:rsidRPr="000F7860">
              <w:rPr>
                <w:rFonts w:asciiTheme="minorHAnsi" w:hAnsiTheme="minorHAnsi" w:cstheme="minorHAnsi"/>
                <w:b/>
                <w:sz w:val="24"/>
                <w:szCs w:val="24"/>
              </w:rPr>
              <w:t xml:space="preserve"> = 73</w:t>
            </w:r>
          </w:p>
        </w:tc>
        <w:tc>
          <w:tcPr>
            <w:tcW w:w="1379" w:type="pct"/>
            <w:tcBorders>
              <w:top w:val="single" w:sz="4" w:space="0" w:color="auto"/>
              <w:left w:val="nil"/>
              <w:bottom w:val="single" w:sz="4" w:space="0" w:color="auto"/>
              <w:right w:val="nil"/>
            </w:tcBorders>
          </w:tcPr>
          <w:p w14:paraId="6B6AA957"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vertAlign w:val="superscript"/>
              </w:rPr>
            </w:pPr>
            <w:r w:rsidRPr="000F7860">
              <w:rPr>
                <w:rFonts w:asciiTheme="minorHAnsi" w:hAnsiTheme="minorHAnsi" w:cstheme="minorHAnsi"/>
                <w:b/>
                <w:sz w:val="24"/>
                <w:szCs w:val="24"/>
              </w:rPr>
              <w:t>25–&lt;30 </w:t>
            </w:r>
            <w:r w:rsidRPr="000F7860">
              <w:rPr>
                <w:rFonts w:asciiTheme="minorHAnsi" w:hAnsiTheme="minorHAnsi" w:cstheme="minorHAnsi"/>
                <w:b/>
                <w:sz w:val="24"/>
                <w:szCs w:val="24"/>
                <w:lang w:val="en-GB"/>
              </w:rPr>
              <w:t>kg/m</w:t>
            </w:r>
            <w:r w:rsidRPr="000F7860">
              <w:rPr>
                <w:rFonts w:asciiTheme="minorHAnsi" w:hAnsiTheme="minorHAnsi" w:cstheme="minorHAnsi"/>
                <w:b/>
                <w:sz w:val="24"/>
                <w:szCs w:val="24"/>
                <w:vertAlign w:val="superscript"/>
                <w:lang w:val="en-GB"/>
              </w:rPr>
              <w:t>2</w:t>
            </w:r>
          </w:p>
          <w:p w14:paraId="75EF55B4"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i/>
                <w:sz w:val="24"/>
                <w:szCs w:val="24"/>
              </w:rPr>
              <w:t>n</w:t>
            </w:r>
            <w:r w:rsidRPr="000F7860">
              <w:rPr>
                <w:rFonts w:asciiTheme="minorHAnsi" w:hAnsiTheme="minorHAnsi" w:cstheme="minorHAnsi"/>
                <w:b/>
                <w:sz w:val="24"/>
                <w:szCs w:val="24"/>
              </w:rPr>
              <w:t xml:space="preserve"> = 265</w:t>
            </w:r>
          </w:p>
        </w:tc>
        <w:tc>
          <w:tcPr>
            <w:tcW w:w="1208" w:type="pct"/>
            <w:tcBorders>
              <w:top w:val="single" w:sz="4" w:space="0" w:color="auto"/>
              <w:left w:val="nil"/>
              <w:bottom w:val="single" w:sz="4" w:space="0" w:color="auto"/>
              <w:right w:val="nil"/>
            </w:tcBorders>
          </w:tcPr>
          <w:p w14:paraId="79B7D831"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vertAlign w:val="superscript"/>
              </w:rPr>
            </w:pPr>
            <w:r w:rsidRPr="000F7860">
              <w:rPr>
                <w:rFonts w:asciiTheme="minorHAnsi" w:hAnsiTheme="minorHAnsi" w:cstheme="minorHAnsi"/>
                <w:b/>
                <w:sz w:val="24"/>
                <w:szCs w:val="24"/>
              </w:rPr>
              <w:t>≥30 </w:t>
            </w:r>
            <w:r w:rsidRPr="000F7860">
              <w:rPr>
                <w:rFonts w:asciiTheme="minorHAnsi" w:hAnsiTheme="minorHAnsi" w:cstheme="minorHAnsi"/>
                <w:b/>
                <w:sz w:val="24"/>
                <w:szCs w:val="24"/>
                <w:lang w:val="en-GB"/>
              </w:rPr>
              <w:t>kg/m</w:t>
            </w:r>
            <w:r w:rsidRPr="000F7860">
              <w:rPr>
                <w:rFonts w:asciiTheme="minorHAnsi" w:hAnsiTheme="minorHAnsi" w:cstheme="minorHAnsi"/>
                <w:b/>
                <w:sz w:val="24"/>
                <w:szCs w:val="24"/>
                <w:vertAlign w:val="superscript"/>
                <w:lang w:val="en-GB"/>
              </w:rPr>
              <w:t>2</w:t>
            </w:r>
          </w:p>
          <w:p w14:paraId="1CEDCF1B"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i/>
                <w:sz w:val="24"/>
                <w:szCs w:val="24"/>
              </w:rPr>
              <w:t>n</w:t>
            </w:r>
            <w:r w:rsidRPr="000F7860">
              <w:rPr>
                <w:rFonts w:asciiTheme="minorHAnsi" w:hAnsiTheme="minorHAnsi" w:cstheme="minorHAnsi"/>
                <w:b/>
                <w:sz w:val="24"/>
                <w:szCs w:val="24"/>
              </w:rPr>
              <w:t xml:space="preserve"> = 285</w:t>
            </w:r>
          </w:p>
        </w:tc>
      </w:tr>
      <w:tr w:rsidR="0084028F" w:rsidRPr="000F7860" w14:paraId="74D8BB13" w14:textId="77777777" w:rsidTr="004E35CE">
        <w:trPr>
          <w:trHeight w:val="401"/>
        </w:trPr>
        <w:tc>
          <w:tcPr>
            <w:tcW w:w="5000" w:type="pct"/>
            <w:gridSpan w:val="4"/>
            <w:tcBorders>
              <w:left w:val="nil"/>
              <w:bottom w:val="single" w:sz="4" w:space="0" w:color="auto"/>
              <w:right w:val="nil"/>
            </w:tcBorders>
          </w:tcPr>
          <w:p w14:paraId="299283D8" w14:textId="77777777" w:rsidR="0084028F" w:rsidRPr="000F7860" w:rsidRDefault="0084028F" w:rsidP="004E35CE">
            <w:pPr>
              <w:pStyle w:val="normal0"/>
              <w:spacing w:before="0" w:after="0" w:line="480" w:lineRule="auto"/>
              <w:rPr>
                <w:rFonts w:asciiTheme="minorHAnsi" w:hAnsiTheme="minorHAnsi" w:cstheme="minorHAnsi"/>
                <w:b/>
                <w:sz w:val="24"/>
                <w:szCs w:val="24"/>
              </w:rPr>
            </w:pPr>
            <w:r w:rsidRPr="000F7860">
              <w:rPr>
                <w:rFonts w:asciiTheme="minorHAnsi" w:hAnsiTheme="minorHAnsi" w:cstheme="minorHAnsi"/>
                <w:b/>
                <w:sz w:val="24"/>
                <w:szCs w:val="24"/>
              </w:rPr>
              <w:t>Annualized change from baseline in percent predicted FVC, %</w:t>
            </w:r>
            <w:r w:rsidRPr="00340B79">
              <w:rPr>
                <w:rFonts w:asciiTheme="minorHAnsi" w:hAnsiTheme="minorHAnsi" w:cstheme="minorHAnsi"/>
                <w:b/>
                <w:sz w:val="24"/>
                <w:szCs w:val="24"/>
                <w:vertAlign w:val="superscript"/>
              </w:rPr>
              <w:t>*</w:t>
            </w:r>
          </w:p>
        </w:tc>
      </w:tr>
      <w:tr w:rsidR="0084028F" w:rsidRPr="000F7860" w14:paraId="315C3931" w14:textId="77777777" w:rsidTr="004E35CE">
        <w:trPr>
          <w:trHeight w:val="777"/>
        </w:trPr>
        <w:tc>
          <w:tcPr>
            <w:tcW w:w="1207" w:type="pct"/>
            <w:tcBorders>
              <w:top w:val="single" w:sz="4" w:space="0" w:color="auto"/>
              <w:left w:val="nil"/>
              <w:bottom w:val="single" w:sz="4" w:space="0" w:color="auto"/>
              <w:right w:val="single" w:sz="4" w:space="0" w:color="auto"/>
            </w:tcBorders>
          </w:tcPr>
          <w:p w14:paraId="398DBE4A"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0DC9F66D"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17FF6966"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single" w:sz="4" w:space="0" w:color="auto"/>
              <w:left w:val="single" w:sz="4" w:space="0" w:color="auto"/>
              <w:bottom w:val="single" w:sz="4" w:space="0" w:color="auto"/>
              <w:right w:val="nil"/>
            </w:tcBorders>
          </w:tcPr>
          <w:p w14:paraId="3C7B3191"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73</w:t>
            </w:r>
          </w:p>
          <w:p w14:paraId="5D295467" w14:textId="77777777" w:rsidR="0084028F" w:rsidRPr="000F7860" w:rsidRDefault="0084028F" w:rsidP="004E35CE">
            <w:pPr>
              <w:pStyle w:val="normal0"/>
              <w:spacing w:before="0" w:after="0" w:line="480" w:lineRule="auto"/>
              <w:jc w:val="center"/>
              <w:rPr>
                <w:rFonts w:asciiTheme="minorHAnsi" w:hAnsiTheme="minorHAnsi" w:cstheme="minorHAnsi"/>
                <w:sz w:val="24"/>
                <w:szCs w:val="24"/>
                <w:vertAlign w:val="superscript"/>
              </w:rPr>
            </w:pPr>
            <w:r w:rsidRPr="000F7860">
              <w:rPr>
                <w:rFonts w:asciiTheme="minorHAnsi" w:hAnsiTheme="minorHAnsi" w:cstheme="minorHAnsi"/>
                <w:sz w:val="24"/>
                <w:szCs w:val="24"/>
              </w:rPr>
              <w:t>-4.3 (-5.7, -2.9)</w:t>
            </w:r>
          </w:p>
          <w:p w14:paraId="1597CD43"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p>
        </w:tc>
        <w:tc>
          <w:tcPr>
            <w:tcW w:w="1379" w:type="pct"/>
            <w:tcBorders>
              <w:top w:val="single" w:sz="4" w:space="0" w:color="auto"/>
              <w:left w:val="nil"/>
              <w:bottom w:val="single" w:sz="4" w:space="0" w:color="auto"/>
              <w:right w:val="nil"/>
            </w:tcBorders>
          </w:tcPr>
          <w:p w14:paraId="7BAA2EA5"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264</w:t>
            </w:r>
          </w:p>
          <w:p w14:paraId="4ACC6FB2"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-4.4 (-5.1, -3.7)</w:t>
            </w:r>
          </w:p>
          <w:p w14:paraId="1FE5CDF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-0.1 (-1.7, 1.4)</w:t>
            </w:r>
          </w:p>
        </w:tc>
        <w:tc>
          <w:tcPr>
            <w:tcW w:w="1208" w:type="pct"/>
            <w:tcBorders>
              <w:top w:val="single" w:sz="4" w:space="0" w:color="auto"/>
              <w:left w:val="nil"/>
              <w:bottom w:val="single" w:sz="4" w:space="0" w:color="auto"/>
              <w:right w:val="nil"/>
            </w:tcBorders>
          </w:tcPr>
          <w:p w14:paraId="4E1B4F73"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285</w:t>
            </w:r>
          </w:p>
          <w:p w14:paraId="08C3DD0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-3.6 (-4.3, -3.0)</w:t>
            </w:r>
          </w:p>
          <w:p w14:paraId="5D0203E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0.7 (-0.8, 2.2)</w:t>
            </w:r>
          </w:p>
        </w:tc>
      </w:tr>
      <w:tr w:rsidR="0084028F" w:rsidRPr="000F7860" w14:paraId="4B877E0E" w14:textId="77777777" w:rsidTr="004E35CE">
        <w:trPr>
          <w:trHeight w:val="401"/>
        </w:trPr>
        <w:tc>
          <w:tcPr>
            <w:tcW w:w="5000" w:type="pct"/>
            <w:gridSpan w:val="4"/>
            <w:tcBorders>
              <w:left w:val="nil"/>
              <w:right w:val="nil"/>
            </w:tcBorders>
          </w:tcPr>
          <w:p w14:paraId="3A0ACDD7" w14:textId="77777777" w:rsidR="0084028F" w:rsidRPr="000F7860" w:rsidRDefault="0084028F" w:rsidP="004E35CE">
            <w:pPr>
              <w:pStyle w:val="normal0"/>
              <w:spacing w:before="0" w:after="0" w:line="480" w:lineRule="auto"/>
              <w:rPr>
                <w:rFonts w:asciiTheme="minorHAnsi" w:hAnsiTheme="minorHAnsi" w:cstheme="minorHAnsi"/>
                <w:b/>
                <w:sz w:val="24"/>
                <w:szCs w:val="24"/>
              </w:rPr>
            </w:pPr>
            <w:r w:rsidRPr="000F7860">
              <w:rPr>
                <w:rFonts w:asciiTheme="minorHAnsi" w:hAnsiTheme="minorHAnsi" w:cstheme="minorHAnsi"/>
                <w:b/>
                <w:sz w:val="24"/>
                <w:szCs w:val="24"/>
              </w:rPr>
              <w:t>Annualized change from baseline in percent predicted DLco, %</w:t>
            </w:r>
            <w:r w:rsidRPr="00340B79">
              <w:rPr>
                <w:rFonts w:asciiTheme="minorHAnsi" w:hAnsiTheme="minorHAnsi" w:cstheme="minorHAnsi"/>
                <w:b/>
                <w:sz w:val="24"/>
                <w:szCs w:val="24"/>
                <w:vertAlign w:val="superscript"/>
              </w:rPr>
              <w:t>*</w:t>
            </w:r>
            <w:r w:rsidRPr="000F7860">
              <w:rPr>
                <w:rFonts w:asciiTheme="minorHAnsi" w:hAnsiTheme="minorHAnsi" w:cstheme="minorHAnsi"/>
                <w:b/>
                <w:sz w:val="24"/>
                <w:szCs w:val="24"/>
                <w:vertAlign w:val="superscript"/>
              </w:rPr>
              <w:t>,</w:t>
            </w:r>
            <w:bookmarkStart w:id="2" w:name="_Hlk69828947"/>
            <w:r w:rsidRPr="000F7860">
              <w:rPr>
                <w:rFonts w:asciiTheme="minorHAnsi" w:hAnsiTheme="minorHAnsi" w:cstheme="minorHAnsi"/>
                <w:b/>
                <w:sz w:val="24"/>
                <w:szCs w:val="24"/>
                <w:vertAlign w:val="superscript"/>
              </w:rPr>
              <w:t>‡</w:t>
            </w:r>
            <w:bookmarkEnd w:id="2"/>
          </w:p>
        </w:tc>
      </w:tr>
      <w:tr w:rsidR="0084028F" w:rsidRPr="000F7860" w14:paraId="6AF8FDC1" w14:textId="77777777" w:rsidTr="004E35CE">
        <w:trPr>
          <w:trHeight w:val="777"/>
        </w:trPr>
        <w:tc>
          <w:tcPr>
            <w:tcW w:w="1207" w:type="pct"/>
            <w:tcBorders>
              <w:left w:val="nil"/>
              <w:bottom w:val="single" w:sz="4" w:space="0" w:color="auto"/>
              <w:right w:val="single" w:sz="4" w:space="0" w:color="auto"/>
            </w:tcBorders>
          </w:tcPr>
          <w:p w14:paraId="27FBCDD5"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021429B1"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5A901F73"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661368CD"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33</w:t>
            </w:r>
          </w:p>
          <w:p w14:paraId="11A8722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-4.8 (-6.7, -2.9)</w:t>
            </w:r>
          </w:p>
        </w:tc>
        <w:tc>
          <w:tcPr>
            <w:tcW w:w="1379" w:type="pct"/>
            <w:tcBorders>
              <w:top w:val="nil"/>
              <w:left w:val="nil"/>
              <w:bottom w:val="single" w:sz="4" w:space="0" w:color="auto"/>
              <w:right w:val="nil"/>
            </w:tcBorders>
          </w:tcPr>
          <w:p w14:paraId="062F979D"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134</w:t>
            </w:r>
          </w:p>
          <w:p w14:paraId="6AD80EEA"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-5.5 (-6.4, -4.6)</w:t>
            </w:r>
          </w:p>
          <w:p w14:paraId="7DC11FA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-0.7 (-2.8, 1.4)</w:t>
            </w:r>
          </w:p>
        </w:tc>
        <w:tc>
          <w:tcPr>
            <w:tcW w:w="1208" w:type="pct"/>
            <w:tcBorders>
              <w:top w:val="nil"/>
              <w:left w:val="nil"/>
              <w:bottom w:val="single" w:sz="4" w:space="0" w:color="auto"/>
              <w:right w:val="nil"/>
            </w:tcBorders>
          </w:tcPr>
          <w:p w14:paraId="74E7C17F"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177</w:t>
            </w:r>
          </w:p>
          <w:p w14:paraId="79F72D21"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-5.0 (-5.8. -4.3)</w:t>
            </w:r>
          </w:p>
          <w:p w14:paraId="1A8B3EE8"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-0.2 (-2.3, 1.8)</w:t>
            </w:r>
          </w:p>
        </w:tc>
      </w:tr>
      <w:tr w:rsidR="0084028F" w:rsidRPr="000F7860" w14:paraId="446A0458" w14:textId="77777777" w:rsidTr="004E35CE">
        <w:trPr>
          <w:trHeight w:val="401"/>
        </w:trPr>
        <w:tc>
          <w:tcPr>
            <w:tcW w:w="5000" w:type="pct"/>
            <w:gridSpan w:val="4"/>
            <w:tcBorders>
              <w:top w:val="single" w:sz="4" w:space="0" w:color="auto"/>
              <w:left w:val="nil"/>
              <w:right w:val="nil"/>
            </w:tcBorders>
          </w:tcPr>
          <w:p w14:paraId="6D2BCD25" w14:textId="77777777" w:rsidR="0084028F" w:rsidRPr="000F7860" w:rsidRDefault="0084028F" w:rsidP="004E35CE">
            <w:pPr>
              <w:pStyle w:val="normal0"/>
              <w:keepNext/>
              <w:spacing w:before="0" w:after="0" w:line="480" w:lineRule="auto"/>
              <w:rPr>
                <w:rFonts w:asciiTheme="minorHAnsi" w:hAnsiTheme="minorHAnsi" w:cstheme="minorHAnsi"/>
                <w:b/>
                <w:sz w:val="24"/>
                <w:szCs w:val="24"/>
              </w:rPr>
            </w:pPr>
            <w:r w:rsidRPr="000F7860">
              <w:rPr>
                <w:rFonts w:asciiTheme="minorHAnsi" w:hAnsiTheme="minorHAnsi" w:cstheme="minorHAnsi"/>
                <w:b/>
                <w:sz w:val="24"/>
                <w:szCs w:val="24"/>
              </w:rPr>
              <w:lastRenderedPageBreak/>
              <w:t>Annualized change from baseline in 6MWD, m</w:t>
            </w:r>
            <w:r w:rsidRPr="00340B79">
              <w:rPr>
                <w:rFonts w:asciiTheme="minorHAnsi" w:hAnsiTheme="minorHAnsi" w:cstheme="minorHAnsi"/>
                <w:b/>
                <w:sz w:val="24"/>
                <w:szCs w:val="24"/>
                <w:vertAlign w:val="superscript"/>
              </w:rPr>
              <w:t>*</w:t>
            </w:r>
          </w:p>
        </w:tc>
      </w:tr>
      <w:tr w:rsidR="0084028F" w:rsidRPr="000F7860" w14:paraId="677330BF" w14:textId="77777777" w:rsidTr="004E35CE">
        <w:trPr>
          <w:trHeight w:val="777"/>
        </w:trPr>
        <w:tc>
          <w:tcPr>
            <w:tcW w:w="1207" w:type="pct"/>
            <w:tcBorders>
              <w:left w:val="nil"/>
              <w:bottom w:val="single" w:sz="4" w:space="0" w:color="auto"/>
              <w:right w:val="single" w:sz="4" w:space="0" w:color="auto"/>
            </w:tcBorders>
          </w:tcPr>
          <w:p w14:paraId="32358035"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49843BBB"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70F463E6"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6AA96F21"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73</w:t>
            </w:r>
          </w:p>
          <w:p w14:paraId="01193982"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vertAlign w:val="superscript"/>
              </w:rPr>
            </w:pPr>
            <w:r w:rsidRPr="000F7860">
              <w:rPr>
                <w:rFonts w:asciiTheme="minorHAnsi" w:hAnsiTheme="minorHAnsi" w:cstheme="minorHAnsi"/>
                <w:sz w:val="24"/>
                <w:szCs w:val="24"/>
              </w:rPr>
              <w:t>-22.1 (-41.2, -3.0)</w:t>
            </w:r>
          </w:p>
        </w:tc>
        <w:tc>
          <w:tcPr>
            <w:tcW w:w="1379" w:type="pct"/>
            <w:tcBorders>
              <w:top w:val="nil"/>
              <w:left w:val="nil"/>
              <w:bottom w:val="single" w:sz="4" w:space="0" w:color="auto"/>
              <w:right w:val="nil"/>
            </w:tcBorders>
          </w:tcPr>
          <w:p w14:paraId="3FBFCEA6"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264</w:t>
            </w:r>
          </w:p>
          <w:p w14:paraId="3C678668"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-26.5 (-36.2, -16.8)</w:t>
            </w:r>
          </w:p>
          <w:p w14:paraId="6A9C0963"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-4.4 (-25.8, 17.1)</w:t>
            </w:r>
          </w:p>
        </w:tc>
        <w:tc>
          <w:tcPr>
            <w:tcW w:w="1208" w:type="pct"/>
            <w:tcBorders>
              <w:top w:val="nil"/>
              <w:left w:val="nil"/>
              <w:bottom w:val="single" w:sz="4" w:space="0" w:color="auto"/>
              <w:right w:val="nil"/>
            </w:tcBorders>
          </w:tcPr>
          <w:p w14:paraId="7F211159"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285</w:t>
            </w:r>
          </w:p>
          <w:p w14:paraId="32A3833C"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-25.2 (-34.3, -16.2)</w:t>
            </w:r>
          </w:p>
          <w:p w14:paraId="45EE7109"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-3.1 (-24.2, 18.0)</w:t>
            </w:r>
          </w:p>
        </w:tc>
      </w:tr>
      <w:tr w:rsidR="0084028F" w:rsidRPr="000F7860" w14:paraId="3827C346" w14:textId="77777777" w:rsidTr="004E35CE">
        <w:trPr>
          <w:trHeight w:val="321"/>
        </w:trPr>
        <w:tc>
          <w:tcPr>
            <w:tcW w:w="5000" w:type="pct"/>
            <w:gridSpan w:val="4"/>
            <w:tcBorders>
              <w:left w:val="nil"/>
              <w:right w:val="nil"/>
            </w:tcBorders>
          </w:tcPr>
          <w:p w14:paraId="4921FE5B"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Annualized change from baseline in SGRQ total score</w:t>
            </w:r>
            <w:r w:rsidRPr="00340B79">
              <w:rPr>
                <w:rFonts w:asciiTheme="minorHAnsi" w:hAnsiTheme="minorHAnsi" w:cstheme="minorHAnsi"/>
                <w:b/>
                <w:sz w:val="24"/>
                <w:szCs w:val="24"/>
                <w:vertAlign w:val="superscript"/>
              </w:rPr>
              <w:t>*</w:t>
            </w:r>
            <w:r w:rsidRPr="000F7860">
              <w:rPr>
                <w:rFonts w:asciiTheme="minorHAnsi" w:hAnsiTheme="minorHAnsi" w:cstheme="minorHAnsi"/>
                <w:b/>
                <w:sz w:val="24"/>
                <w:szCs w:val="24"/>
                <w:vertAlign w:val="superscript"/>
              </w:rPr>
              <w:t>,‡</w:t>
            </w:r>
          </w:p>
        </w:tc>
      </w:tr>
      <w:tr w:rsidR="0084028F" w:rsidRPr="000F7860" w14:paraId="1C29D530" w14:textId="77777777" w:rsidTr="004E35CE">
        <w:trPr>
          <w:trHeight w:val="777"/>
        </w:trPr>
        <w:tc>
          <w:tcPr>
            <w:tcW w:w="1207" w:type="pct"/>
            <w:tcBorders>
              <w:left w:val="nil"/>
              <w:bottom w:val="single" w:sz="4" w:space="0" w:color="auto"/>
              <w:right w:val="single" w:sz="4" w:space="0" w:color="auto"/>
            </w:tcBorders>
          </w:tcPr>
          <w:p w14:paraId="687B2294"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56EA72E9"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7B474B1A"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79192B5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33</w:t>
            </w:r>
          </w:p>
          <w:p w14:paraId="559F9A7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-0.8 (-4.1, 2.4)</w:t>
            </w:r>
          </w:p>
        </w:tc>
        <w:tc>
          <w:tcPr>
            <w:tcW w:w="1379" w:type="pct"/>
            <w:tcBorders>
              <w:top w:val="nil"/>
              <w:left w:val="nil"/>
              <w:bottom w:val="single" w:sz="4" w:space="0" w:color="auto"/>
              <w:right w:val="nil"/>
            </w:tcBorders>
          </w:tcPr>
          <w:p w14:paraId="66F5B18D"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134</w:t>
            </w:r>
          </w:p>
          <w:p w14:paraId="7AA964C2"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4.5 (2.8, 6.1)</w:t>
            </w:r>
          </w:p>
          <w:p w14:paraId="4F8B4DF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5.3 (1.7, 9.0)</w:t>
            </w:r>
          </w:p>
        </w:tc>
        <w:tc>
          <w:tcPr>
            <w:tcW w:w="1208" w:type="pct"/>
            <w:tcBorders>
              <w:top w:val="nil"/>
              <w:left w:val="nil"/>
              <w:bottom w:val="single" w:sz="4" w:space="0" w:color="auto"/>
              <w:right w:val="nil"/>
            </w:tcBorders>
          </w:tcPr>
          <w:p w14:paraId="2E3A5DA3"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177</w:t>
            </w:r>
          </w:p>
          <w:p w14:paraId="10270172"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2.8 (1.4, 4.1)</w:t>
            </w:r>
          </w:p>
          <w:p w14:paraId="436F33FA"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3.6 (0.0, 7.1)</w:t>
            </w:r>
          </w:p>
        </w:tc>
      </w:tr>
      <w:tr w:rsidR="0084028F" w:rsidRPr="000F7860" w14:paraId="53E9FF2C" w14:textId="77777777" w:rsidTr="004E35CE">
        <w:trPr>
          <w:trHeight w:val="247"/>
        </w:trPr>
        <w:tc>
          <w:tcPr>
            <w:tcW w:w="5000" w:type="pct"/>
            <w:gridSpan w:val="4"/>
            <w:tcBorders>
              <w:left w:val="nil"/>
              <w:right w:val="nil"/>
            </w:tcBorders>
          </w:tcPr>
          <w:p w14:paraId="0BE46456"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 xml:space="preserve">Absolute decline in percent predicted FVC ≥10% or death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bCs/>
                <w:sz w:val="24"/>
                <w:szCs w:val="24"/>
                <w:vertAlign w:val="superscript"/>
              </w:rPr>
              <w:t>§</w:t>
            </w:r>
            <w:r w:rsidRPr="000F7860">
              <w:rPr>
                <w:rFonts w:asciiTheme="minorHAnsi" w:hAnsiTheme="minorHAnsi" w:cstheme="minorHAnsi"/>
                <w:b/>
                <w:sz w:val="24"/>
                <w:szCs w:val="24"/>
                <w:vertAlign w:val="superscript"/>
              </w:rPr>
              <w:t>,</w:t>
            </w:r>
            <w:r w:rsidRPr="000F7860">
              <w:rPr>
                <w:rFonts w:asciiTheme="minorHAnsi" w:hAnsiTheme="minorHAnsi" w:cstheme="minorHAnsi"/>
                <w:b/>
                <w:bCs/>
                <w:sz w:val="24"/>
                <w:szCs w:val="24"/>
                <w:vertAlign w:val="superscript"/>
              </w:rPr>
              <w:t>‖</w:t>
            </w:r>
          </w:p>
        </w:tc>
      </w:tr>
      <w:tr w:rsidR="0084028F" w:rsidRPr="000F7860" w14:paraId="6A70B5A7" w14:textId="77777777" w:rsidTr="004E35CE">
        <w:trPr>
          <w:trHeight w:val="777"/>
        </w:trPr>
        <w:tc>
          <w:tcPr>
            <w:tcW w:w="1207" w:type="pct"/>
            <w:tcBorders>
              <w:left w:val="nil"/>
              <w:bottom w:val="single" w:sz="4" w:space="0" w:color="auto"/>
              <w:right w:val="single" w:sz="4" w:space="0" w:color="auto"/>
            </w:tcBorders>
          </w:tcPr>
          <w:p w14:paraId="52EF2335"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3B269B7F"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5328188C"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4442A2A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73</w:t>
            </w:r>
          </w:p>
          <w:p w14:paraId="4B66BACE"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3.3 (0.7, 14.6)</w:t>
            </w:r>
          </w:p>
        </w:tc>
        <w:tc>
          <w:tcPr>
            <w:tcW w:w="1379" w:type="pct"/>
            <w:tcBorders>
              <w:top w:val="nil"/>
              <w:left w:val="nil"/>
              <w:bottom w:val="single" w:sz="4" w:space="0" w:color="auto"/>
              <w:right w:val="nil"/>
            </w:tcBorders>
          </w:tcPr>
          <w:p w14:paraId="3F195E62"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264</w:t>
            </w:r>
          </w:p>
          <w:p w14:paraId="4B469E82"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5.4 (1.7, 16.3)</w:t>
            </w:r>
          </w:p>
          <w:p w14:paraId="6F3BB0F3"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2.1 (-9.8, 13.3)</w:t>
            </w:r>
          </w:p>
        </w:tc>
        <w:tc>
          <w:tcPr>
            <w:tcW w:w="1208" w:type="pct"/>
            <w:tcBorders>
              <w:top w:val="nil"/>
              <w:left w:val="nil"/>
              <w:bottom w:val="single" w:sz="4" w:space="0" w:color="auto"/>
              <w:right w:val="nil"/>
            </w:tcBorders>
          </w:tcPr>
          <w:p w14:paraId="60003E4E"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285</w:t>
            </w:r>
          </w:p>
          <w:p w14:paraId="0463231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2.9 (0.8, 9.7)</w:t>
            </w:r>
          </w:p>
          <w:p w14:paraId="6A44BF6D"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-0.4 (-11.9, 6.8)</w:t>
            </w:r>
          </w:p>
        </w:tc>
      </w:tr>
      <w:tr w:rsidR="0084028F" w:rsidRPr="000F7860" w14:paraId="6B2A9F6C" w14:textId="77777777" w:rsidTr="004E35CE">
        <w:trPr>
          <w:trHeight w:val="456"/>
        </w:trPr>
        <w:tc>
          <w:tcPr>
            <w:tcW w:w="5000" w:type="pct"/>
            <w:gridSpan w:val="4"/>
            <w:tcBorders>
              <w:top w:val="single" w:sz="4" w:space="0" w:color="auto"/>
              <w:left w:val="nil"/>
              <w:right w:val="nil"/>
            </w:tcBorders>
          </w:tcPr>
          <w:p w14:paraId="00F5A795"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lastRenderedPageBreak/>
              <w:t xml:space="preserve">Relative decline in percent predicted FVC ≥10% or death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bCs/>
                <w:sz w:val="24"/>
                <w:szCs w:val="24"/>
                <w:vertAlign w:val="superscript"/>
              </w:rPr>
              <w:t>§</w:t>
            </w:r>
            <w:r w:rsidRPr="000F7860">
              <w:rPr>
                <w:rFonts w:asciiTheme="minorHAnsi" w:hAnsiTheme="minorHAnsi" w:cstheme="minorHAnsi"/>
                <w:b/>
                <w:sz w:val="24"/>
                <w:szCs w:val="24"/>
                <w:vertAlign w:val="superscript"/>
              </w:rPr>
              <w:t>,</w:t>
            </w:r>
            <w:r w:rsidRPr="000F7860">
              <w:rPr>
                <w:rFonts w:asciiTheme="minorHAnsi" w:hAnsiTheme="minorHAnsi" w:cstheme="minorHAnsi"/>
                <w:b/>
                <w:bCs/>
                <w:sz w:val="24"/>
                <w:szCs w:val="24"/>
                <w:vertAlign w:val="superscript"/>
              </w:rPr>
              <w:t>‖</w:t>
            </w:r>
          </w:p>
        </w:tc>
      </w:tr>
      <w:tr w:rsidR="0084028F" w:rsidRPr="000F7860" w14:paraId="7356E725" w14:textId="77777777" w:rsidTr="004E35CE">
        <w:trPr>
          <w:trHeight w:val="132"/>
        </w:trPr>
        <w:tc>
          <w:tcPr>
            <w:tcW w:w="1207" w:type="pct"/>
            <w:tcBorders>
              <w:left w:val="nil"/>
              <w:bottom w:val="single" w:sz="4" w:space="0" w:color="auto"/>
              <w:right w:val="single" w:sz="4" w:space="0" w:color="auto"/>
            </w:tcBorders>
          </w:tcPr>
          <w:p w14:paraId="5D32D716"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02725F1B"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78B748CD"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2A70D0F2"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73</w:t>
            </w:r>
          </w:p>
          <w:p w14:paraId="450C90AE"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11.9 (4.8, 26.7)</w:t>
            </w:r>
          </w:p>
        </w:tc>
        <w:tc>
          <w:tcPr>
            <w:tcW w:w="1379" w:type="pct"/>
            <w:tcBorders>
              <w:top w:val="nil"/>
              <w:left w:val="nil"/>
              <w:bottom w:val="single" w:sz="4" w:space="0" w:color="auto"/>
              <w:right w:val="nil"/>
            </w:tcBorders>
          </w:tcPr>
          <w:p w14:paraId="0E1748F8"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264</w:t>
            </w:r>
          </w:p>
          <w:p w14:paraId="2E56F8D5"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vertAlign w:val="superscript"/>
              </w:rPr>
            </w:pPr>
            <w:r w:rsidRPr="000F7860">
              <w:rPr>
                <w:rFonts w:asciiTheme="minorHAnsi" w:hAnsiTheme="minorHAnsi" w:cstheme="minorHAnsi"/>
                <w:sz w:val="24"/>
                <w:szCs w:val="24"/>
              </w:rPr>
              <w:t>13.3 (6.9, 24.1)</w:t>
            </w:r>
          </w:p>
          <w:p w14:paraId="5994D9B2"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1.3 (-14.8, 14.3)</w:t>
            </w:r>
          </w:p>
        </w:tc>
        <w:tc>
          <w:tcPr>
            <w:tcW w:w="1208" w:type="pct"/>
            <w:tcBorders>
              <w:top w:val="nil"/>
              <w:left w:val="nil"/>
              <w:bottom w:val="single" w:sz="4" w:space="0" w:color="auto"/>
              <w:right w:val="nil"/>
            </w:tcBorders>
          </w:tcPr>
          <w:p w14:paraId="3E706518"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285</w:t>
            </w:r>
          </w:p>
          <w:p w14:paraId="78E324FA"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7.8 (3.8, 15.5)</w:t>
            </w:r>
          </w:p>
          <w:p w14:paraId="3D0E942A"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-4.1 (-19.4, 6.4)</w:t>
            </w:r>
          </w:p>
        </w:tc>
      </w:tr>
      <w:tr w:rsidR="0084028F" w:rsidRPr="000F7860" w14:paraId="42A94558" w14:textId="77777777" w:rsidTr="004E35CE">
        <w:trPr>
          <w:trHeight w:val="200"/>
        </w:trPr>
        <w:tc>
          <w:tcPr>
            <w:tcW w:w="5000" w:type="pct"/>
            <w:gridSpan w:val="4"/>
            <w:tcBorders>
              <w:left w:val="nil"/>
              <w:bottom w:val="single" w:sz="4" w:space="0" w:color="auto"/>
              <w:right w:val="nil"/>
            </w:tcBorders>
          </w:tcPr>
          <w:p w14:paraId="67EE791D"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 xml:space="preserve">Any all-cause hospitalization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bCs/>
                <w:sz w:val="24"/>
                <w:szCs w:val="24"/>
                <w:vertAlign w:val="superscript"/>
              </w:rPr>
              <w:t>§</w:t>
            </w:r>
          </w:p>
        </w:tc>
      </w:tr>
      <w:tr w:rsidR="0084028F" w:rsidRPr="000F7860" w14:paraId="45CB4D94" w14:textId="77777777" w:rsidTr="004E35CE">
        <w:trPr>
          <w:trHeight w:val="777"/>
        </w:trPr>
        <w:tc>
          <w:tcPr>
            <w:tcW w:w="1207" w:type="pct"/>
            <w:tcBorders>
              <w:left w:val="nil"/>
              <w:bottom w:val="single" w:sz="4" w:space="0" w:color="auto"/>
              <w:right w:val="single" w:sz="4" w:space="0" w:color="auto"/>
            </w:tcBorders>
          </w:tcPr>
          <w:p w14:paraId="72D62BD0"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1D5BCB84"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659B51A8" w14:textId="77777777" w:rsidR="0084028F" w:rsidRPr="000F7860" w:rsidRDefault="0084028F" w:rsidP="004E35CE">
            <w:pPr>
              <w:pStyle w:val="normal0"/>
              <w:spacing w:before="0" w:after="0" w:line="480" w:lineRule="auto"/>
              <w:rPr>
                <w:rFonts w:asciiTheme="minorHAnsi" w:hAnsiTheme="minorHAnsi" w:cstheme="minorHAnsi"/>
                <w:b/>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1298778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73</w:t>
            </w:r>
          </w:p>
          <w:p w14:paraId="7E2EDD58"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12.4 (5.7, 24.8)</w:t>
            </w:r>
          </w:p>
        </w:tc>
        <w:tc>
          <w:tcPr>
            <w:tcW w:w="1379" w:type="pct"/>
            <w:tcBorders>
              <w:top w:val="nil"/>
              <w:left w:val="nil"/>
              <w:bottom w:val="single" w:sz="4" w:space="0" w:color="auto"/>
              <w:right w:val="nil"/>
            </w:tcBorders>
          </w:tcPr>
          <w:p w14:paraId="66EE6E9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264</w:t>
            </w:r>
          </w:p>
          <w:p w14:paraId="6416110A"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14.7 (8.4, 24.5)</w:t>
            </w:r>
          </w:p>
          <w:p w14:paraId="3D98999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2.4 (-11.6, 14.2)</w:t>
            </w:r>
          </w:p>
        </w:tc>
        <w:tc>
          <w:tcPr>
            <w:tcW w:w="1208" w:type="pct"/>
            <w:tcBorders>
              <w:top w:val="nil"/>
              <w:left w:val="nil"/>
              <w:bottom w:val="single" w:sz="4" w:space="0" w:color="auto"/>
              <w:right w:val="nil"/>
            </w:tcBorders>
          </w:tcPr>
          <w:p w14:paraId="2248A0A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285</w:t>
            </w:r>
          </w:p>
          <w:p w14:paraId="5747F0FF"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16.1 (9.4, 26.0)</w:t>
            </w:r>
          </w:p>
          <w:p w14:paraId="7DF547AA"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3.7 (-10.4, 15.7)</w:t>
            </w:r>
          </w:p>
        </w:tc>
      </w:tr>
      <w:tr w:rsidR="0084028F" w:rsidRPr="000F7860" w14:paraId="7F88A130" w14:textId="77777777" w:rsidTr="004E35CE">
        <w:trPr>
          <w:trHeight w:val="193"/>
        </w:trPr>
        <w:tc>
          <w:tcPr>
            <w:tcW w:w="5000" w:type="pct"/>
            <w:gridSpan w:val="4"/>
            <w:tcBorders>
              <w:left w:val="nil"/>
              <w:bottom w:val="single" w:sz="4" w:space="0" w:color="auto"/>
              <w:right w:val="nil"/>
            </w:tcBorders>
          </w:tcPr>
          <w:p w14:paraId="236BF452"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 xml:space="preserve">All-cause mortality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bCs/>
                <w:sz w:val="24"/>
                <w:szCs w:val="24"/>
                <w:vertAlign w:val="superscript"/>
              </w:rPr>
              <w:t>§</w:t>
            </w:r>
          </w:p>
        </w:tc>
      </w:tr>
      <w:tr w:rsidR="0084028F" w:rsidRPr="000F7860" w14:paraId="08DEFC2E" w14:textId="77777777" w:rsidTr="004E35CE">
        <w:trPr>
          <w:trHeight w:val="777"/>
        </w:trPr>
        <w:tc>
          <w:tcPr>
            <w:tcW w:w="1207" w:type="pct"/>
            <w:tcBorders>
              <w:left w:val="nil"/>
              <w:bottom w:val="single" w:sz="4" w:space="0" w:color="auto"/>
              <w:right w:val="single" w:sz="4" w:space="0" w:color="auto"/>
            </w:tcBorders>
          </w:tcPr>
          <w:p w14:paraId="379C9F81"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0E9FF574"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29981199" w14:textId="77777777" w:rsidR="0084028F" w:rsidRPr="000F7860" w:rsidRDefault="0084028F" w:rsidP="004E35CE">
            <w:pPr>
              <w:pStyle w:val="normal0"/>
              <w:spacing w:before="0" w:after="0" w:line="480" w:lineRule="auto"/>
              <w:rPr>
                <w:rFonts w:asciiTheme="minorHAnsi" w:hAnsiTheme="minorHAnsi" w:cstheme="minorHAnsi"/>
                <w:b/>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49E7E5BC"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73</w:t>
            </w:r>
          </w:p>
          <w:p w14:paraId="60653E41"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1.9 (0.3, 11.8)</w:t>
            </w:r>
          </w:p>
        </w:tc>
        <w:tc>
          <w:tcPr>
            <w:tcW w:w="1379" w:type="pct"/>
            <w:tcBorders>
              <w:top w:val="nil"/>
              <w:left w:val="nil"/>
              <w:bottom w:val="single" w:sz="4" w:space="0" w:color="auto"/>
              <w:right w:val="nil"/>
            </w:tcBorders>
          </w:tcPr>
          <w:p w14:paraId="27121F1A"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264</w:t>
            </w:r>
          </w:p>
          <w:p w14:paraId="7D3FF9F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2.9 (0.7, 11.9)</w:t>
            </w:r>
          </w:p>
          <w:p w14:paraId="1A656A8D"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1.1 (-9.1, 10.2)</w:t>
            </w:r>
          </w:p>
        </w:tc>
        <w:tc>
          <w:tcPr>
            <w:tcW w:w="1208" w:type="pct"/>
            <w:tcBorders>
              <w:top w:val="nil"/>
              <w:left w:val="nil"/>
              <w:bottom w:val="single" w:sz="4" w:space="0" w:color="auto"/>
              <w:right w:val="nil"/>
            </w:tcBorders>
          </w:tcPr>
          <w:p w14:paraId="3FB5536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285</w:t>
            </w:r>
          </w:p>
          <w:p w14:paraId="2A4D686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1.3 (0.3, 6.3)</w:t>
            </w:r>
          </w:p>
          <w:p w14:paraId="76AA9339"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-0.5 (-10.5, 4.7)</w:t>
            </w:r>
          </w:p>
        </w:tc>
      </w:tr>
      <w:tr w:rsidR="0084028F" w:rsidRPr="000F7860" w14:paraId="72FF2CD5" w14:textId="77777777" w:rsidTr="004E35CE">
        <w:trPr>
          <w:trHeight w:val="328"/>
        </w:trPr>
        <w:tc>
          <w:tcPr>
            <w:tcW w:w="5000" w:type="pct"/>
            <w:gridSpan w:val="4"/>
            <w:tcBorders>
              <w:left w:val="nil"/>
              <w:bottom w:val="single" w:sz="4" w:space="0" w:color="auto"/>
              <w:right w:val="nil"/>
            </w:tcBorders>
          </w:tcPr>
          <w:p w14:paraId="6D7D1799"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lastRenderedPageBreak/>
              <w:t xml:space="preserve">Any treatment-emergent SAEs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bCs/>
                <w:sz w:val="24"/>
                <w:szCs w:val="24"/>
                <w:vertAlign w:val="superscript"/>
              </w:rPr>
              <w:t>§</w:t>
            </w:r>
          </w:p>
        </w:tc>
      </w:tr>
      <w:tr w:rsidR="0084028F" w:rsidRPr="000F7860" w14:paraId="6DFB0B90" w14:textId="77777777" w:rsidTr="004E35CE">
        <w:trPr>
          <w:trHeight w:val="777"/>
        </w:trPr>
        <w:tc>
          <w:tcPr>
            <w:tcW w:w="1207" w:type="pct"/>
            <w:tcBorders>
              <w:left w:val="nil"/>
              <w:bottom w:val="single" w:sz="4" w:space="0" w:color="auto"/>
              <w:right w:val="single" w:sz="4" w:space="0" w:color="auto"/>
            </w:tcBorders>
          </w:tcPr>
          <w:p w14:paraId="4267E914"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27658E4A"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7E10878B" w14:textId="77777777" w:rsidR="0084028F" w:rsidRPr="000F7860" w:rsidRDefault="0084028F" w:rsidP="004E35CE">
            <w:pPr>
              <w:pStyle w:val="normal0"/>
              <w:keepNext/>
              <w:spacing w:before="0" w:after="0" w:line="480" w:lineRule="auto"/>
              <w:rPr>
                <w:rFonts w:asciiTheme="minorHAnsi" w:hAnsiTheme="minorHAnsi" w:cstheme="minorHAnsi"/>
                <w:b/>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5B2CD774"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73</w:t>
            </w:r>
          </w:p>
          <w:p w14:paraId="62527600"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18.3 (9.5, 32.4)</w:t>
            </w:r>
          </w:p>
        </w:tc>
        <w:tc>
          <w:tcPr>
            <w:tcW w:w="1379" w:type="pct"/>
            <w:tcBorders>
              <w:top w:val="nil"/>
              <w:left w:val="nil"/>
              <w:bottom w:val="single" w:sz="4" w:space="0" w:color="auto"/>
              <w:right w:val="nil"/>
            </w:tcBorders>
          </w:tcPr>
          <w:p w14:paraId="1085B751"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264</w:t>
            </w:r>
          </w:p>
          <w:p w14:paraId="74D665AE"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18.0 (10.9, 28.3)</w:t>
            </w:r>
          </w:p>
          <w:p w14:paraId="6007BA72"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-0.3 (-16.1, 13.2)</w:t>
            </w:r>
          </w:p>
        </w:tc>
        <w:tc>
          <w:tcPr>
            <w:tcW w:w="1208" w:type="pct"/>
            <w:tcBorders>
              <w:top w:val="nil"/>
              <w:left w:val="nil"/>
              <w:bottom w:val="single" w:sz="4" w:space="0" w:color="auto"/>
              <w:right w:val="nil"/>
            </w:tcBorders>
          </w:tcPr>
          <w:p w14:paraId="23889988"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285</w:t>
            </w:r>
          </w:p>
          <w:p w14:paraId="4A76C262"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18.7 (11.5, 28.8)</w:t>
            </w:r>
          </w:p>
          <w:p w14:paraId="490C0A7C"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0.3 (-15.4, 13.8)</w:t>
            </w:r>
          </w:p>
        </w:tc>
      </w:tr>
    </w:tbl>
    <w:p w14:paraId="52F78F51" w14:textId="77777777" w:rsidR="0084028F" w:rsidRPr="000F7860" w:rsidRDefault="0084028F" w:rsidP="0084028F">
      <w:pPr>
        <w:spacing w:before="120"/>
        <w:rPr>
          <w:rFonts w:cstheme="minorHAnsi"/>
          <w:b/>
          <w:sz w:val="24"/>
          <w:szCs w:val="24"/>
        </w:rPr>
      </w:pPr>
      <w:r w:rsidRPr="00340B79">
        <w:rPr>
          <w:rFonts w:cstheme="minorHAnsi"/>
          <w:sz w:val="24"/>
          <w:szCs w:val="24"/>
          <w:vertAlign w:val="superscript"/>
        </w:rPr>
        <w:t>*</w:t>
      </w:r>
      <w:r w:rsidRPr="000F7860">
        <w:rPr>
          <w:rFonts w:cstheme="minorHAnsi"/>
          <w:sz w:val="24"/>
          <w:szCs w:val="24"/>
        </w:rPr>
        <w:t xml:space="preserve">Estimates (95% CI) based on repeated-measures analysis of covariance with study, age, sex, race, baseline HRCT status, years since IPF diagnosis, baseline oxygen use, baseline smoking status, baseline BMI category, time, and baseline BMI category*time as fixed-effect covariates, with random intercept and random slope for time for each patient. </w:t>
      </w:r>
      <w:r w:rsidRPr="000F7860">
        <w:rPr>
          <w:rFonts w:cstheme="minorHAnsi"/>
          <w:sz w:val="24"/>
          <w:szCs w:val="24"/>
          <w:vertAlign w:val="superscript"/>
        </w:rPr>
        <w:t>†</w:t>
      </w:r>
      <w:r w:rsidRPr="000F7860">
        <w:rPr>
          <w:rFonts w:cstheme="minorHAnsi"/>
          <w:sz w:val="24"/>
          <w:szCs w:val="24"/>
        </w:rPr>
        <w:t xml:space="preserve">Estimated difference from first category. </w:t>
      </w:r>
      <w:r w:rsidRPr="000F7860">
        <w:rPr>
          <w:rFonts w:cstheme="minorHAnsi"/>
          <w:sz w:val="24"/>
          <w:szCs w:val="24"/>
          <w:vertAlign w:val="superscript"/>
        </w:rPr>
        <w:t>‡</w:t>
      </w:r>
      <w:r w:rsidRPr="000F7860">
        <w:rPr>
          <w:rFonts w:cstheme="minorHAnsi"/>
          <w:sz w:val="24"/>
          <w:szCs w:val="24"/>
        </w:rPr>
        <w:t xml:space="preserve">Excludes ASCEND study. </w:t>
      </w:r>
      <w:r w:rsidRPr="000F7860">
        <w:rPr>
          <w:rFonts w:cstheme="minorHAnsi"/>
          <w:sz w:val="24"/>
          <w:szCs w:val="24"/>
          <w:vertAlign w:val="superscript"/>
        </w:rPr>
        <w:t>§</w:t>
      </w:r>
      <w:r w:rsidRPr="000F7860">
        <w:rPr>
          <w:rFonts w:cstheme="minorHAnsi"/>
          <w:sz w:val="24"/>
          <w:szCs w:val="24"/>
        </w:rPr>
        <w:t xml:space="preserve">Estimates (95% CI) based on logistic regression with study, age, sex, race, baseline HRCT status, years since IPF diagnosis, baseline oxygen use, baseline smoking status, and baseline BMI category as model factors. </w:t>
      </w:r>
      <w:r w:rsidRPr="000F7860">
        <w:rPr>
          <w:rFonts w:cstheme="minorHAnsi"/>
          <w:sz w:val="24"/>
          <w:szCs w:val="24"/>
          <w:vertAlign w:val="superscript"/>
        </w:rPr>
        <w:t>‖</w:t>
      </w:r>
      <w:r w:rsidRPr="000F7860">
        <w:rPr>
          <w:rFonts w:cstheme="minorHAnsi"/>
          <w:sz w:val="24"/>
          <w:szCs w:val="24"/>
        </w:rPr>
        <w:t>Endpoint was derived from estimated annual change in percent predicted FVC for each patient based on a simple random slopes and intercepts model.</w:t>
      </w:r>
      <w:r w:rsidRPr="000F7860">
        <w:rPr>
          <w:rFonts w:cstheme="minorHAnsi"/>
          <w:iCs/>
          <w:sz w:val="24"/>
          <w:szCs w:val="24"/>
        </w:rPr>
        <w:t xml:space="preserve"> </w:t>
      </w:r>
      <w:r w:rsidRPr="000F7860">
        <w:rPr>
          <w:rFonts w:cstheme="minorHAnsi"/>
          <w:sz w:val="24"/>
          <w:szCs w:val="24"/>
        </w:rPr>
        <w:t>6MWD, 6-min walk distance; BMI, body mass index; CI, confidence interval; DLco, carbon monoxide diffusing capacity; FVC, forced vital capacity; HRCT, high-resolution computed tomography; IPF, idiopathic pulmonary fibrosis; SAE, serious adverse event; SGRQ, St. George’s Respiratory Questionnaire.</w:t>
      </w:r>
      <w:bookmarkEnd w:id="1"/>
      <w:r w:rsidRPr="000F7860">
        <w:rPr>
          <w:rFonts w:cstheme="minorHAnsi"/>
          <w:b/>
          <w:sz w:val="24"/>
          <w:szCs w:val="24"/>
        </w:rPr>
        <w:br w:type="page"/>
      </w:r>
    </w:p>
    <w:p w14:paraId="7E4207F0" w14:textId="77777777" w:rsidR="0084028F" w:rsidRPr="000F7860" w:rsidRDefault="0084028F" w:rsidP="0084028F">
      <w:pPr>
        <w:spacing w:after="240"/>
        <w:rPr>
          <w:rFonts w:cstheme="minorHAnsi"/>
          <w:sz w:val="24"/>
          <w:szCs w:val="24"/>
        </w:rPr>
      </w:pPr>
      <w:r w:rsidRPr="000F7860">
        <w:rPr>
          <w:rFonts w:cstheme="minorHAnsi"/>
          <w:b/>
          <w:sz w:val="24"/>
          <w:szCs w:val="24"/>
        </w:rPr>
        <w:lastRenderedPageBreak/>
        <w:t xml:space="preserve">Table E4. </w:t>
      </w:r>
      <w:r w:rsidRPr="000F7860">
        <w:rPr>
          <w:rFonts w:cstheme="minorHAnsi"/>
          <w:sz w:val="24"/>
          <w:szCs w:val="24"/>
        </w:rPr>
        <w:t>Clinical outcomes at 1 year stratified by annualized percent change in body weight</w:t>
      </w:r>
      <w:r w:rsidRPr="000F7860">
        <w:rPr>
          <w:rFonts w:cstheme="minorHAnsi"/>
          <w:b/>
          <w:sz w:val="24"/>
          <w:szCs w:val="24"/>
        </w:rPr>
        <w:t xml:space="preserve"> </w:t>
      </w:r>
      <w:r w:rsidRPr="000F7860">
        <w:rPr>
          <w:rFonts w:cstheme="minorHAnsi"/>
          <w:sz w:val="24"/>
          <w:szCs w:val="24"/>
        </w:rPr>
        <w:t xml:space="preserve">in patients from the pirfenidone arms of ASCEND and </w:t>
      </w:r>
      <w:proofErr w:type="gramStart"/>
      <w:r w:rsidRPr="000F7860">
        <w:rPr>
          <w:rFonts w:cstheme="minorHAnsi"/>
          <w:sz w:val="24"/>
          <w:szCs w:val="24"/>
        </w:rPr>
        <w:t>CAPACITY</w:t>
      </w:r>
      <w:proofErr w:type="gramEnd"/>
    </w:p>
    <w:tbl>
      <w:tblPr>
        <w:tblStyle w:val="TableGrid"/>
        <w:tblW w:w="4843" w:type="pct"/>
        <w:tblLook w:val="04A0" w:firstRow="1" w:lastRow="0" w:firstColumn="1" w:lastColumn="0" w:noHBand="0" w:noVBand="1"/>
      </w:tblPr>
      <w:tblGrid>
        <w:gridCol w:w="3307"/>
        <w:gridCol w:w="3305"/>
        <w:gridCol w:w="3779"/>
        <w:gridCol w:w="3310"/>
      </w:tblGrid>
      <w:tr w:rsidR="0084028F" w:rsidRPr="000F7860" w14:paraId="1B70CCBF" w14:textId="77777777" w:rsidTr="004E35CE">
        <w:trPr>
          <w:trHeight w:val="401"/>
        </w:trPr>
        <w:tc>
          <w:tcPr>
            <w:tcW w:w="1207" w:type="pct"/>
            <w:tcBorders>
              <w:left w:val="nil"/>
              <w:bottom w:val="nil"/>
            </w:tcBorders>
          </w:tcPr>
          <w:p w14:paraId="46378982" w14:textId="77777777" w:rsidR="0084028F" w:rsidRPr="000F7860" w:rsidRDefault="0084028F" w:rsidP="004E35CE">
            <w:pPr>
              <w:pStyle w:val="normal0"/>
              <w:spacing w:before="0" w:after="0" w:line="480" w:lineRule="auto"/>
              <w:rPr>
                <w:rFonts w:asciiTheme="minorHAnsi" w:hAnsiTheme="minorHAnsi" w:cstheme="minorHAnsi"/>
                <w:b/>
                <w:sz w:val="24"/>
                <w:szCs w:val="24"/>
              </w:rPr>
            </w:pPr>
          </w:p>
        </w:tc>
        <w:tc>
          <w:tcPr>
            <w:tcW w:w="3793" w:type="pct"/>
            <w:gridSpan w:val="3"/>
            <w:tcBorders>
              <w:bottom w:val="single" w:sz="4" w:space="0" w:color="auto"/>
              <w:right w:val="nil"/>
            </w:tcBorders>
          </w:tcPr>
          <w:p w14:paraId="5BA31BDD"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sz w:val="24"/>
                <w:szCs w:val="24"/>
              </w:rPr>
              <w:t>Annualized percent change in body weight</w:t>
            </w:r>
          </w:p>
        </w:tc>
      </w:tr>
      <w:tr w:rsidR="0084028F" w:rsidRPr="000F7860" w14:paraId="15525277" w14:textId="77777777" w:rsidTr="004E35CE">
        <w:trPr>
          <w:trHeight w:val="807"/>
        </w:trPr>
        <w:tc>
          <w:tcPr>
            <w:tcW w:w="1207" w:type="pct"/>
            <w:tcBorders>
              <w:top w:val="nil"/>
              <w:left w:val="nil"/>
              <w:bottom w:val="single" w:sz="4" w:space="0" w:color="auto"/>
              <w:right w:val="single" w:sz="4" w:space="0" w:color="auto"/>
            </w:tcBorders>
          </w:tcPr>
          <w:p w14:paraId="516B7E99" w14:textId="77777777" w:rsidR="0084028F" w:rsidRPr="000F7860" w:rsidRDefault="0084028F" w:rsidP="004E35CE">
            <w:pPr>
              <w:pStyle w:val="normal0"/>
              <w:spacing w:before="0" w:after="0" w:line="480" w:lineRule="auto"/>
              <w:rPr>
                <w:rFonts w:asciiTheme="minorHAnsi" w:hAnsiTheme="minorHAnsi" w:cstheme="minorHAnsi"/>
                <w:b/>
                <w:sz w:val="24"/>
                <w:szCs w:val="24"/>
              </w:rPr>
            </w:pPr>
            <w:r w:rsidRPr="000F7860">
              <w:rPr>
                <w:rFonts w:asciiTheme="minorHAnsi" w:hAnsiTheme="minorHAnsi" w:cstheme="minorHAnsi"/>
                <w:b/>
                <w:sz w:val="24"/>
                <w:szCs w:val="24"/>
              </w:rPr>
              <w:t>Outcome</w:t>
            </w:r>
          </w:p>
        </w:tc>
        <w:tc>
          <w:tcPr>
            <w:tcW w:w="1206" w:type="pct"/>
            <w:tcBorders>
              <w:top w:val="single" w:sz="4" w:space="0" w:color="auto"/>
              <w:left w:val="single" w:sz="4" w:space="0" w:color="auto"/>
              <w:bottom w:val="single" w:sz="4" w:space="0" w:color="auto"/>
              <w:right w:val="nil"/>
            </w:tcBorders>
          </w:tcPr>
          <w:p w14:paraId="23E48ACD"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sz w:val="24"/>
                <w:szCs w:val="24"/>
              </w:rPr>
              <w:t>No weight loss</w:t>
            </w:r>
          </w:p>
          <w:p w14:paraId="11AD9E70"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i/>
                <w:sz w:val="24"/>
                <w:szCs w:val="24"/>
              </w:rPr>
              <w:t>n</w:t>
            </w:r>
            <w:r w:rsidRPr="000F7860">
              <w:rPr>
                <w:rFonts w:asciiTheme="minorHAnsi" w:hAnsiTheme="minorHAnsi" w:cstheme="minorHAnsi"/>
                <w:b/>
                <w:sz w:val="24"/>
                <w:szCs w:val="24"/>
              </w:rPr>
              <w:t xml:space="preserve"> = 374</w:t>
            </w:r>
          </w:p>
        </w:tc>
        <w:tc>
          <w:tcPr>
            <w:tcW w:w="1379" w:type="pct"/>
            <w:tcBorders>
              <w:top w:val="single" w:sz="4" w:space="0" w:color="auto"/>
              <w:left w:val="nil"/>
              <w:bottom w:val="single" w:sz="4" w:space="0" w:color="auto"/>
              <w:right w:val="nil"/>
            </w:tcBorders>
          </w:tcPr>
          <w:p w14:paraId="4CA3D87F"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sz w:val="24"/>
                <w:szCs w:val="24"/>
              </w:rPr>
              <w:t>&gt;0–&lt;5% loss</w:t>
            </w:r>
          </w:p>
          <w:p w14:paraId="44B5679D"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i/>
                <w:sz w:val="24"/>
                <w:szCs w:val="24"/>
              </w:rPr>
              <w:t>n</w:t>
            </w:r>
            <w:r w:rsidRPr="000F7860">
              <w:rPr>
                <w:rFonts w:asciiTheme="minorHAnsi" w:hAnsiTheme="minorHAnsi" w:cstheme="minorHAnsi"/>
                <w:b/>
                <w:sz w:val="24"/>
                <w:szCs w:val="24"/>
              </w:rPr>
              <w:t xml:space="preserve"> = 165</w:t>
            </w:r>
          </w:p>
        </w:tc>
        <w:tc>
          <w:tcPr>
            <w:tcW w:w="1208" w:type="pct"/>
            <w:tcBorders>
              <w:top w:val="single" w:sz="4" w:space="0" w:color="auto"/>
              <w:left w:val="nil"/>
              <w:bottom w:val="single" w:sz="4" w:space="0" w:color="auto"/>
              <w:right w:val="nil"/>
            </w:tcBorders>
          </w:tcPr>
          <w:p w14:paraId="7E54C5F4"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sz w:val="24"/>
                <w:szCs w:val="24"/>
              </w:rPr>
              <w:t>≥5% loss</w:t>
            </w:r>
          </w:p>
          <w:p w14:paraId="153B0C44" w14:textId="77777777" w:rsidR="0084028F" w:rsidRPr="000F7860" w:rsidRDefault="0084028F" w:rsidP="004E35CE">
            <w:pPr>
              <w:pStyle w:val="normal0"/>
              <w:spacing w:before="0" w:after="0" w:line="480" w:lineRule="auto"/>
              <w:jc w:val="center"/>
              <w:rPr>
                <w:rFonts w:asciiTheme="minorHAnsi" w:hAnsiTheme="minorHAnsi" w:cstheme="minorHAnsi"/>
                <w:b/>
                <w:sz w:val="24"/>
                <w:szCs w:val="24"/>
              </w:rPr>
            </w:pPr>
            <w:r w:rsidRPr="000F7860">
              <w:rPr>
                <w:rFonts w:asciiTheme="minorHAnsi" w:hAnsiTheme="minorHAnsi" w:cstheme="minorHAnsi"/>
                <w:b/>
                <w:i/>
                <w:sz w:val="24"/>
                <w:szCs w:val="24"/>
              </w:rPr>
              <w:t>n</w:t>
            </w:r>
            <w:r w:rsidRPr="000F7860">
              <w:rPr>
                <w:rFonts w:asciiTheme="minorHAnsi" w:hAnsiTheme="minorHAnsi" w:cstheme="minorHAnsi"/>
                <w:b/>
                <w:sz w:val="24"/>
                <w:szCs w:val="24"/>
              </w:rPr>
              <w:t xml:space="preserve"> = 84</w:t>
            </w:r>
          </w:p>
        </w:tc>
      </w:tr>
      <w:tr w:rsidR="0084028F" w:rsidRPr="000F7860" w14:paraId="3039D450" w14:textId="77777777" w:rsidTr="004E35CE">
        <w:trPr>
          <w:trHeight w:val="401"/>
        </w:trPr>
        <w:tc>
          <w:tcPr>
            <w:tcW w:w="5000" w:type="pct"/>
            <w:gridSpan w:val="4"/>
            <w:tcBorders>
              <w:left w:val="nil"/>
              <w:bottom w:val="single" w:sz="4" w:space="0" w:color="auto"/>
              <w:right w:val="nil"/>
            </w:tcBorders>
          </w:tcPr>
          <w:p w14:paraId="123256D5" w14:textId="77777777" w:rsidR="0084028F" w:rsidRPr="000F7860" w:rsidRDefault="0084028F" w:rsidP="004E35CE">
            <w:pPr>
              <w:pStyle w:val="normal0"/>
              <w:spacing w:before="0" w:after="0" w:line="480" w:lineRule="auto"/>
              <w:rPr>
                <w:rFonts w:asciiTheme="minorHAnsi" w:hAnsiTheme="minorHAnsi" w:cstheme="minorHAnsi"/>
                <w:b/>
                <w:sz w:val="24"/>
                <w:szCs w:val="24"/>
              </w:rPr>
            </w:pPr>
            <w:r w:rsidRPr="000F7860">
              <w:rPr>
                <w:rFonts w:asciiTheme="minorHAnsi" w:hAnsiTheme="minorHAnsi" w:cstheme="minorHAnsi"/>
                <w:b/>
                <w:sz w:val="24"/>
                <w:szCs w:val="24"/>
              </w:rPr>
              <w:t>Annualized change from baseline in percent predicted FVC, %</w:t>
            </w:r>
            <w:r w:rsidRPr="00340B79">
              <w:rPr>
                <w:rFonts w:asciiTheme="minorHAnsi" w:hAnsiTheme="minorHAnsi" w:cstheme="minorHAnsi"/>
                <w:b/>
                <w:sz w:val="24"/>
                <w:szCs w:val="24"/>
                <w:vertAlign w:val="superscript"/>
              </w:rPr>
              <w:t>*</w:t>
            </w:r>
          </w:p>
        </w:tc>
      </w:tr>
      <w:tr w:rsidR="0084028F" w:rsidRPr="000F7860" w14:paraId="27B03F90" w14:textId="77777777" w:rsidTr="004E35CE">
        <w:trPr>
          <w:trHeight w:val="777"/>
        </w:trPr>
        <w:tc>
          <w:tcPr>
            <w:tcW w:w="1207" w:type="pct"/>
            <w:tcBorders>
              <w:top w:val="single" w:sz="4" w:space="0" w:color="auto"/>
              <w:left w:val="nil"/>
              <w:bottom w:val="single" w:sz="4" w:space="0" w:color="auto"/>
              <w:right w:val="single" w:sz="4" w:space="0" w:color="auto"/>
            </w:tcBorders>
          </w:tcPr>
          <w:p w14:paraId="3592DDF9"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5E5A7C49"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505EECC3"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single" w:sz="4" w:space="0" w:color="auto"/>
              <w:left w:val="single" w:sz="4" w:space="0" w:color="auto"/>
              <w:bottom w:val="single" w:sz="4" w:space="0" w:color="auto"/>
              <w:right w:val="nil"/>
            </w:tcBorders>
          </w:tcPr>
          <w:p w14:paraId="64ADD26C"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373</w:t>
            </w:r>
          </w:p>
          <w:p w14:paraId="7B6E746A" w14:textId="77777777" w:rsidR="0084028F" w:rsidRPr="000F7860" w:rsidRDefault="0084028F" w:rsidP="004E35CE">
            <w:pPr>
              <w:pStyle w:val="normal0"/>
              <w:spacing w:before="0" w:after="0" w:line="480" w:lineRule="auto"/>
              <w:jc w:val="center"/>
              <w:rPr>
                <w:rFonts w:asciiTheme="minorHAnsi" w:hAnsiTheme="minorHAnsi" w:cstheme="minorHAnsi"/>
                <w:sz w:val="24"/>
                <w:szCs w:val="24"/>
                <w:vertAlign w:val="superscript"/>
              </w:rPr>
            </w:pPr>
            <w:r w:rsidRPr="000F7860">
              <w:rPr>
                <w:rFonts w:asciiTheme="minorHAnsi" w:hAnsiTheme="minorHAnsi" w:cstheme="minorHAnsi"/>
                <w:sz w:val="24"/>
                <w:szCs w:val="24"/>
              </w:rPr>
              <w:t>-3.5 (-4.0, -2.9)</w:t>
            </w:r>
            <w:r w:rsidRPr="000F7860">
              <w:rPr>
                <w:rFonts w:asciiTheme="minorHAnsi" w:hAnsiTheme="minorHAnsi" w:cstheme="minorHAnsi"/>
                <w:sz w:val="24"/>
                <w:szCs w:val="24"/>
                <w:vertAlign w:val="superscript"/>
              </w:rPr>
              <w:t>‡</w:t>
            </w:r>
          </w:p>
          <w:p w14:paraId="5774F806"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p>
        </w:tc>
        <w:tc>
          <w:tcPr>
            <w:tcW w:w="1379" w:type="pct"/>
            <w:tcBorders>
              <w:top w:val="single" w:sz="4" w:space="0" w:color="auto"/>
              <w:left w:val="nil"/>
              <w:bottom w:val="single" w:sz="4" w:space="0" w:color="auto"/>
              <w:right w:val="nil"/>
            </w:tcBorders>
          </w:tcPr>
          <w:p w14:paraId="3D5BDF36"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165</w:t>
            </w:r>
          </w:p>
          <w:p w14:paraId="088EFD1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-4.1 (-5.0, -3.2)</w:t>
            </w:r>
          </w:p>
          <w:p w14:paraId="708F8F4D"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-0.6 (-1.7, 0.4)</w:t>
            </w:r>
          </w:p>
        </w:tc>
        <w:tc>
          <w:tcPr>
            <w:tcW w:w="1208" w:type="pct"/>
            <w:tcBorders>
              <w:top w:val="single" w:sz="4" w:space="0" w:color="auto"/>
              <w:left w:val="nil"/>
              <w:bottom w:val="single" w:sz="4" w:space="0" w:color="auto"/>
              <w:right w:val="nil"/>
            </w:tcBorders>
          </w:tcPr>
          <w:p w14:paraId="4E796F2A"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84</w:t>
            </w:r>
          </w:p>
          <w:p w14:paraId="23AA7135"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-6.8 (-8.1, -5.5)</w:t>
            </w:r>
          </w:p>
          <w:p w14:paraId="5CC5B4A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-3.4 (-4.8, -1.9)</w:t>
            </w:r>
          </w:p>
        </w:tc>
      </w:tr>
      <w:tr w:rsidR="0084028F" w:rsidRPr="000F7860" w14:paraId="5AA50429" w14:textId="77777777" w:rsidTr="004E35CE">
        <w:trPr>
          <w:trHeight w:val="401"/>
        </w:trPr>
        <w:tc>
          <w:tcPr>
            <w:tcW w:w="5000" w:type="pct"/>
            <w:gridSpan w:val="4"/>
            <w:tcBorders>
              <w:left w:val="nil"/>
              <w:right w:val="nil"/>
            </w:tcBorders>
          </w:tcPr>
          <w:p w14:paraId="2F83496F" w14:textId="77777777" w:rsidR="0084028F" w:rsidRPr="000F7860" w:rsidRDefault="0084028F" w:rsidP="004E35CE">
            <w:pPr>
              <w:pStyle w:val="normal0"/>
              <w:spacing w:before="0" w:after="0" w:line="480" w:lineRule="auto"/>
              <w:rPr>
                <w:rFonts w:asciiTheme="minorHAnsi" w:hAnsiTheme="minorHAnsi" w:cstheme="minorHAnsi"/>
                <w:b/>
                <w:sz w:val="24"/>
                <w:szCs w:val="24"/>
              </w:rPr>
            </w:pPr>
            <w:r w:rsidRPr="000F7860">
              <w:rPr>
                <w:rFonts w:asciiTheme="minorHAnsi" w:hAnsiTheme="minorHAnsi" w:cstheme="minorHAnsi"/>
                <w:b/>
                <w:sz w:val="24"/>
                <w:szCs w:val="24"/>
              </w:rPr>
              <w:t>Annualized change from baseline in percent predicted DLco, %</w:t>
            </w:r>
            <w:r w:rsidRPr="00340B79">
              <w:rPr>
                <w:rFonts w:asciiTheme="minorHAnsi" w:hAnsiTheme="minorHAnsi" w:cstheme="minorHAnsi"/>
                <w:b/>
                <w:sz w:val="24"/>
                <w:szCs w:val="24"/>
                <w:vertAlign w:val="superscript"/>
              </w:rPr>
              <w:t>*</w:t>
            </w:r>
            <w:r w:rsidRPr="000F7860">
              <w:rPr>
                <w:rFonts w:asciiTheme="minorHAnsi" w:hAnsiTheme="minorHAnsi" w:cstheme="minorHAnsi"/>
                <w:b/>
                <w:sz w:val="24"/>
                <w:szCs w:val="24"/>
                <w:vertAlign w:val="superscript"/>
              </w:rPr>
              <w:t>, ‡</w:t>
            </w:r>
          </w:p>
        </w:tc>
      </w:tr>
      <w:tr w:rsidR="0084028F" w:rsidRPr="000F7860" w14:paraId="250106E8" w14:textId="77777777" w:rsidTr="004E35CE">
        <w:trPr>
          <w:trHeight w:val="777"/>
        </w:trPr>
        <w:tc>
          <w:tcPr>
            <w:tcW w:w="1207" w:type="pct"/>
            <w:tcBorders>
              <w:left w:val="nil"/>
              <w:bottom w:val="single" w:sz="4" w:space="0" w:color="auto"/>
              <w:right w:val="single" w:sz="4" w:space="0" w:color="auto"/>
            </w:tcBorders>
          </w:tcPr>
          <w:p w14:paraId="079D74C3"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3E95047A"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75D99987"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37E3CEBF"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223</w:t>
            </w:r>
          </w:p>
          <w:p w14:paraId="397F5539"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-4.6 (-5.2, -3.9)</w:t>
            </w:r>
          </w:p>
        </w:tc>
        <w:tc>
          <w:tcPr>
            <w:tcW w:w="1379" w:type="pct"/>
            <w:tcBorders>
              <w:top w:val="nil"/>
              <w:left w:val="nil"/>
              <w:bottom w:val="single" w:sz="4" w:space="0" w:color="auto"/>
              <w:right w:val="nil"/>
            </w:tcBorders>
          </w:tcPr>
          <w:p w14:paraId="64F52B65"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89</w:t>
            </w:r>
          </w:p>
          <w:p w14:paraId="2C8EAAA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-5.6 (-6.7, -4.4)</w:t>
            </w:r>
          </w:p>
          <w:p w14:paraId="783627F3"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-1.0 (-2.4, 0.3)</w:t>
            </w:r>
          </w:p>
        </w:tc>
        <w:tc>
          <w:tcPr>
            <w:tcW w:w="1208" w:type="pct"/>
            <w:tcBorders>
              <w:top w:val="nil"/>
              <w:left w:val="nil"/>
              <w:bottom w:val="single" w:sz="4" w:space="0" w:color="auto"/>
              <w:right w:val="nil"/>
            </w:tcBorders>
          </w:tcPr>
          <w:p w14:paraId="50A7A091"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32</w:t>
            </w:r>
          </w:p>
          <w:p w14:paraId="49C7CE4A"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-9.1 (-11.1, -7.1)</w:t>
            </w:r>
          </w:p>
          <w:p w14:paraId="1141D12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-4.5 (-6.7, -2.4)</w:t>
            </w:r>
          </w:p>
        </w:tc>
      </w:tr>
      <w:tr w:rsidR="0084028F" w:rsidRPr="000F7860" w14:paraId="50A13166" w14:textId="77777777" w:rsidTr="004E35CE">
        <w:trPr>
          <w:trHeight w:val="401"/>
        </w:trPr>
        <w:tc>
          <w:tcPr>
            <w:tcW w:w="5000" w:type="pct"/>
            <w:gridSpan w:val="4"/>
            <w:tcBorders>
              <w:top w:val="single" w:sz="4" w:space="0" w:color="auto"/>
              <w:left w:val="nil"/>
              <w:right w:val="nil"/>
            </w:tcBorders>
          </w:tcPr>
          <w:p w14:paraId="3372A7EE" w14:textId="77777777" w:rsidR="0084028F" w:rsidRPr="000F7860" w:rsidRDefault="0084028F" w:rsidP="004E35CE">
            <w:pPr>
              <w:pStyle w:val="normal0"/>
              <w:keepNext/>
              <w:spacing w:before="0" w:after="0" w:line="480" w:lineRule="auto"/>
              <w:rPr>
                <w:rFonts w:asciiTheme="minorHAnsi" w:hAnsiTheme="minorHAnsi" w:cstheme="minorHAnsi"/>
                <w:b/>
                <w:sz w:val="24"/>
                <w:szCs w:val="24"/>
              </w:rPr>
            </w:pPr>
            <w:r w:rsidRPr="000F7860">
              <w:rPr>
                <w:rFonts w:asciiTheme="minorHAnsi" w:hAnsiTheme="minorHAnsi" w:cstheme="minorHAnsi"/>
                <w:b/>
                <w:sz w:val="24"/>
                <w:szCs w:val="24"/>
              </w:rPr>
              <w:lastRenderedPageBreak/>
              <w:t>Annualized change from baseline in 6MWD, m</w:t>
            </w:r>
            <w:r w:rsidRPr="00340B79">
              <w:rPr>
                <w:rFonts w:asciiTheme="minorHAnsi" w:hAnsiTheme="minorHAnsi" w:cstheme="minorHAnsi"/>
                <w:b/>
                <w:sz w:val="24"/>
                <w:szCs w:val="24"/>
                <w:vertAlign w:val="superscript"/>
              </w:rPr>
              <w:t>*</w:t>
            </w:r>
          </w:p>
        </w:tc>
      </w:tr>
      <w:tr w:rsidR="0084028F" w:rsidRPr="000F7860" w14:paraId="0E7B8BBC" w14:textId="77777777" w:rsidTr="004E35CE">
        <w:trPr>
          <w:trHeight w:val="777"/>
        </w:trPr>
        <w:tc>
          <w:tcPr>
            <w:tcW w:w="1207" w:type="pct"/>
            <w:tcBorders>
              <w:left w:val="nil"/>
              <w:bottom w:val="single" w:sz="4" w:space="0" w:color="auto"/>
              <w:right w:val="single" w:sz="4" w:space="0" w:color="auto"/>
            </w:tcBorders>
          </w:tcPr>
          <w:p w14:paraId="52F0EB06"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7F751E44"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4B1715C8"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4FAB75E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373</w:t>
            </w:r>
          </w:p>
          <w:p w14:paraId="7FD69CAB" w14:textId="77777777" w:rsidR="0084028F" w:rsidRPr="000F7860" w:rsidRDefault="0084028F" w:rsidP="004E35CE">
            <w:pPr>
              <w:pStyle w:val="normal0"/>
              <w:spacing w:before="0" w:after="0" w:line="480" w:lineRule="auto"/>
              <w:jc w:val="center"/>
              <w:rPr>
                <w:rFonts w:asciiTheme="minorHAnsi" w:hAnsiTheme="minorHAnsi" w:cstheme="minorHAnsi"/>
                <w:sz w:val="24"/>
                <w:szCs w:val="24"/>
                <w:vertAlign w:val="superscript"/>
              </w:rPr>
            </w:pPr>
            <w:r w:rsidRPr="000F7860">
              <w:rPr>
                <w:rFonts w:asciiTheme="minorHAnsi" w:hAnsiTheme="minorHAnsi" w:cstheme="minorHAnsi"/>
                <w:sz w:val="24"/>
                <w:szCs w:val="24"/>
              </w:rPr>
              <w:t>-18.0 (-25.8, -10.2)</w:t>
            </w:r>
          </w:p>
        </w:tc>
        <w:tc>
          <w:tcPr>
            <w:tcW w:w="1379" w:type="pct"/>
            <w:tcBorders>
              <w:top w:val="nil"/>
              <w:left w:val="nil"/>
              <w:bottom w:val="single" w:sz="4" w:space="0" w:color="auto"/>
              <w:right w:val="nil"/>
            </w:tcBorders>
          </w:tcPr>
          <w:p w14:paraId="67453B16"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165</w:t>
            </w:r>
          </w:p>
          <w:p w14:paraId="65F8BBA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-25.2 (-37.2, -13.2)</w:t>
            </w:r>
          </w:p>
          <w:p w14:paraId="12437E1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-7.2 (-21.5, 7.1)</w:t>
            </w:r>
          </w:p>
        </w:tc>
        <w:tc>
          <w:tcPr>
            <w:tcW w:w="1208" w:type="pct"/>
            <w:tcBorders>
              <w:top w:val="nil"/>
              <w:left w:val="nil"/>
              <w:bottom w:val="single" w:sz="4" w:space="0" w:color="auto"/>
              <w:right w:val="nil"/>
            </w:tcBorders>
          </w:tcPr>
          <w:p w14:paraId="4247EC7A"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84</w:t>
            </w:r>
          </w:p>
          <w:p w14:paraId="5C47D4C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-67.5 (-86.1, -49.0)</w:t>
            </w:r>
          </w:p>
          <w:p w14:paraId="4ABB4CB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-49.6 (-69.6, -29.5)</w:t>
            </w:r>
          </w:p>
        </w:tc>
      </w:tr>
      <w:tr w:rsidR="0084028F" w:rsidRPr="000F7860" w14:paraId="567A040C" w14:textId="77777777" w:rsidTr="004E35CE">
        <w:trPr>
          <w:trHeight w:val="355"/>
        </w:trPr>
        <w:tc>
          <w:tcPr>
            <w:tcW w:w="5000" w:type="pct"/>
            <w:gridSpan w:val="4"/>
            <w:tcBorders>
              <w:left w:val="nil"/>
              <w:right w:val="nil"/>
            </w:tcBorders>
          </w:tcPr>
          <w:p w14:paraId="34AC710E"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Annualized change from baseline in SGRQ total score</w:t>
            </w:r>
            <w:r w:rsidRPr="00340B79">
              <w:rPr>
                <w:rFonts w:asciiTheme="minorHAnsi" w:hAnsiTheme="minorHAnsi" w:cstheme="minorHAnsi"/>
                <w:b/>
                <w:sz w:val="24"/>
                <w:szCs w:val="24"/>
                <w:vertAlign w:val="superscript"/>
              </w:rPr>
              <w:t>*</w:t>
            </w:r>
            <w:r w:rsidRPr="000F7860">
              <w:rPr>
                <w:rFonts w:asciiTheme="minorHAnsi" w:hAnsiTheme="minorHAnsi" w:cstheme="minorHAnsi"/>
                <w:b/>
                <w:sz w:val="24"/>
                <w:szCs w:val="24"/>
                <w:vertAlign w:val="superscript"/>
              </w:rPr>
              <w:t>, ‡</w:t>
            </w:r>
          </w:p>
        </w:tc>
      </w:tr>
      <w:tr w:rsidR="0084028F" w:rsidRPr="000F7860" w14:paraId="3FFB26BE" w14:textId="77777777" w:rsidTr="004E35CE">
        <w:trPr>
          <w:trHeight w:val="777"/>
        </w:trPr>
        <w:tc>
          <w:tcPr>
            <w:tcW w:w="1207" w:type="pct"/>
            <w:tcBorders>
              <w:left w:val="nil"/>
              <w:bottom w:val="single" w:sz="4" w:space="0" w:color="auto"/>
              <w:right w:val="single" w:sz="4" w:space="0" w:color="auto"/>
            </w:tcBorders>
          </w:tcPr>
          <w:p w14:paraId="21FA11A9"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118436F2"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183C9E62"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6894DF7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223</w:t>
            </w:r>
          </w:p>
          <w:p w14:paraId="324E4F45"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2.4 (1.2, 3.7)</w:t>
            </w:r>
          </w:p>
        </w:tc>
        <w:tc>
          <w:tcPr>
            <w:tcW w:w="1379" w:type="pct"/>
            <w:tcBorders>
              <w:top w:val="nil"/>
              <w:left w:val="nil"/>
              <w:bottom w:val="single" w:sz="4" w:space="0" w:color="auto"/>
              <w:right w:val="nil"/>
            </w:tcBorders>
          </w:tcPr>
          <w:p w14:paraId="0143DEE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89</w:t>
            </w:r>
          </w:p>
          <w:p w14:paraId="23CA759F" w14:textId="77777777" w:rsidR="0084028F" w:rsidRPr="000F7860" w:rsidRDefault="0084028F" w:rsidP="004E35CE">
            <w:pPr>
              <w:pStyle w:val="normal0"/>
              <w:spacing w:before="0" w:after="0" w:line="480" w:lineRule="auto"/>
              <w:jc w:val="center"/>
              <w:rPr>
                <w:sz w:val="24"/>
                <w:szCs w:val="24"/>
                <w:vertAlign w:val="superscript"/>
              </w:rPr>
            </w:pPr>
            <w:r w:rsidRPr="000F7860">
              <w:rPr>
                <w:rFonts w:asciiTheme="minorHAnsi" w:hAnsiTheme="minorHAnsi" w:cstheme="minorHAnsi"/>
                <w:sz w:val="24"/>
                <w:szCs w:val="24"/>
              </w:rPr>
              <w:t>3.6 (1.6, 5.6)</w:t>
            </w:r>
          </w:p>
          <w:p w14:paraId="290F0F5C"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1.2 (-1.2, 3.5)</w:t>
            </w:r>
          </w:p>
        </w:tc>
        <w:tc>
          <w:tcPr>
            <w:tcW w:w="1208" w:type="pct"/>
            <w:tcBorders>
              <w:top w:val="nil"/>
              <w:left w:val="nil"/>
              <w:bottom w:val="single" w:sz="4" w:space="0" w:color="auto"/>
              <w:right w:val="nil"/>
            </w:tcBorders>
          </w:tcPr>
          <w:p w14:paraId="41CCFD0C"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32</w:t>
            </w:r>
          </w:p>
          <w:p w14:paraId="7014958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6.6 (3.1, 10.1)</w:t>
            </w:r>
          </w:p>
          <w:p w14:paraId="60B94E3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4.2 (0.5, 7.9)</w:t>
            </w:r>
          </w:p>
        </w:tc>
      </w:tr>
      <w:tr w:rsidR="0084028F" w:rsidRPr="000F7860" w14:paraId="1D0BAAEA" w14:textId="77777777" w:rsidTr="004E35CE">
        <w:trPr>
          <w:trHeight w:val="125"/>
        </w:trPr>
        <w:tc>
          <w:tcPr>
            <w:tcW w:w="5000" w:type="pct"/>
            <w:gridSpan w:val="4"/>
            <w:tcBorders>
              <w:left w:val="nil"/>
              <w:right w:val="nil"/>
            </w:tcBorders>
          </w:tcPr>
          <w:p w14:paraId="210A23C9"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 xml:space="preserve">Absolute decline in percent predicted FVC ≥10% or death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sz w:val="24"/>
                <w:szCs w:val="24"/>
                <w:vertAlign w:val="superscript"/>
              </w:rPr>
              <w:t xml:space="preserve">§, </w:t>
            </w:r>
            <w:r w:rsidRPr="000F7860">
              <w:rPr>
                <w:rFonts w:asciiTheme="minorHAnsi" w:hAnsiTheme="minorHAnsi" w:cstheme="minorHAnsi"/>
                <w:b/>
                <w:bCs/>
                <w:sz w:val="24"/>
                <w:szCs w:val="24"/>
                <w:vertAlign w:val="superscript"/>
              </w:rPr>
              <w:t>‖</w:t>
            </w:r>
          </w:p>
        </w:tc>
      </w:tr>
      <w:tr w:rsidR="0084028F" w:rsidRPr="000F7860" w14:paraId="7A4F6653" w14:textId="77777777" w:rsidTr="004E35CE">
        <w:trPr>
          <w:trHeight w:val="777"/>
        </w:trPr>
        <w:tc>
          <w:tcPr>
            <w:tcW w:w="1207" w:type="pct"/>
            <w:tcBorders>
              <w:left w:val="nil"/>
              <w:bottom w:val="single" w:sz="4" w:space="0" w:color="auto"/>
              <w:right w:val="single" w:sz="4" w:space="0" w:color="auto"/>
            </w:tcBorders>
          </w:tcPr>
          <w:p w14:paraId="63A8A521"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57D3BFD3"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7172DD83"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5EA8DEF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373</w:t>
            </w:r>
          </w:p>
          <w:p w14:paraId="0F7E13EE"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2.4 (0.7, 7.9)</w:t>
            </w:r>
          </w:p>
        </w:tc>
        <w:tc>
          <w:tcPr>
            <w:tcW w:w="1379" w:type="pct"/>
            <w:tcBorders>
              <w:top w:val="nil"/>
              <w:left w:val="nil"/>
              <w:bottom w:val="single" w:sz="4" w:space="0" w:color="auto"/>
              <w:right w:val="nil"/>
            </w:tcBorders>
          </w:tcPr>
          <w:p w14:paraId="72CF4A6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165</w:t>
            </w:r>
          </w:p>
          <w:p w14:paraId="1566536C"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4.3 (1.2, 14.0)</w:t>
            </w:r>
          </w:p>
          <w:p w14:paraId="119B0F68"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1.9 (-4.5, 11.8)</w:t>
            </w:r>
          </w:p>
        </w:tc>
        <w:tc>
          <w:tcPr>
            <w:tcW w:w="1208" w:type="pct"/>
            <w:tcBorders>
              <w:top w:val="nil"/>
              <w:left w:val="nil"/>
              <w:bottom w:val="single" w:sz="4" w:space="0" w:color="auto"/>
              <w:right w:val="nil"/>
            </w:tcBorders>
          </w:tcPr>
          <w:p w14:paraId="04AAD2F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84</w:t>
            </w:r>
          </w:p>
          <w:p w14:paraId="286BFA77"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14.6 (4.4, 39.0)</w:t>
            </w:r>
          </w:p>
          <w:p w14:paraId="51746B9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12.2 (0.6, 36.6)</w:t>
            </w:r>
          </w:p>
        </w:tc>
      </w:tr>
      <w:tr w:rsidR="0084028F" w:rsidRPr="000F7860" w14:paraId="7991E6E8" w14:textId="77777777" w:rsidTr="004E35CE">
        <w:trPr>
          <w:trHeight w:val="193"/>
        </w:trPr>
        <w:tc>
          <w:tcPr>
            <w:tcW w:w="5000" w:type="pct"/>
            <w:gridSpan w:val="4"/>
            <w:tcBorders>
              <w:left w:val="nil"/>
              <w:right w:val="nil"/>
            </w:tcBorders>
          </w:tcPr>
          <w:p w14:paraId="53157763"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lastRenderedPageBreak/>
              <w:t xml:space="preserve">Relative decline in percent predicted FVC ≥10% or death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sz w:val="24"/>
                <w:szCs w:val="24"/>
                <w:vertAlign w:val="superscript"/>
              </w:rPr>
              <w:t xml:space="preserve">§, </w:t>
            </w:r>
            <w:r w:rsidRPr="000F7860">
              <w:rPr>
                <w:rFonts w:asciiTheme="minorHAnsi" w:hAnsiTheme="minorHAnsi" w:cstheme="minorHAnsi"/>
                <w:b/>
                <w:bCs/>
                <w:sz w:val="24"/>
                <w:szCs w:val="24"/>
                <w:vertAlign w:val="superscript"/>
              </w:rPr>
              <w:t>‖</w:t>
            </w:r>
          </w:p>
        </w:tc>
      </w:tr>
      <w:tr w:rsidR="0084028F" w:rsidRPr="000F7860" w14:paraId="7902AC41" w14:textId="77777777" w:rsidTr="004E35CE">
        <w:trPr>
          <w:trHeight w:val="777"/>
        </w:trPr>
        <w:tc>
          <w:tcPr>
            <w:tcW w:w="1207" w:type="pct"/>
            <w:tcBorders>
              <w:left w:val="nil"/>
              <w:bottom w:val="single" w:sz="4" w:space="0" w:color="auto"/>
              <w:right w:val="single" w:sz="4" w:space="0" w:color="auto"/>
            </w:tcBorders>
          </w:tcPr>
          <w:p w14:paraId="6D54393B"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53247C73"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39C736E6"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2A91D758"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373</w:t>
            </w:r>
          </w:p>
          <w:p w14:paraId="37FF10E1"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5.9 (2.9, 12.0)</w:t>
            </w:r>
          </w:p>
          <w:p w14:paraId="4F374D45"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p>
        </w:tc>
        <w:tc>
          <w:tcPr>
            <w:tcW w:w="1379" w:type="pct"/>
            <w:tcBorders>
              <w:top w:val="nil"/>
              <w:left w:val="nil"/>
              <w:bottom w:val="single" w:sz="4" w:space="0" w:color="auto"/>
              <w:right w:val="nil"/>
            </w:tcBorders>
          </w:tcPr>
          <w:p w14:paraId="179C3F7D"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165</w:t>
            </w:r>
          </w:p>
          <w:p w14:paraId="603C55B5"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12.1 (5.8, 23.3)</w:t>
            </w:r>
          </w:p>
          <w:p w14:paraId="05B0DC8C"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6.1 (-2.5, 17.7)</w:t>
            </w:r>
          </w:p>
        </w:tc>
        <w:tc>
          <w:tcPr>
            <w:tcW w:w="1208" w:type="pct"/>
            <w:tcBorders>
              <w:top w:val="nil"/>
              <w:left w:val="nil"/>
              <w:bottom w:val="single" w:sz="4" w:space="0" w:color="auto"/>
              <w:right w:val="nil"/>
            </w:tcBorders>
          </w:tcPr>
          <w:p w14:paraId="6D098787"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84</w:t>
            </w:r>
          </w:p>
          <w:p w14:paraId="21A12761"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34.8 (18.8, 55.2)</w:t>
            </w:r>
          </w:p>
          <w:p w14:paraId="3E7065EB"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28.8 (11.8, 49.4)</w:t>
            </w:r>
          </w:p>
        </w:tc>
      </w:tr>
      <w:tr w:rsidR="0084028F" w:rsidRPr="000F7860" w14:paraId="2013B563" w14:textId="77777777" w:rsidTr="004E35CE">
        <w:trPr>
          <w:trHeight w:val="342"/>
        </w:trPr>
        <w:tc>
          <w:tcPr>
            <w:tcW w:w="5000" w:type="pct"/>
            <w:gridSpan w:val="4"/>
            <w:tcBorders>
              <w:left w:val="nil"/>
              <w:right w:val="nil"/>
            </w:tcBorders>
          </w:tcPr>
          <w:p w14:paraId="7697292E"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 xml:space="preserve">Any all-cause hospitalization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bCs/>
                <w:sz w:val="24"/>
                <w:szCs w:val="24"/>
                <w:vertAlign w:val="superscript"/>
              </w:rPr>
              <w:t>§</w:t>
            </w:r>
          </w:p>
        </w:tc>
      </w:tr>
      <w:tr w:rsidR="0084028F" w:rsidRPr="000F7860" w14:paraId="1F8895DC" w14:textId="77777777" w:rsidTr="004E35CE">
        <w:trPr>
          <w:trHeight w:val="777"/>
        </w:trPr>
        <w:tc>
          <w:tcPr>
            <w:tcW w:w="1207" w:type="pct"/>
            <w:tcBorders>
              <w:left w:val="nil"/>
              <w:bottom w:val="single" w:sz="4" w:space="0" w:color="auto"/>
              <w:right w:val="single" w:sz="4" w:space="0" w:color="auto"/>
            </w:tcBorders>
          </w:tcPr>
          <w:p w14:paraId="2F224B31"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51AB616E"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36C58F81"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541F19D5"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373</w:t>
            </w:r>
          </w:p>
          <w:p w14:paraId="482EF5A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11.3 (6.4, 19.0)</w:t>
            </w:r>
          </w:p>
        </w:tc>
        <w:tc>
          <w:tcPr>
            <w:tcW w:w="1379" w:type="pct"/>
            <w:tcBorders>
              <w:top w:val="nil"/>
              <w:left w:val="nil"/>
              <w:bottom w:val="single" w:sz="4" w:space="0" w:color="auto"/>
              <w:right w:val="nil"/>
            </w:tcBorders>
          </w:tcPr>
          <w:p w14:paraId="4C9278AF"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165</w:t>
            </w:r>
          </w:p>
          <w:p w14:paraId="2A2C9ED4"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20.3 (11.7, 32.8)</w:t>
            </w:r>
          </w:p>
          <w:p w14:paraId="0CD5E8E9"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9.0 (-2.5, 22.5)</w:t>
            </w:r>
          </w:p>
        </w:tc>
        <w:tc>
          <w:tcPr>
            <w:tcW w:w="1208" w:type="pct"/>
            <w:tcBorders>
              <w:top w:val="nil"/>
              <w:left w:val="nil"/>
              <w:bottom w:val="single" w:sz="4" w:space="0" w:color="auto"/>
              <w:right w:val="nil"/>
            </w:tcBorders>
          </w:tcPr>
          <w:p w14:paraId="0554E779"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84</w:t>
            </w:r>
          </w:p>
          <w:p w14:paraId="2540C29C"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26.2 (14.4, 42.8)</w:t>
            </w:r>
          </w:p>
          <w:p w14:paraId="4076903F"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14.9 (0.9, 32.2)</w:t>
            </w:r>
          </w:p>
        </w:tc>
      </w:tr>
      <w:tr w:rsidR="0084028F" w:rsidRPr="000F7860" w14:paraId="05367806" w14:textId="77777777" w:rsidTr="004E35CE">
        <w:trPr>
          <w:trHeight w:val="335"/>
        </w:trPr>
        <w:tc>
          <w:tcPr>
            <w:tcW w:w="5000" w:type="pct"/>
            <w:gridSpan w:val="4"/>
            <w:tcBorders>
              <w:left w:val="nil"/>
              <w:right w:val="nil"/>
            </w:tcBorders>
          </w:tcPr>
          <w:p w14:paraId="55E9CBA6"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t xml:space="preserve">All-cause mortality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bCs/>
                <w:sz w:val="24"/>
                <w:szCs w:val="24"/>
                <w:vertAlign w:val="superscript"/>
              </w:rPr>
              <w:t>§</w:t>
            </w:r>
          </w:p>
        </w:tc>
      </w:tr>
      <w:tr w:rsidR="0084028F" w:rsidRPr="000F7860" w14:paraId="28BC22C9" w14:textId="77777777" w:rsidTr="004E35CE">
        <w:trPr>
          <w:trHeight w:val="777"/>
        </w:trPr>
        <w:tc>
          <w:tcPr>
            <w:tcW w:w="1207" w:type="pct"/>
            <w:tcBorders>
              <w:left w:val="nil"/>
              <w:bottom w:val="single" w:sz="4" w:space="0" w:color="auto"/>
              <w:right w:val="single" w:sz="4" w:space="0" w:color="auto"/>
            </w:tcBorders>
          </w:tcPr>
          <w:p w14:paraId="15A7340E"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4A84C790"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62E8CE48" w14:textId="77777777" w:rsidR="0084028F" w:rsidRPr="000F7860" w:rsidRDefault="0084028F" w:rsidP="004E35CE">
            <w:pPr>
              <w:pStyle w:val="normal0"/>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183E7A5F"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373</w:t>
            </w:r>
          </w:p>
          <w:p w14:paraId="2FE95CAA"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1.4 (0.3, 6.1)</w:t>
            </w:r>
          </w:p>
        </w:tc>
        <w:tc>
          <w:tcPr>
            <w:tcW w:w="1379" w:type="pct"/>
            <w:tcBorders>
              <w:top w:val="nil"/>
              <w:left w:val="nil"/>
              <w:bottom w:val="single" w:sz="4" w:space="0" w:color="auto"/>
              <w:right w:val="nil"/>
            </w:tcBorders>
          </w:tcPr>
          <w:p w14:paraId="2694AA8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165</w:t>
            </w:r>
          </w:p>
          <w:p w14:paraId="305F6699"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2.1 (0.4, 9.5)</w:t>
            </w:r>
          </w:p>
          <w:p w14:paraId="56EFB5BA"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0.7 (-4.3, 8.2)</w:t>
            </w:r>
          </w:p>
        </w:tc>
        <w:tc>
          <w:tcPr>
            <w:tcW w:w="1208" w:type="pct"/>
            <w:tcBorders>
              <w:top w:val="nil"/>
              <w:left w:val="nil"/>
              <w:bottom w:val="single" w:sz="4" w:space="0" w:color="auto"/>
              <w:right w:val="nil"/>
            </w:tcBorders>
          </w:tcPr>
          <w:p w14:paraId="451B789C"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84</w:t>
            </w:r>
          </w:p>
          <w:p w14:paraId="49EEE2EB"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6.0 (1.3, 24.2)</w:t>
            </w:r>
          </w:p>
          <w:p w14:paraId="6C8440F0" w14:textId="77777777" w:rsidR="0084028F" w:rsidRPr="000F7860" w:rsidRDefault="0084028F" w:rsidP="004E35CE">
            <w:pPr>
              <w:pStyle w:val="normal0"/>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4.6 (-2.1, 22.8)</w:t>
            </w:r>
          </w:p>
        </w:tc>
      </w:tr>
      <w:tr w:rsidR="0084028F" w:rsidRPr="000F7860" w14:paraId="18791E76" w14:textId="77777777" w:rsidTr="004E35CE">
        <w:trPr>
          <w:trHeight w:val="470"/>
        </w:trPr>
        <w:tc>
          <w:tcPr>
            <w:tcW w:w="5000" w:type="pct"/>
            <w:gridSpan w:val="4"/>
            <w:tcBorders>
              <w:left w:val="nil"/>
              <w:bottom w:val="single" w:sz="4" w:space="0" w:color="auto"/>
              <w:right w:val="nil"/>
            </w:tcBorders>
          </w:tcPr>
          <w:p w14:paraId="548F4C90"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b/>
                <w:sz w:val="24"/>
                <w:szCs w:val="24"/>
              </w:rPr>
              <w:lastRenderedPageBreak/>
              <w:t xml:space="preserve">Any treatment-emergent SAEs up to </w:t>
            </w:r>
            <w:proofErr w:type="gramStart"/>
            <w:r w:rsidRPr="000F7860">
              <w:rPr>
                <w:rFonts w:asciiTheme="minorHAnsi" w:hAnsiTheme="minorHAnsi" w:cstheme="minorHAnsi"/>
                <w:b/>
                <w:sz w:val="24"/>
                <w:szCs w:val="24"/>
              </w:rPr>
              <w:t>1 year</w:t>
            </w:r>
            <w:proofErr w:type="gramEnd"/>
            <w:r w:rsidRPr="000F7860">
              <w:rPr>
                <w:rFonts w:asciiTheme="minorHAnsi" w:hAnsiTheme="minorHAnsi" w:cstheme="minorHAnsi"/>
                <w:b/>
                <w:sz w:val="24"/>
                <w:szCs w:val="24"/>
              </w:rPr>
              <w:t xml:space="preserve"> post-randomization, %</w:t>
            </w:r>
            <w:r w:rsidRPr="000F7860">
              <w:rPr>
                <w:rFonts w:asciiTheme="minorHAnsi" w:hAnsiTheme="minorHAnsi" w:cstheme="minorHAnsi"/>
                <w:b/>
                <w:bCs/>
                <w:sz w:val="24"/>
                <w:szCs w:val="24"/>
                <w:vertAlign w:val="superscript"/>
              </w:rPr>
              <w:t>§</w:t>
            </w:r>
          </w:p>
        </w:tc>
      </w:tr>
      <w:tr w:rsidR="0084028F" w:rsidRPr="000F7860" w14:paraId="038E7B34" w14:textId="77777777" w:rsidTr="004E35CE">
        <w:trPr>
          <w:trHeight w:val="777"/>
        </w:trPr>
        <w:tc>
          <w:tcPr>
            <w:tcW w:w="1207" w:type="pct"/>
            <w:tcBorders>
              <w:left w:val="nil"/>
              <w:bottom w:val="single" w:sz="4" w:space="0" w:color="auto"/>
              <w:right w:val="single" w:sz="4" w:space="0" w:color="auto"/>
            </w:tcBorders>
          </w:tcPr>
          <w:p w14:paraId="799248CA"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 xml:space="preserve">Observed, </w:t>
            </w:r>
            <w:proofErr w:type="gramStart"/>
            <w:r w:rsidRPr="000F7860">
              <w:rPr>
                <w:rFonts w:asciiTheme="minorHAnsi" w:hAnsiTheme="minorHAnsi" w:cstheme="minorHAnsi"/>
                <w:i/>
                <w:iCs/>
                <w:sz w:val="24"/>
                <w:szCs w:val="24"/>
              </w:rPr>
              <w:t>n</w:t>
            </w:r>
            <w:proofErr w:type="gramEnd"/>
          </w:p>
          <w:p w14:paraId="7BFF68DC" w14:textId="77777777" w:rsidR="0084028F" w:rsidRPr="000F7860" w:rsidRDefault="0084028F" w:rsidP="004E35CE">
            <w:pPr>
              <w:pStyle w:val="normal0"/>
              <w:keepNext/>
              <w:spacing w:before="0" w:after="0" w:line="480" w:lineRule="auto"/>
              <w:rPr>
                <w:rFonts w:asciiTheme="minorHAnsi" w:hAnsiTheme="minorHAnsi" w:cstheme="minorHAnsi"/>
                <w:sz w:val="24"/>
                <w:szCs w:val="24"/>
              </w:rPr>
            </w:pPr>
            <w:r w:rsidRPr="000F7860">
              <w:rPr>
                <w:rFonts w:asciiTheme="minorHAnsi" w:hAnsiTheme="minorHAnsi" w:cstheme="minorHAnsi"/>
                <w:sz w:val="24"/>
                <w:szCs w:val="24"/>
              </w:rPr>
              <w:t>Estimate (95% CI)</w:t>
            </w:r>
          </w:p>
          <w:p w14:paraId="1066CD51" w14:textId="77777777" w:rsidR="0084028F" w:rsidRPr="000F7860" w:rsidRDefault="0084028F" w:rsidP="004E35CE">
            <w:pPr>
              <w:pStyle w:val="normal0"/>
              <w:keepNext/>
              <w:spacing w:before="0" w:after="0" w:line="480" w:lineRule="auto"/>
              <w:rPr>
                <w:rFonts w:asciiTheme="minorHAnsi" w:hAnsiTheme="minorHAnsi" w:cstheme="minorHAnsi"/>
                <w:b/>
                <w:sz w:val="24"/>
                <w:szCs w:val="24"/>
              </w:rPr>
            </w:pPr>
            <w:r w:rsidRPr="000F7860">
              <w:rPr>
                <w:rFonts w:asciiTheme="minorHAnsi" w:hAnsiTheme="minorHAnsi" w:cstheme="minorHAnsi"/>
                <w:sz w:val="24"/>
                <w:szCs w:val="24"/>
              </w:rPr>
              <w:t>Difference (95% CI)</w:t>
            </w:r>
            <w:r w:rsidRPr="000F7860">
              <w:rPr>
                <w:rFonts w:asciiTheme="minorHAnsi" w:hAnsiTheme="minorHAnsi" w:cstheme="minorHAnsi"/>
                <w:sz w:val="24"/>
                <w:szCs w:val="24"/>
                <w:vertAlign w:val="superscript"/>
              </w:rPr>
              <w:t>†</w:t>
            </w:r>
          </w:p>
        </w:tc>
        <w:tc>
          <w:tcPr>
            <w:tcW w:w="1206" w:type="pct"/>
            <w:tcBorders>
              <w:top w:val="nil"/>
              <w:left w:val="single" w:sz="4" w:space="0" w:color="auto"/>
              <w:bottom w:val="single" w:sz="4" w:space="0" w:color="auto"/>
              <w:right w:val="nil"/>
            </w:tcBorders>
          </w:tcPr>
          <w:p w14:paraId="52DF469C"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373</w:t>
            </w:r>
          </w:p>
          <w:p w14:paraId="5AA4B2A0"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14.0 (8.4, 22.3)</w:t>
            </w:r>
          </w:p>
        </w:tc>
        <w:tc>
          <w:tcPr>
            <w:tcW w:w="1379" w:type="pct"/>
            <w:tcBorders>
              <w:top w:val="nil"/>
              <w:left w:val="nil"/>
              <w:bottom w:val="single" w:sz="4" w:space="0" w:color="auto"/>
              <w:right w:val="nil"/>
            </w:tcBorders>
          </w:tcPr>
          <w:p w14:paraId="7B6589CD"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165</w:t>
            </w:r>
          </w:p>
          <w:p w14:paraId="016469F9"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22.5 (13.6, 34.9)</w:t>
            </w:r>
          </w:p>
          <w:p w14:paraId="04422989"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8.6 (-3.6, 22.1)</w:t>
            </w:r>
          </w:p>
        </w:tc>
        <w:tc>
          <w:tcPr>
            <w:tcW w:w="1208" w:type="pct"/>
            <w:tcBorders>
              <w:top w:val="nil"/>
              <w:left w:val="nil"/>
              <w:bottom w:val="single" w:sz="4" w:space="0" w:color="auto"/>
              <w:right w:val="nil"/>
            </w:tcBorders>
          </w:tcPr>
          <w:p w14:paraId="79402976"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84</w:t>
            </w:r>
          </w:p>
          <w:p w14:paraId="2D837E26"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35.3 (21.5, 52.1)</w:t>
            </w:r>
          </w:p>
          <w:p w14:paraId="288B5026" w14:textId="77777777" w:rsidR="0084028F" w:rsidRPr="000F7860" w:rsidRDefault="0084028F" w:rsidP="004E35CE">
            <w:pPr>
              <w:pStyle w:val="normal0"/>
              <w:keepNext/>
              <w:spacing w:before="0" w:after="0" w:line="480" w:lineRule="auto"/>
              <w:jc w:val="center"/>
              <w:rPr>
                <w:rFonts w:asciiTheme="minorHAnsi" w:hAnsiTheme="minorHAnsi" w:cstheme="minorHAnsi"/>
                <w:sz w:val="24"/>
                <w:szCs w:val="24"/>
              </w:rPr>
            </w:pPr>
            <w:r w:rsidRPr="000F7860">
              <w:rPr>
                <w:rFonts w:asciiTheme="minorHAnsi" w:hAnsiTheme="minorHAnsi" w:cstheme="minorHAnsi"/>
                <w:sz w:val="24"/>
                <w:szCs w:val="24"/>
              </w:rPr>
              <w:t>21.3 (5.2, 39.0)</w:t>
            </w:r>
          </w:p>
        </w:tc>
      </w:tr>
    </w:tbl>
    <w:p w14:paraId="0C19329D" w14:textId="77777777" w:rsidR="0084028F" w:rsidRPr="000F7860" w:rsidRDefault="0084028F" w:rsidP="0084028F">
      <w:pPr>
        <w:spacing w:before="120"/>
        <w:rPr>
          <w:rFonts w:cs="Arial"/>
          <w:b/>
          <w:i/>
          <w:sz w:val="24"/>
          <w:szCs w:val="24"/>
        </w:rPr>
      </w:pPr>
      <w:r w:rsidRPr="00340B79">
        <w:rPr>
          <w:rFonts w:cstheme="minorHAnsi"/>
          <w:sz w:val="24"/>
          <w:szCs w:val="24"/>
          <w:vertAlign w:val="superscript"/>
        </w:rPr>
        <w:t>*</w:t>
      </w:r>
      <w:r w:rsidRPr="000F7860">
        <w:rPr>
          <w:rFonts w:cstheme="minorHAnsi"/>
          <w:sz w:val="24"/>
          <w:szCs w:val="24"/>
        </w:rPr>
        <w:t xml:space="preserve">Estimates (95% CIs) based on repeated-measures analysis of covariance with study, age, sex, race, baseline HRCT status, years since IPF diagnosis, baseline oxygen use, baseline smoking status, annualized percent change in body-weight category, time, and annualized percent change in body-weight category*time as fixed-effect covariates, with random intercept and random slope for time for each patient. </w:t>
      </w:r>
      <w:r w:rsidRPr="000F7860">
        <w:rPr>
          <w:rFonts w:cstheme="minorHAnsi"/>
          <w:sz w:val="24"/>
          <w:szCs w:val="24"/>
          <w:vertAlign w:val="superscript"/>
        </w:rPr>
        <w:t>†</w:t>
      </w:r>
      <w:r w:rsidRPr="000F7860">
        <w:rPr>
          <w:rFonts w:cstheme="minorHAnsi"/>
          <w:sz w:val="24"/>
          <w:szCs w:val="24"/>
        </w:rPr>
        <w:t xml:space="preserve">Estimated difference from first category. </w:t>
      </w:r>
      <w:r w:rsidRPr="000F7860">
        <w:rPr>
          <w:rFonts w:cstheme="minorHAnsi"/>
          <w:sz w:val="24"/>
          <w:szCs w:val="24"/>
          <w:vertAlign w:val="superscript"/>
        </w:rPr>
        <w:t>‡</w:t>
      </w:r>
      <w:r w:rsidRPr="000F7860">
        <w:rPr>
          <w:rFonts w:cstheme="minorHAnsi"/>
          <w:sz w:val="24"/>
          <w:szCs w:val="24"/>
        </w:rPr>
        <w:t xml:space="preserve">Excludes ASCEND study. </w:t>
      </w:r>
      <w:r w:rsidRPr="000F7860">
        <w:rPr>
          <w:rFonts w:cstheme="minorHAnsi"/>
          <w:sz w:val="24"/>
          <w:szCs w:val="24"/>
          <w:vertAlign w:val="superscript"/>
        </w:rPr>
        <w:t>§</w:t>
      </w:r>
      <w:r w:rsidRPr="000F7860">
        <w:rPr>
          <w:rFonts w:cstheme="minorHAnsi"/>
          <w:sz w:val="24"/>
          <w:szCs w:val="24"/>
        </w:rPr>
        <w:t xml:space="preserve">Estimates (95% CIs) based on logistic regression with study, age, sex, race, baseline HRCT status, years since IPF diagnosis, baseline oxygen use, baseline smoking status, and annualized percent change in body-weight category as model factors. </w:t>
      </w:r>
      <w:r w:rsidRPr="000F7860">
        <w:rPr>
          <w:rFonts w:cstheme="minorHAnsi"/>
          <w:sz w:val="24"/>
          <w:szCs w:val="24"/>
          <w:vertAlign w:val="superscript"/>
        </w:rPr>
        <w:t>‖</w:t>
      </w:r>
      <w:r w:rsidRPr="000F7860">
        <w:rPr>
          <w:rFonts w:cstheme="minorHAnsi"/>
          <w:sz w:val="24"/>
          <w:szCs w:val="24"/>
        </w:rPr>
        <w:t>Endpoint was derived from estimated annual change in percent predicted FVC for each patient based on a simple random slopes and intercepts model.</w:t>
      </w:r>
      <w:r w:rsidRPr="000F7860">
        <w:rPr>
          <w:rFonts w:cstheme="minorHAnsi"/>
          <w:i/>
          <w:iCs/>
          <w:sz w:val="24"/>
          <w:szCs w:val="24"/>
        </w:rPr>
        <w:t xml:space="preserve"> </w:t>
      </w:r>
      <w:r w:rsidRPr="000F7860">
        <w:rPr>
          <w:rFonts w:cstheme="minorHAnsi"/>
          <w:sz w:val="24"/>
          <w:szCs w:val="24"/>
        </w:rPr>
        <w:t>6MWD, 6-min walk distance; CI, confidence interval; DLco, carbon monoxide diffusing capacity; FVC, forced vital capacity; HRCT, high-resolution computed tomography; IPF, idiopathic pulmonary fibrosis; SAE, serious adverse event; SGRQ, St. George’s Respiratory Questionnaire.</w:t>
      </w:r>
    </w:p>
    <w:p w14:paraId="3DB777C5" w14:textId="77777777" w:rsidR="0084028F" w:rsidRPr="000F7860" w:rsidRDefault="0084028F" w:rsidP="0084028F">
      <w:pPr>
        <w:spacing w:after="160"/>
        <w:rPr>
          <w:b/>
          <w:sz w:val="24"/>
          <w:szCs w:val="24"/>
        </w:rPr>
        <w:sectPr w:rsidR="0084028F" w:rsidRPr="000F7860" w:rsidSect="00367539">
          <w:type w:val="continuous"/>
          <w:pgSz w:w="16838" w:h="11906" w:orient="landscape"/>
          <w:pgMar w:top="1440" w:right="1701" w:bottom="1440" w:left="992" w:header="709" w:footer="709" w:gutter="0"/>
          <w:cols w:space="708"/>
          <w:docGrid w:linePitch="360"/>
        </w:sectPr>
      </w:pPr>
    </w:p>
    <w:p w14:paraId="427A8606" w14:textId="77777777" w:rsidR="0084028F" w:rsidRPr="000F7860" w:rsidRDefault="0084028F" w:rsidP="0084028F">
      <w:pPr>
        <w:spacing w:after="240"/>
        <w:rPr>
          <w:sz w:val="24"/>
          <w:szCs w:val="24"/>
        </w:rPr>
      </w:pPr>
      <w:r w:rsidRPr="000F7860">
        <w:rPr>
          <w:b/>
          <w:sz w:val="24"/>
          <w:szCs w:val="24"/>
        </w:rPr>
        <w:lastRenderedPageBreak/>
        <w:t xml:space="preserve">Figure E1. </w:t>
      </w:r>
      <w:r w:rsidRPr="000F7860">
        <w:rPr>
          <w:sz w:val="24"/>
          <w:szCs w:val="24"/>
        </w:rPr>
        <w:t>Sensitivity analysis of time to first all-cause hospitalization up to 1 year post</w:t>
      </w:r>
      <w:r w:rsidRPr="000F7860">
        <w:rPr>
          <w:sz w:val="24"/>
          <w:szCs w:val="24"/>
        </w:rPr>
        <w:noBreakHyphen/>
        <w:t>randomization (with death as competing risk), stratified by annualized percent change in body-weight categories, in patients from the placebo arms of ASCEND and CAPACITY, and all patients from INSPIRE and RIFF (Cohort A).</w:t>
      </w:r>
    </w:p>
    <w:p w14:paraId="71747CA1" w14:textId="77777777" w:rsidR="0084028F" w:rsidRPr="000F7860" w:rsidRDefault="0084028F" w:rsidP="0084028F">
      <w:pPr>
        <w:spacing w:after="160"/>
        <w:rPr>
          <w:sz w:val="24"/>
          <w:szCs w:val="24"/>
        </w:rPr>
      </w:pPr>
      <w:r>
        <w:rPr>
          <w:noProof/>
          <w:sz w:val="24"/>
          <w:szCs w:val="24"/>
        </w:rPr>
        <w:drawing>
          <wp:inline distT="0" distB="0" distL="0" distR="0" wp14:anchorId="1CDE0E46" wp14:editId="0DD6488F">
            <wp:extent cx="5752630" cy="3609975"/>
            <wp:effectExtent l="0" t="0" r="635"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64137" cy="3617196"/>
                    </a:xfrm>
                    <a:prstGeom prst="rect">
                      <a:avLst/>
                    </a:prstGeom>
                  </pic:spPr>
                </pic:pic>
              </a:graphicData>
            </a:graphic>
          </wp:inline>
        </w:drawing>
      </w:r>
      <w:r w:rsidRPr="000F7860">
        <w:rPr>
          <w:sz w:val="24"/>
          <w:szCs w:val="24"/>
        </w:rPr>
        <w:t xml:space="preserve"> </w:t>
      </w:r>
    </w:p>
    <w:p w14:paraId="75522381" w14:textId="77777777" w:rsidR="00BF5304" w:rsidRDefault="00BF5304"/>
    <w:sectPr w:rsidR="00BF5304" w:rsidSect="00367539">
      <w:type w:val="continuous"/>
      <w:pgSz w:w="11906" w:h="16838"/>
      <w:pgMar w:top="1701"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E7E"/>
    <w:multiLevelType w:val="hybridMultilevel"/>
    <w:tmpl w:val="1076E360"/>
    <w:lvl w:ilvl="0" w:tplc="5E96F7C0">
      <w:start w:val="1"/>
      <w:numFmt w:val="bullet"/>
      <w:pStyle w:val="1stlevelbulletedtext"/>
      <w:lvlText w:val=""/>
      <w:lvlJc w:val="left"/>
      <w:pPr>
        <w:ind w:left="720" w:hanging="360"/>
      </w:pPr>
      <w:rPr>
        <w:rFonts w:ascii="Symbol" w:hAnsi="Symbol" w:hint="default"/>
      </w:rPr>
    </w:lvl>
    <w:lvl w:ilvl="1" w:tplc="723AB99C">
      <w:start w:val="1"/>
      <w:numFmt w:val="bullet"/>
      <w:pStyle w:val="2ndlevelbullet"/>
      <w:lvlText w:val="–"/>
      <w:lvlJc w:val="left"/>
      <w:pPr>
        <w:ind w:left="1440" w:hanging="360"/>
      </w:pPr>
      <w:rPr>
        <w:rFonts w:ascii="Courier New" w:hAnsi="Courier New" w:hint="default"/>
      </w:rPr>
    </w:lvl>
    <w:lvl w:ilvl="2" w:tplc="0ACECD76">
      <w:start w:val="1"/>
      <w:numFmt w:val="bullet"/>
      <w:pStyle w:val="3rdlevelbullet"/>
      <w:lvlText w:val=""/>
      <w:lvlJc w:val="left"/>
      <w:pPr>
        <w:ind w:left="2160" w:hanging="360"/>
      </w:pPr>
      <w:rPr>
        <w:rFonts w:ascii="Wingdings" w:hAnsi="Wingdings" w:hint="default"/>
      </w:rPr>
    </w:lvl>
    <w:lvl w:ilvl="3" w:tplc="228CDA96">
      <w:start w:val="1"/>
      <w:numFmt w:val="bullet"/>
      <w:pStyle w:val="4thleve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C027A"/>
    <w:multiLevelType w:val="hybridMultilevel"/>
    <w:tmpl w:val="81FE9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AD0139"/>
    <w:multiLevelType w:val="hybridMultilevel"/>
    <w:tmpl w:val="FC5E6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1566482"/>
    <w:multiLevelType w:val="hybridMultilevel"/>
    <w:tmpl w:val="404E7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377FD"/>
    <w:multiLevelType w:val="hybridMultilevel"/>
    <w:tmpl w:val="CFEC0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94E51"/>
    <w:multiLevelType w:val="hybridMultilevel"/>
    <w:tmpl w:val="EDB84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958AA"/>
    <w:multiLevelType w:val="hybridMultilevel"/>
    <w:tmpl w:val="8F7E5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9E5835"/>
    <w:multiLevelType w:val="hybridMultilevel"/>
    <w:tmpl w:val="4844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8F"/>
    <w:rsid w:val="00340B79"/>
    <w:rsid w:val="00367539"/>
    <w:rsid w:val="005A0A65"/>
    <w:rsid w:val="0084028F"/>
    <w:rsid w:val="00B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9383"/>
  <w15:chartTrackingRefBased/>
  <w15:docId w15:val="{24F5E729-5A31-491B-B712-6E1BAFDB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non-spaced for bullets"/>
    <w:rsid w:val="0084028F"/>
    <w:pPr>
      <w:spacing w:after="0" w:line="480" w:lineRule="auto"/>
    </w:pPr>
    <w:rPr>
      <w:rFonts w:cs="Times New Roman"/>
    </w:rPr>
  </w:style>
  <w:style w:type="paragraph" w:styleId="Heading1">
    <w:name w:val="heading 1"/>
    <w:basedOn w:val="Normal"/>
    <w:next w:val="Normal"/>
    <w:link w:val="Heading1Char"/>
    <w:uiPriority w:val="9"/>
    <w:rsid w:val="0084028F"/>
    <w:pPr>
      <w:pageBreakBefore/>
      <w:spacing w:before="240" w:after="120"/>
      <w:outlineLvl w:val="0"/>
    </w:pPr>
    <w:rPr>
      <w:b/>
      <w:caps/>
    </w:rPr>
  </w:style>
  <w:style w:type="paragraph" w:styleId="Heading2">
    <w:name w:val="heading 2"/>
    <w:basedOn w:val="Normal"/>
    <w:next w:val="Normal"/>
    <w:link w:val="Heading2Char"/>
    <w:uiPriority w:val="9"/>
    <w:unhideWhenUsed/>
    <w:rsid w:val="0084028F"/>
    <w:pPr>
      <w:spacing w:before="240" w:after="120"/>
      <w:outlineLvl w:val="1"/>
    </w:pPr>
    <w:rPr>
      <w:b/>
    </w:rPr>
  </w:style>
  <w:style w:type="paragraph" w:styleId="Heading3">
    <w:name w:val="heading 3"/>
    <w:basedOn w:val="Normal"/>
    <w:next w:val="Normal"/>
    <w:link w:val="Heading3Char"/>
    <w:uiPriority w:val="9"/>
    <w:unhideWhenUsed/>
    <w:rsid w:val="0084028F"/>
    <w:pPr>
      <w:spacing w:before="240" w:after="120"/>
      <w:outlineLvl w:val="2"/>
    </w:pPr>
    <w:rPr>
      <w:b/>
      <w:i/>
    </w:rPr>
  </w:style>
  <w:style w:type="paragraph" w:styleId="Heading4">
    <w:name w:val="heading 4"/>
    <w:basedOn w:val="Normal"/>
    <w:next w:val="Normal"/>
    <w:link w:val="Heading4Char"/>
    <w:uiPriority w:val="9"/>
    <w:unhideWhenUsed/>
    <w:rsid w:val="0084028F"/>
    <w:pPr>
      <w:spacing w:before="240" w:after="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28F"/>
    <w:rPr>
      <w:rFonts w:cs="Times New Roman"/>
      <w:b/>
      <w:caps/>
    </w:rPr>
  </w:style>
  <w:style w:type="character" w:customStyle="1" w:styleId="Heading2Char">
    <w:name w:val="Heading 2 Char"/>
    <w:basedOn w:val="DefaultParagraphFont"/>
    <w:link w:val="Heading2"/>
    <w:uiPriority w:val="9"/>
    <w:rsid w:val="0084028F"/>
    <w:rPr>
      <w:rFonts w:cs="Times New Roman"/>
      <w:b/>
    </w:rPr>
  </w:style>
  <w:style w:type="character" w:customStyle="1" w:styleId="Heading3Char">
    <w:name w:val="Heading 3 Char"/>
    <w:basedOn w:val="DefaultParagraphFont"/>
    <w:link w:val="Heading3"/>
    <w:uiPriority w:val="9"/>
    <w:rsid w:val="0084028F"/>
    <w:rPr>
      <w:rFonts w:cs="Times New Roman"/>
      <w:b/>
      <w:i/>
    </w:rPr>
  </w:style>
  <w:style w:type="character" w:customStyle="1" w:styleId="Heading4Char">
    <w:name w:val="Heading 4 Char"/>
    <w:basedOn w:val="DefaultParagraphFont"/>
    <w:link w:val="Heading4"/>
    <w:uiPriority w:val="9"/>
    <w:rsid w:val="0084028F"/>
    <w:rPr>
      <w:rFonts w:cs="Times New Roman"/>
      <w:i/>
    </w:rPr>
  </w:style>
  <w:style w:type="paragraph" w:styleId="Header">
    <w:name w:val="header"/>
    <w:basedOn w:val="Normal"/>
    <w:link w:val="HeaderChar"/>
    <w:uiPriority w:val="99"/>
    <w:unhideWhenUsed/>
    <w:rsid w:val="0084028F"/>
    <w:pPr>
      <w:tabs>
        <w:tab w:val="center" w:pos="4513"/>
        <w:tab w:val="right" w:pos="9026"/>
      </w:tabs>
      <w:spacing w:line="240" w:lineRule="auto"/>
    </w:pPr>
  </w:style>
  <w:style w:type="character" w:customStyle="1" w:styleId="HeaderChar">
    <w:name w:val="Header Char"/>
    <w:basedOn w:val="DefaultParagraphFont"/>
    <w:link w:val="Header"/>
    <w:uiPriority w:val="99"/>
    <w:rsid w:val="0084028F"/>
    <w:rPr>
      <w:rFonts w:cs="Times New Roman"/>
    </w:rPr>
  </w:style>
  <w:style w:type="paragraph" w:styleId="Footer">
    <w:name w:val="footer"/>
    <w:basedOn w:val="Normal"/>
    <w:link w:val="FooterChar"/>
    <w:uiPriority w:val="99"/>
    <w:unhideWhenUsed/>
    <w:rsid w:val="0084028F"/>
    <w:pPr>
      <w:tabs>
        <w:tab w:val="center" w:pos="4513"/>
        <w:tab w:val="right" w:pos="9026"/>
      </w:tabs>
      <w:spacing w:line="240" w:lineRule="auto"/>
    </w:pPr>
  </w:style>
  <w:style w:type="character" w:customStyle="1" w:styleId="FooterChar">
    <w:name w:val="Footer Char"/>
    <w:basedOn w:val="DefaultParagraphFont"/>
    <w:link w:val="Footer"/>
    <w:uiPriority w:val="99"/>
    <w:rsid w:val="0084028F"/>
    <w:rPr>
      <w:rFonts w:cs="Times New Roman"/>
    </w:rPr>
  </w:style>
  <w:style w:type="table" w:styleId="TableGrid">
    <w:name w:val="Table Grid"/>
    <w:basedOn w:val="TableNormal"/>
    <w:uiPriority w:val="39"/>
    <w:rsid w:val="0084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levelbulletedtext">
    <w:name w:val="1st level bulleted text"/>
    <w:basedOn w:val="Normal"/>
    <w:link w:val="1stlevelbulletedtextChar"/>
    <w:qFormat/>
    <w:rsid w:val="0084028F"/>
    <w:pPr>
      <w:numPr>
        <w:numId w:val="1"/>
      </w:numPr>
    </w:pPr>
  </w:style>
  <w:style w:type="paragraph" w:customStyle="1" w:styleId="2ndlevelbullet">
    <w:name w:val="2nd level bullet"/>
    <w:basedOn w:val="1stlevelbulletedtext"/>
    <w:link w:val="2ndlevelbulletChar"/>
    <w:qFormat/>
    <w:rsid w:val="0084028F"/>
    <w:pPr>
      <w:numPr>
        <w:ilvl w:val="1"/>
      </w:numPr>
      <w:ind w:left="851"/>
    </w:pPr>
  </w:style>
  <w:style w:type="character" w:customStyle="1" w:styleId="1stlevelbulletedtextChar">
    <w:name w:val="1st level bulleted text Char"/>
    <w:basedOn w:val="DefaultParagraphFont"/>
    <w:link w:val="1stlevelbulletedtext"/>
    <w:rsid w:val="0084028F"/>
    <w:rPr>
      <w:rFonts w:cs="Times New Roman"/>
    </w:rPr>
  </w:style>
  <w:style w:type="paragraph" w:customStyle="1" w:styleId="3rdlevelbullet">
    <w:name w:val="3rd level bullet"/>
    <w:basedOn w:val="1stlevelbulletedtext"/>
    <w:link w:val="3rdlevelbulletChar"/>
    <w:qFormat/>
    <w:rsid w:val="0084028F"/>
    <w:pPr>
      <w:numPr>
        <w:ilvl w:val="2"/>
      </w:numPr>
      <w:ind w:left="1276"/>
    </w:pPr>
  </w:style>
  <w:style w:type="character" w:customStyle="1" w:styleId="2ndlevelbulletChar">
    <w:name w:val="2nd level bullet Char"/>
    <w:basedOn w:val="1stlevelbulletedtextChar"/>
    <w:link w:val="2ndlevelbullet"/>
    <w:rsid w:val="0084028F"/>
    <w:rPr>
      <w:rFonts w:cs="Times New Roman"/>
    </w:rPr>
  </w:style>
  <w:style w:type="paragraph" w:customStyle="1" w:styleId="4thlevelbullet">
    <w:name w:val="4th level bullet"/>
    <w:basedOn w:val="1stlevelbulletedtext"/>
    <w:link w:val="4thlevelbulletChar"/>
    <w:qFormat/>
    <w:rsid w:val="0084028F"/>
    <w:pPr>
      <w:numPr>
        <w:ilvl w:val="3"/>
      </w:numPr>
      <w:ind w:left="1701"/>
    </w:pPr>
  </w:style>
  <w:style w:type="character" w:customStyle="1" w:styleId="3rdlevelbulletChar">
    <w:name w:val="3rd level bullet Char"/>
    <w:basedOn w:val="1stlevelbulletedtextChar"/>
    <w:link w:val="3rdlevelbullet"/>
    <w:rsid w:val="0084028F"/>
    <w:rPr>
      <w:rFonts w:cs="Times New Roman"/>
    </w:rPr>
  </w:style>
  <w:style w:type="character" w:customStyle="1" w:styleId="4thlevelbulletChar">
    <w:name w:val="4th level bullet Char"/>
    <w:basedOn w:val="1stlevelbulletedtextChar"/>
    <w:link w:val="4thlevelbullet"/>
    <w:rsid w:val="0084028F"/>
    <w:rPr>
      <w:rFonts w:cs="Times New Roman"/>
    </w:rPr>
  </w:style>
  <w:style w:type="paragraph" w:styleId="BalloonText">
    <w:name w:val="Balloon Text"/>
    <w:basedOn w:val="Normal"/>
    <w:link w:val="BalloonTextChar"/>
    <w:uiPriority w:val="99"/>
    <w:semiHidden/>
    <w:unhideWhenUsed/>
    <w:rsid w:val="008402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8F"/>
    <w:rPr>
      <w:rFonts w:ascii="Segoe UI" w:hAnsi="Segoe UI" w:cs="Segoe UI"/>
      <w:sz w:val="18"/>
      <w:szCs w:val="18"/>
    </w:rPr>
  </w:style>
  <w:style w:type="paragraph" w:styleId="ListParagraph">
    <w:name w:val="List Paragraph"/>
    <w:basedOn w:val="Normal"/>
    <w:uiPriority w:val="34"/>
    <w:qFormat/>
    <w:rsid w:val="0084028F"/>
    <w:pPr>
      <w:ind w:left="720"/>
      <w:contextualSpacing/>
    </w:pPr>
  </w:style>
  <w:style w:type="character" w:styleId="CommentReference">
    <w:name w:val="annotation reference"/>
    <w:basedOn w:val="DefaultParagraphFont"/>
    <w:uiPriority w:val="99"/>
    <w:semiHidden/>
    <w:unhideWhenUsed/>
    <w:rsid w:val="0084028F"/>
    <w:rPr>
      <w:sz w:val="16"/>
      <w:szCs w:val="16"/>
    </w:rPr>
  </w:style>
  <w:style w:type="paragraph" w:styleId="CommentText">
    <w:name w:val="annotation text"/>
    <w:basedOn w:val="Normal"/>
    <w:link w:val="CommentTextChar"/>
    <w:uiPriority w:val="99"/>
    <w:semiHidden/>
    <w:unhideWhenUsed/>
    <w:rsid w:val="0084028F"/>
    <w:pPr>
      <w:spacing w:line="240" w:lineRule="auto"/>
    </w:pPr>
    <w:rPr>
      <w:sz w:val="20"/>
      <w:szCs w:val="20"/>
    </w:rPr>
  </w:style>
  <w:style w:type="character" w:customStyle="1" w:styleId="CommentTextChar">
    <w:name w:val="Comment Text Char"/>
    <w:basedOn w:val="DefaultParagraphFont"/>
    <w:link w:val="CommentText"/>
    <w:uiPriority w:val="99"/>
    <w:semiHidden/>
    <w:rsid w:val="0084028F"/>
    <w:rPr>
      <w:rFonts w:cs="Times New Roman"/>
      <w:sz w:val="20"/>
      <w:szCs w:val="20"/>
    </w:rPr>
  </w:style>
  <w:style w:type="paragraph" w:styleId="CommentSubject">
    <w:name w:val="annotation subject"/>
    <w:basedOn w:val="CommentText"/>
    <w:next w:val="CommentText"/>
    <w:link w:val="CommentSubjectChar"/>
    <w:uiPriority w:val="99"/>
    <w:semiHidden/>
    <w:unhideWhenUsed/>
    <w:rsid w:val="0084028F"/>
    <w:rPr>
      <w:b/>
      <w:bCs/>
    </w:rPr>
  </w:style>
  <w:style w:type="character" w:customStyle="1" w:styleId="CommentSubjectChar">
    <w:name w:val="Comment Subject Char"/>
    <w:basedOn w:val="CommentTextChar"/>
    <w:link w:val="CommentSubject"/>
    <w:uiPriority w:val="99"/>
    <w:semiHidden/>
    <w:rsid w:val="0084028F"/>
    <w:rPr>
      <w:rFonts w:cs="Times New Roman"/>
      <w:b/>
      <w:bCs/>
      <w:sz w:val="20"/>
      <w:szCs w:val="20"/>
    </w:rPr>
  </w:style>
  <w:style w:type="character" w:styleId="Hyperlink">
    <w:name w:val="Hyperlink"/>
    <w:basedOn w:val="DefaultParagraphFont"/>
    <w:uiPriority w:val="99"/>
    <w:unhideWhenUsed/>
    <w:rsid w:val="0084028F"/>
    <w:rPr>
      <w:color w:val="0563C1" w:themeColor="hyperlink"/>
      <w:u w:val="single"/>
    </w:rPr>
  </w:style>
  <w:style w:type="character" w:styleId="FollowedHyperlink">
    <w:name w:val="FollowedHyperlink"/>
    <w:basedOn w:val="DefaultParagraphFont"/>
    <w:uiPriority w:val="99"/>
    <w:semiHidden/>
    <w:unhideWhenUsed/>
    <w:rsid w:val="0084028F"/>
    <w:rPr>
      <w:color w:val="954F72" w:themeColor="followedHyperlink"/>
      <w:u w:val="single"/>
    </w:rPr>
  </w:style>
  <w:style w:type="paragraph" w:customStyle="1" w:styleId="normal0">
    <w:name w:val="_normal"/>
    <w:basedOn w:val="Normal"/>
    <w:uiPriority w:val="99"/>
    <w:rsid w:val="0084028F"/>
    <w:pPr>
      <w:spacing w:before="120" w:after="200" w:line="240" w:lineRule="auto"/>
    </w:pPr>
    <w:rPr>
      <w:rFonts w:ascii="Arial" w:eastAsia="Calibri" w:hAnsi="Arial" w:cs="Arial"/>
      <w:lang w:val="en-US"/>
    </w:rPr>
  </w:style>
  <w:style w:type="paragraph" w:styleId="Revision">
    <w:name w:val="Revision"/>
    <w:hidden/>
    <w:uiPriority w:val="99"/>
    <w:semiHidden/>
    <w:rsid w:val="0084028F"/>
    <w:pPr>
      <w:spacing w:after="0" w:line="240" w:lineRule="auto"/>
    </w:pPr>
    <w:rPr>
      <w:rFonts w:cs="Times New Roman"/>
    </w:rPr>
  </w:style>
  <w:style w:type="paragraph" w:customStyle="1" w:styleId="EndNoteBibliographyTitle">
    <w:name w:val="EndNote Bibliography Title"/>
    <w:basedOn w:val="Normal"/>
    <w:link w:val="EndNoteBibliographyTitleChar"/>
    <w:rsid w:val="0084028F"/>
    <w:pPr>
      <w:jc w:val="center"/>
    </w:pPr>
    <w:rPr>
      <w:rFonts w:ascii="Calibri" w:hAnsi="Calibri" w:cs="Calibri"/>
      <w:noProof/>
      <w:lang w:val="en-US"/>
    </w:rPr>
  </w:style>
  <w:style w:type="character" w:customStyle="1" w:styleId="EndNoteBibliographyTitleChar">
    <w:name w:val="EndNote Bibliography Title Char"/>
    <w:basedOn w:val="1stlevelbulletedtextChar"/>
    <w:link w:val="EndNoteBibliographyTitle"/>
    <w:rsid w:val="0084028F"/>
    <w:rPr>
      <w:rFonts w:ascii="Calibri" w:hAnsi="Calibri" w:cs="Calibri"/>
      <w:noProof/>
      <w:lang w:val="en-US"/>
    </w:rPr>
  </w:style>
  <w:style w:type="paragraph" w:customStyle="1" w:styleId="EndNoteBibliography">
    <w:name w:val="EndNote Bibliography"/>
    <w:basedOn w:val="Normal"/>
    <w:link w:val="EndNoteBibliographyChar"/>
    <w:rsid w:val="0084028F"/>
    <w:pPr>
      <w:spacing w:line="240" w:lineRule="auto"/>
    </w:pPr>
    <w:rPr>
      <w:rFonts w:ascii="Calibri" w:hAnsi="Calibri" w:cs="Calibri"/>
      <w:noProof/>
      <w:lang w:val="en-US"/>
    </w:rPr>
  </w:style>
  <w:style w:type="character" w:customStyle="1" w:styleId="EndNoteBibliographyChar">
    <w:name w:val="EndNote Bibliography Char"/>
    <w:basedOn w:val="1stlevelbulletedtextChar"/>
    <w:link w:val="EndNoteBibliography"/>
    <w:rsid w:val="0084028F"/>
    <w:rPr>
      <w:rFonts w:ascii="Calibri" w:hAnsi="Calibri" w:cs="Calibri"/>
      <w:noProof/>
      <w:lang w:val="en-US"/>
    </w:rPr>
  </w:style>
  <w:style w:type="character" w:styleId="Emphasis">
    <w:name w:val="Emphasis"/>
    <w:basedOn w:val="DefaultParagraphFont"/>
    <w:uiPriority w:val="20"/>
    <w:qFormat/>
    <w:rsid w:val="0084028F"/>
    <w:rPr>
      <w:b/>
      <w:bCs/>
      <w:i w:val="0"/>
      <w:iCs w:val="0"/>
    </w:rPr>
  </w:style>
  <w:style w:type="paragraph" w:styleId="PlainText">
    <w:name w:val="Plain Text"/>
    <w:basedOn w:val="Normal"/>
    <w:link w:val="PlainTextChar"/>
    <w:uiPriority w:val="99"/>
    <w:semiHidden/>
    <w:unhideWhenUsed/>
    <w:rsid w:val="0084028F"/>
    <w:pPr>
      <w:spacing w:line="240" w:lineRule="auto"/>
    </w:pPr>
    <w:rPr>
      <w:rFonts w:ascii="Calibri" w:hAnsi="Calibri" w:cstheme="minorBidi"/>
      <w:szCs w:val="21"/>
    </w:rPr>
  </w:style>
  <w:style w:type="character" w:customStyle="1" w:styleId="PlainTextChar">
    <w:name w:val="Plain Text Char"/>
    <w:basedOn w:val="DefaultParagraphFont"/>
    <w:link w:val="PlainText"/>
    <w:uiPriority w:val="99"/>
    <w:semiHidden/>
    <w:rsid w:val="0084028F"/>
    <w:rPr>
      <w:rFonts w:ascii="Calibri" w:hAnsi="Calibri"/>
      <w:szCs w:val="21"/>
    </w:rPr>
  </w:style>
  <w:style w:type="character" w:customStyle="1" w:styleId="UnresolvedMention1">
    <w:name w:val="Unresolved Mention1"/>
    <w:basedOn w:val="DefaultParagraphFont"/>
    <w:uiPriority w:val="99"/>
    <w:semiHidden/>
    <w:unhideWhenUsed/>
    <w:rsid w:val="0084028F"/>
    <w:rPr>
      <w:color w:val="605E5C"/>
      <w:shd w:val="clear" w:color="auto" w:fill="E1DFDD"/>
    </w:rPr>
  </w:style>
  <w:style w:type="paragraph" w:customStyle="1" w:styleId="Title1">
    <w:name w:val="Title1"/>
    <w:basedOn w:val="Normal"/>
    <w:rsid w:val="0084028F"/>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sc">
    <w:name w:val="desc"/>
    <w:basedOn w:val="Normal"/>
    <w:rsid w:val="0084028F"/>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details">
    <w:name w:val="details"/>
    <w:basedOn w:val="Normal"/>
    <w:rsid w:val="0084028F"/>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jrnl">
    <w:name w:val="jrnl"/>
    <w:basedOn w:val="DefaultParagraphFont"/>
    <w:rsid w:val="0084028F"/>
  </w:style>
  <w:style w:type="character" w:styleId="Strong">
    <w:name w:val="Strong"/>
    <w:basedOn w:val="DefaultParagraphFont"/>
    <w:uiPriority w:val="22"/>
    <w:qFormat/>
    <w:rsid w:val="0084028F"/>
    <w:rPr>
      <w:b/>
      <w:bCs/>
    </w:rPr>
  </w:style>
  <w:style w:type="paragraph" w:styleId="NormalWeb">
    <w:name w:val="Normal (Web)"/>
    <w:basedOn w:val="Normal"/>
    <w:uiPriority w:val="99"/>
    <w:semiHidden/>
    <w:unhideWhenUsed/>
    <w:rsid w:val="0084028F"/>
    <w:pPr>
      <w:spacing w:before="240" w:after="240"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84028F"/>
    <w:rPr>
      <w:color w:val="605E5C"/>
      <w:shd w:val="clear" w:color="auto" w:fill="E1DFDD"/>
    </w:rPr>
  </w:style>
  <w:style w:type="character" w:customStyle="1" w:styleId="UnresolvedMention3">
    <w:name w:val="Unresolved Mention3"/>
    <w:basedOn w:val="DefaultParagraphFont"/>
    <w:uiPriority w:val="99"/>
    <w:semiHidden/>
    <w:unhideWhenUsed/>
    <w:rsid w:val="0084028F"/>
    <w:rPr>
      <w:color w:val="605E5C"/>
      <w:shd w:val="clear" w:color="auto" w:fill="E1DFDD"/>
    </w:rPr>
  </w:style>
  <w:style w:type="character" w:customStyle="1" w:styleId="UnresolvedMention4">
    <w:name w:val="Unresolved Mention4"/>
    <w:basedOn w:val="DefaultParagraphFont"/>
    <w:uiPriority w:val="99"/>
    <w:semiHidden/>
    <w:unhideWhenUsed/>
    <w:rsid w:val="0084028F"/>
    <w:rPr>
      <w:color w:val="605E5C"/>
      <w:shd w:val="clear" w:color="auto" w:fill="E1DFDD"/>
    </w:rPr>
  </w:style>
  <w:style w:type="character" w:styleId="LineNumber">
    <w:name w:val="line number"/>
    <w:basedOn w:val="DefaultParagraphFont"/>
    <w:uiPriority w:val="99"/>
    <w:semiHidden/>
    <w:unhideWhenUsed/>
    <w:rsid w:val="0084028F"/>
  </w:style>
  <w:style w:type="character" w:customStyle="1" w:styleId="UnresolvedMention5">
    <w:name w:val="Unresolved Mention5"/>
    <w:basedOn w:val="DefaultParagraphFont"/>
    <w:uiPriority w:val="99"/>
    <w:semiHidden/>
    <w:unhideWhenUsed/>
    <w:rsid w:val="0084028F"/>
    <w:rPr>
      <w:color w:val="605E5C"/>
      <w:shd w:val="clear" w:color="auto" w:fill="E1DFDD"/>
    </w:rPr>
  </w:style>
  <w:style w:type="character" w:styleId="UnresolvedMention">
    <w:name w:val="Unresolved Mention"/>
    <w:basedOn w:val="DefaultParagraphFont"/>
    <w:uiPriority w:val="99"/>
    <w:semiHidden/>
    <w:unhideWhenUsed/>
    <w:rsid w:val="00840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FA0963FA69A646AA916D2E41284FC10000289C1BAEBADFAA4EB3F6D8D42D07F1E8" ma:contentTypeVersion="0" ma:contentTypeDescription="Create a new document." ma:contentTypeScope="" ma:versionID="aeebfe1974fb68907482fab4d4cdb8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14161-AF55-409A-95FE-3599F1E2B252}">
  <ds:schemaRefs>
    <ds:schemaRef ds:uri="http://schemas.microsoft.com/sharepoint/v3/contenttype/forms"/>
  </ds:schemaRefs>
</ds:datastoreItem>
</file>

<file path=customXml/itemProps2.xml><?xml version="1.0" encoding="utf-8"?>
<ds:datastoreItem xmlns:ds="http://schemas.openxmlformats.org/officeDocument/2006/customXml" ds:itemID="{819C767E-4CED-45C7-BCCA-956A3DAF9D6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F0B3A0-7ED7-4701-BC81-C9380F0B7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1853</Words>
  <Characters>10567</Characters>
  <Application>Microsoft Office Word</Application>
  <DocSecurity>0</DocSecurity>
  <Lines>88</Lines>
  <Paragraphs>24</Paragraphs>
  <ScaleCrop>false</ScaleCrop>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Leigh (GLA-CMC)</dc:creator>
  <cp:keywords/>
  <dc:description/>
  <cp:lastModifiedBy>Clements, Leigh (GLA-CMC)</cp:lastModifiedBy>
  <cp:revision>3</cp:revision>
  <dcterms:created xsi:type="dcterms:W3CDTF">2021-05-12T09:11:00Z</dcterms:created>
  <dcterms:modified xsi:type="dcterms:W3CDTF">2021-05-13T15:52:00Z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0x010100FA0963FA69A646AA916D2E41284FC10000289C1BAEBADFAA4EB3F6D8D42D07F1E8</vt:lpwstr>
  </property>
</Properties>
</file>