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7184" w14:textId="67B1B05D" w:rsidR="00CE72F3" w:rsidRDefault="00CE72F3" w:rsidP="002C4785">
      <w:pPr>
        <w:spacing w:line="360" w:lineRule="auto"/>
        <w:jc w:val="center"/>
        <w:rPr>
          <w:b/>
          <w:bCs/>
          <w:i/>
          <w:iCs/>
        </w:rPr>
      </w:pPr>
      <w:r>
        <w:rPr>
          <w:rFonts w:hint="eastAsia"/>
          <w:b/>
          <w:bCs/>
          <w:i/>
          <w:iCs/>
        </w:rPr>
        <w:t>S</w:t>
      </w:r>
      <w:r>
        <w:rPr>
          <w:b/>
          <w:bCs/>
          <w:i/>
          <w:iCs/>
        </w:rPr>
        <w:t>upplementary Materials</w:t>
      </w:r>
    </w:p>
    <w:p w14:paraId="47F362E0" w14:textId="5C84231B" w:rsidR="002C4785" w:rsidRPr="008D3993" w:rsidRDefault="002C4785" w:rsidP="002C4785">
      <w:pPr>
        <w:spacing w:line="360" w:lineRule="auto"/>
        <w:jc w:val="center"/>
        <w:rPr>
          <w:b/>
          <w:bCs/>
          <w:i/>
          <w:iCs/>
        </w:rPr>
      </w:pPr>
      <w:r w:rsidRPr="008D3993">
        <w:rPr>
          <w:b/>
          <w:bCs/>
          <w:i/>
          <w:iCs/>
        </w:rPr>
        <w:t>Juzentaihoto Exerts Anti-</w:t>
      </w:r>
      <w:r w:rsidR="00CE72F3">
        <w:rPr>
          <w:rFonts w:hint="eastAsia"/>
          <w:b/>
          <w:bCs/>
          <w:i/>
          <w:iCs/>
        </w:rPr>
        <w:t>allergic</w:t>
      </w:r>
      <w:r w:rsidRPr="008D3993">
        <w:rPr>
          <w:b/>
          <w:bCs/>
          <w:i/>
          <w:iCs/>
        </w:rPr>
        <w:t xml:space="preserve"> Effect by Inhibiting Effector T Cell Activation and Inducing and/or Activating Regulatory T Cells in a Murine Model of Contact Hypersensitivity</w:t>
      </w:r>
    </w:p>
    <w:p w14:paraId="5F24F913" w14:textId="77777777" w:rsidR="002C4785" w:rsidRDefault="002C4785" w:rsidP="002C4785">
      <w:pPr>
        <w:spacing w:line="360" w:lineRule="auto"/>
        <w:jc w:val="center"/>
      </w:pPr>
    </w:p>
    <w:p w14:paraId="2874359B" w14:textId="77777777" w:rsidR="002C4785" w:rsidRDefault="002C4785" w:rsidP="002C4785">
      <w:pPr>
        <w:spacing w:line="360" w:lineRule="auto"/>
        <w:jc w:val="center"/>
      </w:pPr>
    </w:p>
    <w:p w14:paraId="0D393DC6" w14:textId="77777777" w:rsidR="002C4785" w:rsidRDefault="002C4785" w:rsidP="002C4785">
      <w:pPr>
        <w:spacing w:line="360" w:lineRule="auto"/>
        <w:jc w:val="center"/>
      </w:pPr>
      <w:r>
        <w:rPr>
          <w:rFonts w:hint="eastAsia"/>
        </w:rPr>
        <w:t>A</w:t>
      </w:r>
      <w:r>
        <w:t>tsushi Tsuge</w:t>
      </w:r>
      <w:r>
        <w:rPr>
          <w:vertAlign w:val="superscript"/>
        </w:rPr>
        <w:t>a</w:t>
      </w:r>
      <w:r>
        <w:t>, Sho Yonekura</w:t>
      </w:r>
      <w:r>
        <w:rPr>
          <w:vertAlign w:val="superscript"/>
        </w:rPr>
        <w:t>a</w:t>
      </w:r>
      <w:r>
        <w:t>, Satomi Watanabe</w:t>
      </w:r>
      <w:r>
        <w:rPr>
          <w:vertAlign w:val="superscript"/>
        </w:rPr>
        <w:t>b</w:t>
      </w:r>
      <w:r>
        <w:t>, Yuta Kurosaki</w:t>
      </w:r>
      <w:r>
        <w:rPr>
          <w:vertAlign w:val="superscript"/>
        </w:rPr>
        <w:t>b</w:t>
      </w:r>
      <w:r>
        <w:t>, Shinsuke Hisaka</w:t>
      </w:r>
      <w:r>
        <w:rPr>
          <w:vertAlign w:val="superscript"/>
        </w:rPr>
        <w:t>b</w:t>
      </w:r>
      <w:r>
        <w:t>, Mitsuhiko Nose</w:t>
      </w:r>
      <w:r>
        <w:rPr>
          <w:vertAlign w:val="superscript"/>
        </w:rPr>
        <w:t>a, b</w:t>
      </w:r>
    </w:p>
    <w:p w14:paraId="68038CD3" w14:textId="77777777" w:rsidR="002C4785" w:rsidRDefault="002C4785" w:rsidP="002C4785">
      <w:pPr>
        <w:spacing w:line="360" w:lineRule="auto"/>
        <w:jc w:val="left"/>
      </w:pPr>
    </w:p>
    <w:p w14:paraId="6B3E67D2" w14:textId="77777777" w:rsidR="002C4785" w:rsidRDefault="002C4785" w:rsidP="002C4785">
      <w:pPr>
        <w:spacing w:line="360" w:lineRule="auto"/>
        <w:jc w:val="left"/>
      </w:pPr>
      <w:r>
        <w:rPr>
          <w:vertAlign w:val="superscript"/>
        </w:rPr>
        <w:t>a</w:t>
      </w:r>
      <w:r>
        <w:t xml:space="preserve"> </w:t>
      </w:r>
      <w:r>
        <w:rPr>
          <w:rFonts w:hint="eastAsia"/>
        </w:rPr>
        <w:t>D</w:t>
      </w:r>
      <w:r>
        <w:t>epartment of Pharmacognosy, Graduate School of Pharmacy, Meijo University</w:t>
      </w:r>
    </w:p>
    <w:p w14:paraId="5421D614" w14:textId="77777777" w:rsidR="002C4785" w:rsidRDefault="002C4785" w:rsidP="002C4785">
      <w:pPr>
        <w:spacing w:line="360" w:lineRule="auto"/>
        <w:jc w:val="left"/>
      </w:pPr>
      <w:r>
        <w:rPr>
          <w:vertAlign w:val="superscript"/>
        </w:rPr>
        <w:t xml:space="preserve">b </w:t>
      </w:r>
      <w:r>
        <w:t>Department of Pharmacognosy, Faculty of Pharmacy, Meijo University</w:t>
      </w:r>
    </w:p>
    <w:p w14:paraId="311EA199" w14:textId="77777777" w:rsidR="002C4785" w:rsidRDefault="002C4785" w:rsidP="002C4785">
      <w:pPr>
        <w:spacing w:line="360" w:lineRule="auto"/>
        <w:jc w:val="left"/>
      </w:pPr>
    </w:p>
    <w:p w14:paraId="7F2A265F" w14:textId="77777777" w:rsidR="002C4785" w:rsidRDefault="002C4785" w:rsidP="002C4785">
      <w:pPr>
        <w:spacing w:line="360" w:lineRule="auto"/>
        <w:jc w:val="left"/>
      </w:pPr>
      <w:r>
        <w:rPr>
          <w:rFonts w:hint="eastAsia"/>
        </w:rPr>
        <w:t>S</w:t>
      </w:r>
      <w:r>
        <w:t xml:space="preserve">hort Title: Juzentaihoto exerts anti-allergic effects by regulating effector and regulatory T cells </w:t>
      </w:r>
    </w:p>
    <w:p w14:paraId="0F0F08C5" w14:textId="77777777" w:rsidR="002C4785" w:rsidRDefault="002C4785" w:rsidP="002C4785">
      <w:pPr>
        <w:spacing w:line="360" w:lineRule="auto"/>
        <w:jc w:val="left"/>
      </w:pPr>
    </w:p>
    <w:p w14:paraId="4ED02397" w14:textId="77777777" w:rsidR="002C4785" w:rsidRDefault="002C4785" w:rsidP="002C4785">
      <w:pPr>
        <w:spacing w:line="360" w:lineRule="auto"/>
        <w:jc w:val="left"/>
        <w:rPr>
          <w:rFonts w:ascii="Century" w:eastAsia="ＭＳ 明朝" w:hAnsi="Century" w:cs="Times New Roman"/>
        </w:rPr>
      </w:pPr>
      <w:r>
        <w:rPr>
          <w:rFonts w:ascii="Century" w:eastAsia="ＭＳ 明朝" w:hAnsi="Century" w:cs="Times New Roman"/>
        </w:rPr>
        <w:t>C</w:t>
      </w:r>
      <w:r w:rsidRPr="001646A5">
        <w:rPr>
          <w:rFonts w:ascii="Century" w:eastAsia="ＭＳ 明朝" w:hAnsi="Century" w:cs="Times New Roman"/>
        </w:rPr>
        <w:t>orrespond</w:t>
      </w:r>
      <w:r>
        <w:rPr>
          <w:rFonts w:ascii="Century" w:eastAsia="ＭＳ 明朝" w:hAnsi="Century" w:cs="Times New Roman"/>
        </w:rPr>
        <w:t>ing Author: Dr. Mitsuhiko Nose</w:t>
      </w:r>
    </w:p>
    <w:p w14:paraId="21F23046" w14:textId="77777777" w:rsidR="002C4785" w:rsidRDefault="002C4785" w:rsidP="002C4785">
      <w:pPr>
        <w:spacing w:line="360" w:lineRule="auto"/>
        <w:jc w:val="left"/>
        <w:rPr>
          <w:rFonts w:ascii="Century" w:eastAsia="ＭＳ 明朝" w:hAnsi="Century" w:cs="Times New Roman"/>
        </w:rPr>
      </w:pPr>
      <w:r>
        <w:rPr>
          <w:rFonts w:ascii="Century" w:eastAsia="ＭＳ 明朝" w:hAnsi="Century" w:cs="Times New Roman" w:hint="eastAsia"/>
        </w:rPr>
        <w:t>D</w:t>
      </w:r>
      <w:r>
        <w:rPr>
          <w:rFonts w:ascii="Century" w:eastAsia="ＭＳ 明朝" w:hAnsi="Century" w:cs="Times New Roman"/>
        </w:rPr>
        <w:t>epartment of Pharmacognosy, Graduate School of Pharmacy, Meijo University,</w:t>
      </w:r>
    </w:p>
    <w:p w14:paraId="6332ADCB" w14:textId="77777777" w:rsidR="002C4785" w:rsidRPr="00E8411D" w:rsidRDefault="002C4785" w:rsidP="002C4785">
      <w:pPr>
        <w:spacing w:line="360" w:lineRule="auto"/>
        <w:jc w:val="left"/>
      </w:pPr>
      <w:r>
        <w:t>150 Yagotoyama, Tempaku-ku, Nagoya, Aichi 468-8503, Japan</w:t>
      </w:r>
    </w:p>
    <w:p w14:paraId="2A421FB6" w14:textId="77777777" w:rsidR="002C4785" w:rsidRPr="008D3993" w:rsidRDefault="002C4785" w:rsidP="002C4785">
      <w:pPr>
        <w:spacing w:line="360" w:lineRule="auto"/>
        <w:jc w:val="left"/>
        <w:rPr>
          <w:rFonts w:ascii="Century" w:eastAsia="ＭＳ 明朝" w:hAnsi="Century" w:cs="Times New Roman"/>
        </w:rPr>
      </w:pPr>
      <w:r>
        <w:rPr>
          <w:rFonts w:ascii="Century" w:eastAsia="ＭＳ 明朝" w:hAnsi="Century" w:cs="Times New Roman"/>
        </w:rPr>
        <w:t>Tel: +81-(0)52-839-2690</w:t>
      </w:r>
    </w:p>
    <w:p w14:paraId="45C75039" w14:textId="77777777" w:rsidR="002C4785" w:rsidRPr="001646A5" w:rsidRDefault="002C4785" w:rsidP="002C4785">
      <w:pPr>
        <w:spacing w:line="360" w:lineRule="auto"/>
        <w:jc w:val="left"/>
        <w:rPr>
          <w:rFonts w:ascii="Century" w:eastAsia="ＭＳ 明朝" w:hAnsi="Century" w:cs="Times New Roman"/>
        </w:rPr>
      </w:pPr>
      <w:r w:rsidRPr="001646A5">
        <w:rPr>
          <w:rFonts w:ascii="Century" w:eastAsia="ＭＳ 明朝" w:hAnsi="Century" w:cs="Times New Roman"/>
        </w:rPr>
        <w:t>E-mail: nose@meijo-u.ac.jp</w:t>
      </w:r>
    </w:p>
    <w:p w14:paraId="0A5D8303" w14:textId="77777777" w:rsidR="002C4785" w:rsidRPr="001646A5" w:rsidRDefault="002C4785" w:rsidP="002C4785">
      <w:pPr>
        <w:spacing w:line="360" w:lineRule="auto"/>
        <w:jc w:val="left"/>
        <w:rPr>
          <w:rFonts w:ascii="Century" w:eastAsia="ＭＳ 明朝" w:hAnsi="Century" w:cs="Times New Roman"/>
        </w:rPr>
      </w:pPr>
      <w:r w:rsidRPr="001646A5">
        <w:rPr>
          <w:rFonts w:ascii="Century" w:eastAsia="ＭＳ 明朝" w:hAnsi="Century" w:cs="Times New Roman" w:hint="eastAsia"/>
        </w:rPr>
        <w:t>Tel:</w:t>
      </w:r>
      <w:r w:rsidRPr="001646A5">
        <w:rPr>
          <w:rFonts w:ascii="Century" w:eastAsia="ＭＳ 明朝" w:hAnsi="Century" w:cs="Times New Roman"/>
        </w:rPr>
        <w:t xml:space="preserve"> </w:t>
      </w:r>
      <w:r w:rsidRPr="001646A5">
        <w:rPr>
          <w:rFonts w:ascii="Century" w:eastAsia="ＭＳ 明朝" w:hAnsi="Century" w:cs="Times New Roman" w:hint="eastAsia"/>
        </w:rPr>
        <w:t>+81-(0)52-838-2690</w:t>
      </w:r>
    </w:p>
    <w:p w14:paraId="4077B792" w14:textId="77777777" w:rsidR="002C4785" w:rsidRDefault="002C4785" w:rsidP="002C4785">
      <w:pPr>
        <w:spacing w:line="360" w:lineRule="auto"/>
        <w:jc w:val="left"/>
        <w:rPr>
          <w:rFonts w:ascii="Century" w:eastAsia="ＭＳ 明朝" w:hAnsi="Century" w:cs="Times New Roman"/>
        </w:rPr>
      </w:pPr>
      <w:r w:rsidRPr="001646A5">
        <w:rPr>
          <w:rFonts w:ascii="Century" w:eastAsia="ＭＳ 明朝" w:hAnsi="Century" w:cs="Times New Roman" w:hint="eastAsia"/>
        </w:rPr>
        <w:t>Fax:</w:t>
      </w:r>
      <w:r w:rsidRPr="001646A5">
        <w:rPr>
          <w:rFonts w:ascii="Century" w:eastAsia="ＭＳ 明朝" w:hAnsi="Century" w:cs="Times New Roman"/>
        </w:rPr>
        <w:t xml:space="preserve"> </w:t>
      </w:r>
      <w:r w:rsidRPr="001646A5">
        <w:rPr>
          <w:rFonts w:ascii="Century" w:eastAsia="ＭＳ 明朝" w:hAnsi="Century" w:cs="Times New Roman" w:hint="eastAsia"/>
        </w:rPr>
        <w:t>+81-(0)52-834-8090</w:t>
      </w:r>
    </w:p>
    <w:p w14:paraId="4BCA3FB1" w14:textId="77777777" w:rsidR="002C4785" w:rsidRDefault="002C4785" w:rsidP="002C4785">
      <w:pPr>
        <w:spacing w:line="360" w:lineRule="auto"/>
        <w:jc w:val="left"/>
      </w:pPr>
    </w:p>
    <w:p w14:paraId="28FA5978" w14:textId="5D28797E" w:rsidR="002C4785" w:rsidRDefault="002C4785" w:rsidP="002C4785">
      <w:pPr>
        <w:widowControl/>
        <w:spacing w:line="360" w:lineRule="auto"/>
        <w:jc w:val="left"/>
      </w:pPr>
      <w:r>
        <w:rPr>
          <w:rFonts w:hint="eastAsia"/>
        </w:rPr>
        <w:t>N</w:t>
      </w:r>
      <w:r>
        <w:t xml:space="preserve">umber of Tables: </w:t>
      </w:r>
      <w:r w:rsidR="00CE72F3">
        <w:t>0</w:t>
      </w:r>
    </w:p>
    <w:p w14:paraId="27472736" w14:textId="74C9AF09" w:rsidR="002C4785" w:rsidRDefault="002C4785" w:rsidP="002C4785">
      <w:pPr>
        <w:widowControl/>
        <w:spacing w:line="360" w:lineRule="auto"/>
        <w:jc w:val="left"/>
      </w:pPr>
      <w:r>
        <w:rPr>
          <w:rFonts w:hint="eastAsia"/>
        </w:rPr>
        <w:t>N</w:t>
      </w:r>
      <w:r>
        <w:t xml:space="preserve">umber of Figures: </w:t>
      </w:r>
      <w:r w:rsidR="00CE72F3">
        <w:t>3</w:t>
      </w:r>
    </w:p>
    <w:p w14:paraId="6FB81B8E" w14:textId="0E513F39" w:rsidR="002C4785" w:rsidRDefault="002C4785" w:rsidP="002C4785">
      <w:pPr>
        <w:widowControl/>
        <w:spacing w:line="360" w:lineRule="auto"/>
        <w:jc w:val="left"/>
      </w:pPr>
      <w:r>
        <w:rPr>
          <w:rFonts w:hint="eastAsia"/>
        </w:rPr>
        <w:t>W</w:t>
      </w:r>
      <w:r>
        <w:t>ord count:</w:t>
      </w:r>
      <w:r w:rsidR="00CE72F3">
        <w:t xml:space="preserve"> </w:t>
      </w:r>
      <w:r w:rsidR="00C5586F">
        <w:t>416</w:t>
      </w:r>
    </w:p>
    <w:p w14:paraId="37395892" w14:textId="77777777" w:rsidR="002C4785" w:rsidRDefault="002C4785">
      <w:pPr>
        <w:widowControl/>
        <w:jc w:val="left"/>
        <w:rPr>
          <w:rFonts w:ascii="Century" w:hAnsi="Century"/>
          <w:b/>
          <w:bCs/>
        </w:rPr>
      </w:pPr>
      <w:r>
        <w:rPr>
          <w:rFonts w:ascii="Century" w:hAnsi="Century"/>
          <w:b/>
          <w:bCs/>
        </w:rPr>
        <w:br w:type="page"/>
      </w:r>
    </w:p>
    <w:p w14:paraId="30371F79" w14:textId="2B58D001" w:rsidR="002C4785" w:rsidRPr="002C4785" w:rsidRDefault="002C4785" w:rsidP="002C4785">
      <w:pPr>
        <w:spacing w:line="360" w:lineRule="auto"/>
        <w:rPr>
          <w:rFonts w:ascii="Century" w:hAnsi="Century" w:hint="eastAsia"/>
        </w:rPr>
      </w:pPr>
      <w:r w:rsidRPr="00B90501">
        <w:rPr>
          <w:rFonts w:ascii="Century" w:hAnsi="Century"/>
          <w:b/>
          <w:bCs/>
        </w:rPr>
        <w:lastRenderedPageBreak/>
        <w:t>Figure S</w:t>
      </w:r>
      <w:r>
        <w:rPr>
          <w:rFonts w:ascii="Century" w:hAnsi="Century"/>
          <w:b/>
          <w:bCs/>
        </w:rPr>
        <w:t>1</w:t>
      </w:r>
      <w:r w:rsidRPr="00B90501">
        <w:rPr>
          <w:rFonts w:ascii="Century" w:hAnsi="Century"/>
          <w:b/>
          <w:bCs/>
        </w:rPr>
        <w:t>.</w:t>
      </w:r>
      <w:r w:rsidRPr="00B90501">
        <w:rPr>
          <w:rFonts w:ascii="Century" w:hAnsi="Century"/>
        </w:rPr>
        <w:t xml:space="preserve"> </w:t>
      </w:r>
      <w:r>
        <w:rPr>
          <w:rFonts w:ascii="Century" w:hAnsi="Century"/>
        </w:rPr>
        <w:t>Three</w:t>
      </w:r>
      <w:r w:rsidRPr="00B90501">
        <w:rPr>
          <w:rFonts w:ascii="Century" w:hAnsi="Century"/>
        </w:rPr>
        <w:t>-</w:t>
      </w:r>
      <w:r>
        <w:rPr>
          <w:rFonts w:ascii="Century" w:hAnsi="Century"/>
        </w:rPr>
        <w:t>di</w:t>
      </w:r>
      <w:r w:rsidRPr="00B90501">
        <w:rPr>
          <w:rFonts w:ascii="Century" w:hAnsi="Century"/>
        </w:rPr>
        <w:t>mensional HPLC profile of juzentaihoto (JTT)</w:t>
      </w:r>
    </w:p>
    <w:p w14:paraId="3A3E07C9" w14:textId="77777777" w:rsidR="002C4785" w:rsidRDefault="002C4785" w:rsidP="002C4785">
      <w:pPr>
        <w:spacing w:line="360" w:lineRule="auto"/>
        <w:rPr>
          <w:rFonts w:ascii="Century" w:hAnsi="Century"/>
          <w:b/>
          <w:bCs/>
        </w:rPr>
      </w:pPr>
    </w:p>
    <w:p w14:paraId="1AFC232E" w14:textId="27824592" w:rsidR="00B90501" w:rsidRPr="00B90501" w:rsidRDefault="00B90501" w:rsidP="002C4785">
      <w:pPr>
        <w:spacing w:line="360" w:lineRule="auto"/>
        <w:rPr>
          <w:rFonts w:ascii="Century" w:hAnsi="Century"/>
        </w:rPr>
      </w:pPr>
      <w:r w:rsidRPr="00B90501">
        <w:rPr>
          <w:rFonts w:ascii="Century" w:hAnsi="Century"/>
          <w:b/>
          <w:bCs/>
        </w:rPr>
        <w:t>Figure S</w:t>
      </w:r>
      <w:r w:rsidR="002C4785">
        <w:rPr>
          <w:rFonts w:ascii="Century" w:hAnsi="Century"/>
          <w:b/>
          <w:bCs/>
        </w:rPr>
        <w:t>2</w:t>
      </w:r>
      <w:r w:rsidRPr="00B90501">
        <w:rPr>
          <w:rFonts w:ascii="Century" w:hAnsi="Century"/>
          <w:b/>
          <w:bCs/>
        </w:rPr>
        <w:t xml:space="preserve">. </w:t>
      </w:r>
      <w:r w:rsidRPr="00B90501">
        <w:rPr>
          <w:rFonts w:ascii="Century" w:hAnsi="Century"/>
        </w:rPr>
        <w:t xml:space="preserve">Effect of juzentaihoto (JTT) on the induction and/or activation of regulatory T cells without antigen sensitization </w:t>
      </w:r>
      <w:r>
        <w:rPr>
          <w:rFonts w:ascii="Century" w:hAnsi="Century"/>
        </w:rPr>
        <w:t>of</w:t>
      </w:r>
      <w:r w:rsidRPr="00B90501">
        <w:rPr>
          <w:rFonts w:ascii="Century" w:hAnsi="Century"/>
        </w:rPr>
        <w:t xml:space="preserve"> donor mice</w:t>
      </w:r>
    </w:p>
    <w:p w14:paraId="55DE636B" w14:textId="62F2A172" w:rsidR="00B90501" w:rsidRPr="00B90501" w:rsidRDefault="00B90501" w:rsidP="002C4785">
      <w:pPr>
        <w:spacing w:line="360" w:lineRule="auto"/>
        <w:rPr>
          <w:rFonts w:ascii="Century" w:hAnsi="Century"/>
        </w:rPr>
      </w:pPr>
      <w:r w:rsidRPr="00F460DF">
        <w:rPr>
          <w:rFonts w:ascii="Century" w:hAnsi="Century"/>
          <w:b/>
          <w:bCs/>
        </w:rPr>
        <w:t xml:space="preserve">(a) </w:t>
      </w:r>
      <w:r>
        <w:rPr>
          <w:rFonts w:ascii="Century" w:hAnsi="Century"/>
        </w:rPr>
        <w:t>E</w:t>
      </w:r>
      <w:r w:rsidRPr="00B90501">
        <w:rPr>
          <w:rFonts w:ascii="Century" w:hAnsi="Century"/>
        </w:rPr>
        <w:t>xperimental protocol</w:t>
      </w:r>
      <w:r>
        <w:rPr>
          <w:rFonts w:ascii="Century" w:hAnsi="Century"/>
        </w:rPr>
        <w:t>.</w:t>
      </w:r>
      <w:r w:rsidRPr="00B90501">
        <w:rPr>
          <w:rFonts w:ascii="Century" w:hAnsi="Century"/>
        </w:rPr>
        <w:t xml:space="preserve"> </w:t>
      </w:r>
      <w:r w:rsidRPr="00F460DF">
        <w:rPr>
          <w:rFonts w:ascii="Century" w:hAnsi="Century"/>
          <w:b/>
          <w:bCs/>
        </w:rPr>
        <w:t>(b)</w:t>
      </w:r>
      <w:r w:rsidRPr="00B90501">
        <w:rPr>
          <w:rFonts w:ascii="Century" w:hAnsi="Century"/>
        </w:rPr>
        <w:t xml:space="preserve"> </w:t>
      </w:r>
      <w:r>
        <w:rPr>
          <w:rFonts w:ascii="Century" w:hAnsi="Century"/>
        </w:rPr>
        <w:t>E</w:t>
      </w:r>
      <w:r w:rsidRPr="00B90501">
        <w:rPr>
          <w:rFonts w:ascii="Century" w:hAnsi="Century"/>
        </w:rPr>
        <w:t xml:space="preserve">ar swelling 24 h after the topical application of 1% TNCB on the ear. In donor mice, JTT (1.5 g/kg, 10 times the human dose) was administered orally once daily to the treated group and distilled water was administered to the control (CTRL) group. </w:t>
      </w:r>
      <w:r>
        <w:rPr>
          <w:rFonts w:ascii="Century" w:hAnsi="Century"/>
        </w:rPr>
        <w:t>After 7</w:t>
      </w:r>
      <w:r w:rsidRPr="00B90501">
        <w:rPr>
          <w:rFonts w:ascii="Century" w:hAnsi="Century"/>
        </w:rPr>
        <w:t xml:space="preserve"> days</w:t>
      </w:r>
      <w:r>
        <w:rPr>
          <w:rFonts w:ascii="Century" w:hAnsi="Century"/>
        </w:rPr>
        <w:t>,</w:t>
      </w:r>
      <w:r w:rsidRPr="00B90501">
        <w:rPr>
          <w:rFonts w:ascii="Century" w:hAnsi="Century"/>
        </w:rPr>
        <w:t xml:space="preserve"> lymphocytes were obtained from the d</w:t>
      </w:r>
      <w:r>
        <w:rPr>
          <w:rFonts w:ascii="Century" w:hAnsi="Century"/>
        </w:rPr>
        <w:t>LN</w:t>
      </w:r>
      <w:r w:rsidRPr="00B90501">
        <w:rPr>
          <w:rFonts w:ascii="Century" w:hAnsi="Century"/>
        </w:rPr>
        <w:t>s and injected into naïve recipient mice. The lymphocytes obtained from the control donor mice were injected intravenously into the CTRL group</w:t>
      </w:r>
      <w:r>
        <w:rPr>
          <w:rFonts w:ascii="Century" w:hAnsi="Century"/>
        </w:rPr>
        <w:t>, while</w:t>
      </w:r>
      <w:r w:rsidRPr="00B90501">
        <w:rPr>
          <w:rFonts w:ascii="Century" w:hAnsi="Century"/>
        </w:rPr>
        <w:t xml:space="preserve"> </w:t>
      </w:r>
      <w:r w:rsidR="00014B41">
        <w:rPr>
          <w:rFonts w:ascii="Century" w:hAnsi="Century"/>
        </w:rPr>
        <w:t>the</w:t>
      </w:r>
      <w:r w:rsidRPr="00B90501">
        <w:rPr>
          <w:rFonts w:ascii="Century" w:hAnsi="Century"/>
        </w:rPr>
        <w:t xml:space="preserve"> lymphocytes obtained from the JTT-treated donor mice were injected intravenously into the JTT group. HBSS alone was injected intravenously in the vehicle mice. All mice, except those in the normal (N) group were sensitized on shaved abdomens with 5% TNCB 24 h after cell transfer and then challenged on their right ears with 1% TNCB </w:t>
      </w:r>
      <w:r w:rsidR="00014B41">
        <w:rPr>
          <w:rFonts w:ascii="Century" w:hAnsi="Century"/>
        </w:rPr>
        <w:t xml:space="preserve">after </w:t>
      </w:r>
      <w:r w:rsidRPr="00B90501">
        <w:rPr>
          <w:rFonts w:ascii="Century" w:hAnsi="Century"/>
        </w:rPr>
        <w:t xml:space="preserve">7 days. Ear swelling was measured 24 h after the challenge. Each column represents the mean ± </w:t>
      </w:r>
      <w:r w:rsidR="002C4785">
        <w:rPr>
          <w:rFonts w:ascii="Century" w:hAnsi="Century"/>
        </w:rPr>
        <w:t>S.E.M</w:t>
      </w:r>
      <w:r w:rsidRPr="00B90501">
        <w:rPr>
          <w:rFonts w:ascii="Century" w:hAnsi="Century"/>
        </w:rPr>
        <w:t xml:space="preserve">. of 6 to 7 mice. *** </w:t>
      </w:r>
      <w:r w:rsidRPr="00B90501">
        <w:rPr>
          <w:rFonts w:ascii="Century" w:hAnsi="Century"/>
          <w:i/>
          <w:iCs/>
        </w:rPr>
        <w:t xml:space="preserve">p </w:t>
      </w:r>
      <w:r w:rsidRPr="00B90501">
        <w:rPr>
          <w:rFonts w:ascii="Century" w:hAnsi="Century"/>
        </w:rPr>
        <w:t xml:space="preserve">&lt; 0.001 </w:t>
      </w:r>
      <w:r w:rsidRPr="00B90501">
        <w:rPr>
          <w:rFonts w:ascii="Century" w:hAnsi="Century"/>
          <w:i/>
          <w:iCs/>
        </w:rPr>
        <w:t>vs.</w:t>
      </w:r>
      <w:r w:rsidRPr="00B90501">
        <w:rPr>
          <w:rFonts w:ascii="Century" w:hAnsi="Century"/>
        </w:rPr>
        <w:t xml:space="preserve"> the control group </w:t>
      </w:r>
      <w:r w:rsidR="00014B41">
        <w:rPr>
          <w:rFonts w:ascii="Century" w:hAnsi="Century"/>
        </w:rPr>
        <w:t>using</w:t>
      </w:r>
      <w:r w:rsidRPr="00B90501">
        <w:rPr>
          <w:rFonts w:ascii="Century" w:hAnsi="Century"/>
        </w:rPr>
        <w:t xml:space="preserve"> ANOVA with Bonferroni correction for multiple comparisons.</w:t>
      </w:r>
    </w:p>
    <w:p w14:paraId="4F98D331" w14:textId="77777777" w:rsidR="00B90501" w:rsidRPr="00B90501" w:rsidRDefault="00B90501" w:rsidP="002C4785">
      <w:pPr>
        <w:spacing w:line="360" w:lineRule="auto"/>
        <w:rPr>
          <w:rFonts w:ascii="Century" w:hAnsi="Century"/>
        </w:rPr>
      </w:pPr>
    </w:p>
    <w:p w14:paraId="34EAD80B" w14:textId="4ACC91FB" w:rsidR="00B90501" w:rsidRPr="00B90501" w:rsidRDefault="00B90501" w:rsidP="002C4785">
      <w:pPr>
        <w:spacing w:line="360" w:lineRule="auto"/>
        <w:rPr>
          <w:rFonts w:ascii="Century" w:hAnsi="Century"/>
        </w:rPr>
      </w:pPr>
      <w:r w:rsidRPr="00F460DF">
        <w:rPr>
          <w:rFonts w:ascii="Century" w:hAnsi="Century"/>
          <w:b/>
          <w:bCs/>
        </w:rPr>
        <w:t>Figure S</w:t>
      </w:r>
      <w:r w:rsidR="002C4785">
        <w:rPr>
          <w:rFonts w:ascii="Century" w:hAnsi="Century"/>
          <w:b/>
          <w:bCs/>
        </w:rPr>
        <w:t>3</w:t>
      </w:r>
      <w:r w:rsidR="00F460DF" w:rsidRPr="00F460DF">
        <w:rPr>
          <w:rFonts w:ascii="Century" w:hAnsi="Century"/>
          <w:b/>
          <w:bCs/>
        </w:rPr>
        <w:t>.</w:t>
      </w:r>
      <w:r w:rsidRPr="00F460DF">
        <w:rPr>
          <w:rFonts w:ascii="Century" w:hAnsi="Century"/>
          <w:b/>
          <w:bCs/>
        </w:rPr>
        <w:t xml:space="preserve"> </w:t>
      </w:r>
      <w:r w:rsidRPr="00B90501">
        <w:rPr>
          <w:rFonts w:ascii="Century" w:hAnsi="Century"/>
        </w:rPr>
        <w:t xml:space="preserve">Antigen specificity of regulatory T cells induced and/or activated </w:t>
      </w:r>
      <w:r w:rsidR="002634B9">
        <w:rPr>
          <w:rFonts w:ascii="Century" w:hAnsi="Century"/>
        </w:rPr>
        <w:t>b</w:t>
      </w:r>
      <w:r w:rsidRPr="00B90501">
        <w:rPr>
          <w:rFonts w:ascii="Century" w:hAnsi="Century"/>
        </w:rPr>
        <w:t>y oral administration of juzentaihoto (JTT)</w:t>
      </w:r>
    </w:p>
    <w:p w14:paraId="306EDE49" w14:textId="3F68B346" w:rsidR="00B90501" w:rsidRPr="00B90501" w:rsidRDefault="00B90501" w:rsidP="002C4785">
      <w:pPr>
        <w:spacing w:line="360" w:lineRule="auto"/>
        <w:rPr>
          <w:rFonts w:ascii="Century" w:hAnsi="Century"/>
        </w:rPr>
      </w:pPr>
      <w:r w:rsidRPr="00F460DF">
        <w:rPr>
          <w:rFonts w:ascii="Century" w:hAnsi="Century"/>
          <w:b/>
          <w:bCs/>
        </w:rPr>
        <w:t>(</w:t>
      </w:r>
      <w:r w:rsidR="00F460DF" w:rsidRPr="00F460DF">
        <w:rPr>
          <w:rFonts w:ascii="Century" w:hAnsi="Century"/>
          <w:b/>
          <w:bCs/>
        </w:rPr>
        <w:t>a</w:t>
      </w:r>
      <w:r w:rsidRPr="00F460DF">
        <w:rPr>
          <w:rFonts w:ascii="Century" w:hAnsi="Century"/>
          <w:b/>
          <w:bCs/>
        </w:rPr>
        <w:t>)</w:t>
      </w:r>
      <w:r w:rsidRPr="00B90501">
        <w:rPr>
          <w:rFonts w:ascii="Century" w:hAnsi="Century"/>
        </w:rPr>
        <w:t xml:space="preserve"> </w:t>
      </w:r>
      <w:r w:rsidR="00F460DF">
        <w:rPr>
          <w:rFonts w:ascii="Century" w:hAnsi="Century"/>
        </w:rPr>
        <w:t>E</w:t>
      </w:r>
      <w:r w:rsidRPr="00B90501">
        <w:rPr>
          <w:rFonts w:ascii="Century" w:hAnsi="Century"/>
        </w:rPr>
        <w:t>xperimental protocol</w:t>
      </w:r>
      <w:r w:rsidR="00F460DF">
        <w:rPr>
          <w:rFonts w:ascii="Century" w:hAnsi="Century"/>
        </w:rPr>
        <w:t>.</w:t>
      </w:r>
      <w:r w:rsidRPr="00B90501">
        <w:rPr>
          <w:rFonts w:ascii="Century" w:hAnsi="Century"/>
        </w:rPr>
        <w:t xml:space="preserve"> </w:t>
      </w:r>
      <w:r w:rsidRPr="00F460DF">
        <w:rPr>
          <w:rFonts w:ascii="Century" w:hAnsi="Century"/>
          <w:b/>
          <w:bCs/>
        </w:rPr>
        <w:t>(</w:t>
      </w:r>
      <w:r w:rsidR="00F460DF" w:rsidRPr="00F460DF">
        <w:rPr>
          <w:rFonts w:ascii="Century" w:hAnsi="Century"/>
          <w:b/>
          <w:bCs/>
        </w:rPr>
        <w:t>b</w:t>
      </w:r>
      <w:r w:rsidRPr="00F460DF">
        <w:rPr>
          <w:rFonts w:ascii="Century" w:hAnsi="Century"/>
          <w:b/>
          <w:bCs/>
        </w:rPr>
        <w:t>)</w:t>
      </w:r>
      <w:r w:rsidRPr="00B90501">
        <w:rPr>
          <w:rFonts w:ascii="Century" w:hAnsi="Century"/>
        </w:rPr>
        <w:t xml:space="preserve"> </w:t>
      </w:r>
      <w:r w:rsidR="00F460DF">
        <w:rPr>
          <w:rFonts w:ascii="Century" w:hAnsi="Century"/>
        </w:rPr>
        <w:t>E</w:t>
      </w:r>
      <w:r w:rsidRPr="00B90501">
        <w:rPr>
          <w:rFonts w:ascii="Century" w:hAnsi="Century"/>
        </w:rPr>
        <w:t xml:space="preserve">ar swelling 48 h after the topical application of 0.5% oxazolone (OXZ) on the ear. In donor mice, JTT (1.5 g/kg, 10 times the human dose) was administered orally once daily to the treated group and distilled water was administered to the control (CTRL) group. </w:t>
      </w:r>
      <w:r w:rsidR="00F460DF">
        <w:rPr>
          <w:rFonts w:ascii="Century" w:hAnsi="Century"/>
        </w:rPr>
        <w:t>After 7</w:t>
      </w:r>
      <w:r w:rsidRPr="00B90501">
        <w:rPr>
          <w:rFonts w:ascii="Century" w:hAnsi="Century"/>
        </w:rPr>
        <w:t xml:space="preserve"> days</w:t>
      </w:r>
      <w:r w:rsidR="00F460DF">
        <w:rPr>
          <w:rFonts w:ascii="Century" w:hAnsi="Century"/>
        </w:rPr>
        <w:t>,</w:t>
      </w:r>
      <w:r w:rsidRPr="00B90501">
        <w:rPr>
          <w:rFonts w:ascii="Century" w:hAnsi="Century"/>
        </w:rPr>
        <w:t xml:space="preserve"> lymphocytes were obtained from the d</w:t>
      </w:r>
      <w:r w:rsidR="00F460DF">
        <w:rPr>
          <w:rFonts w:ascii="Century" w:hAnsi="Century"/>
        </w:rPr>
        <w:t>LN</w:t>
      </w:r>
      <w:r w:rsidRPr="00B90501">
        <w:rPr>
          <w:rFonts w:ascii="Century" w:hAnsi="Century"/>
        </w:rPr>
        <w:t xml:space="preserve">s and </w:t>
      </w:r>
      <w:r w:rsidR="00F460DF">
        <w:rPr>
          <w:rFonts w:ascii="Century" w:hAnsi="Century"/>
        </w:rPr>
        <w:t>injecte</w:t>
      </w:r>
      <w:r w:rsidRPr="00B90501">
        <w:rPr>
          <w:rFonts w:ascii="Century" w:hAnsi="Century"/>
        </w:rPr>
        <w:t>d into naïve recipient mice. The lymphocytes obtained from the control donor mice were injected intravenously into the CTRL group</w:t>
      </w:r>
      <w:r w:rsidR="00F460DF">
        <w:rPr>
          <w:rFonts w:ascii="Century" w:hAnsi="Century"/>
        </w:rPr>
        <w:t>, while</w:t>
      </w:r>
      <w:r w:rsidRPr="00B90501">
        <w:rPr>
          <w:rFonts w:ascii="Century" w:hAnsi="Century"/>
        </w:rPr>
        <w:t xml:space="preserve"> </w:t>
      </w:r>
      <w:r w:rsidR="00F460DF">
        <w:rPr>
          <w:rFonts w:ascii="Century" w:hAnsi="Century"/>
        </w:rPr>
        <w:t>the</w:t>
      </w:r>
      <w:r w:rsidRPr="00B90501">
        <w:rPr>
          <w:rFonts w:ascii="Century" w:hAnsi="Century"/>
        </w:rPr>
        <w:t xml:space="preserve"> lymphocytes obtained from the JTT-treated donor mice were injected intravenously into the JTT group. HBSS alone was injected intravenously in the vehicle mice. All mice, except those in the normal </w:t>
      </w:r>
      <w:r w:rsidRPr="00B90501">
        <w:rPr>
          <w:rFonts w:ascii="Century" w:hAnsi="Century"/>
        </w:rPr>
        <w:lastRenderedPageBreak/>
        <w:t xml:space="preserve">(N) group were sensitized on shaved abdomens with 0.5% OXZ 24 h after cell transfer and then challenged on their right ears with 0.5% OXZ </w:t>
      </w:r>
      <w:r w:rsidR="00801FDE">
        <w:rPr>
          <w:rFonts w:ascii="Century" w:hAnsi="Century"/>
        </w:rPr>
        <w:t xml:space="preserve">after </w:t>
      </w:r>
      <w:r w:rsidRPr="00B90501">
        <w:rPr>
          <w:rFonts w:ascii="Century" w:hAnsi="Century"/>
        </w:rPr>
        <w:t xml:space="preserve">7 days. Ear swelling was measured 24 h after the challenge. Each column represents the mean ± </w:t>
      </w:r>
      <w:r w:rsidR="002C4785">
        <w:rPr>
          <w:rFonts w:ascii="Century" w:hAnsi="Century"/>
        </w:rPr>
        <w:t>S.E.M</w:t>
      </w:r>
      <w:r w:rsidRPr="00B90501">
        <w:rPr>
          <w:rFonts w:ascii="Century" w:hAnsi="Century"/>
        </w:rPr>
        <w:t xml:space="preserve">. of 6 to 7 mice. *** </w:t>
      </w:r>
      <w:r w:rsidRPr="00B90501">
        <w:rPr>
          <w:rFonts w:ascii="Century" w:hAnsi="Century"/>
          <w:i/>
          <w:iCs/>
        </w:rPr>
        <w:t xml:space="preserve">p </w:t>
      </w:r>
      <w:r w:rsidRPr="00B90501">
        <w:rPr>
          <w:rFonts w:ascii="Century" w:hAnsi="Century"/>
        </w:rPr>
        <w:t xml:space="preserve">&lt; 0.001 </w:t>
      </w:r>
      <w:r w:rsidRPr="00B90501">
        <w:rPr>
          <w:rFonts w:ascii="Century" w:hAnsi="Century"/>
          <w:i/>
          <w:iCs/>
        </w:rPr>
        <w:t>vs.</w:t>
      </w:r>
      <w:r w:rsidRPr="00B90501">
        <w:rPr>
          <w:rFonts w:ascii="Century" w:hAnsi="Century"/>
        </w:rPr>
        <w:t xml:space="preserve"> the control group </w:t>
      </w:r>
      <w:r w:rsidR="00801FDE">
        <w:rPr>
          <w:rFonts w:ascii="Century" w:hAnsi="Century"/>
        </w:rPr>
        <w:t>using</w:t>
      </w:r>
      <w:r w:rsidRPr="00B90501">
        <w:rPr>
          <w:rFonts w:ascii="Century" w:hAnsi="Century"/>
        </w:rPr>
        <w:t xml:space="preserve"> ANOVA with Bonferroni correction for multiple comparisons. </w:t>
      </w:r>
      <w:r w:rsidRPr="00B90501">
        <w:rPr>
          <w:rFonts w:ascii="Century" w:hAnsi="Century" w:cstheme="majorHAnsi"/>
        </w:rPr>
        <w:t xml:space="preserve">†† </w:t>
      </w:r>
      <w:r w:rsidRPr="00B90501">
        <w:rPr>
          <w:rFonts w:ascii="Century" w:hAnsi="Century"/>
          <w:i/>
          <w:iCs/>
        </w:rPr>
        <w:t>p</w:t>
      </w:r>
      <w:r w:rsidRPr="00B90501">
        <w:rPr>
          <w:rFonts w:ascii="Century" w:hAnsi="Century"/>
        </w:rPr>
        <w:t xml:space="preserve"> &lt; 0.01 </w:t>
      </w:r>
      <w:r w:rsidRPr="00B90501">
        <w:rPr>
          <w:rFonts w:ascii="Century" w:hAnsi="Century"/>
          <w:i/>
          <w:iCs/>
        </w:rPr>
        <w:t>vs.</w:t>
      </w:r>
      <w:r w:rsidRPr="00B90501">
        <w:rPr>
          <w:rFonts w:ascii="Century" w:hAnsi="Century"/>
        </w:rPr>
        <w:t xml:space="preserve"> the control group </w:t>
      </w:r>
      <w:r w:rsidR="00801FDE">
        <w:rPr>
          <w:rFonts w:ascii="Century" w:hAnsi="Century"/>
        </w:rPr>
        <w:t>using</w:t>
      </w:r>
      <w:r w:rsidRPr="00B90501">
        <w:rPr>
          <w:rFonts w:ascii="Century" w:hAnsi="Century"/>
        </w:rPr>
        <w:t xml:space="preserve"> ANOVA with Bonferroni correction for the selected two group comparisons. </w:t>
      </w:r>
    </w:p>
    <w:p w14:paraId="28526A84" w14:textId="77777777" w:rsidR="00B90501" w:rsidRPr="00B90501" w:rsidRDefault="00B90501" w:rsidP="002C4785">
      <w:pPr>
        <w:spacing w:line="360" w:lineRule="auto"/>
        <w:rPr>
          <w:rFonts w:ascii="Century" w:hAnsi="Century"/>
        </w:rPr>
      </w:pPr>
    </w:p>
    <w:p w14:paraId="7CCD152E" w14:textId="77777777" w:rsidR="00B90501" w:rsidRPr="002634B9" w:rsidRDefault="00B90501" w:rsidP="002C4785">
      <w:pPr>
        <w:spacing w:line="360" w:lineRule="auto"/>
        <w:rPr>
          <w:rFonts w:ascii="Century" w:hAnsi="Century"/>
        </w:rPr>
      </w:pPr>
    </w:p>
    <w:p w14:paraId="3624358B" w14:textId="77777777" w:rsidR="0017786E" w:rsidRPr="00B90501" w:rsidRDefault="0017786E" w:rsidP="002C4785">
      <w:pPr>
        <w:spacing w:line="360" w:lineRule="auto"/>
        <w:rPr>
          <w:rFonts w:ascii="Century" w:hAnsi="Century"/>
        </w:rPr>
      </w:pPr>
    </w:p>
    <w:sectPr w:rsidR="0017786E" w:rsidRPr="00B90501" w:rsidSect="002C4785">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489A" w14:textId="77777777" w:rsidR="00DA7167" w:rsidRDefault="00DA7167">
      <w:r>
        <w:separator/>
      </w:r>
    </w:p>
  </w:endnote>
  <w:endnote w:type="continuationSeparator" w:id="0">
    <w:p w14:paraId="03A93689" w14:textId="77777777" w:rsidR="00DA7167" w:rsidRDefault="00DA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11168"/>
      <w:docPartObj>
        <w:docPartGallery w:val="Page Numbers (Bottom of Page)"/>
        <w:docPartUnique/>
      </w:docPartObj>
    </w:sdtPr>
    <w:sdtEndPr/>
    <w:sdtContent>
      <w:p w14:paraId="62B26DA2" w14:textId="77777777" w:rsidR="00455A59" w:rsidRDefault="00801FDE">
        <w:pPr>
          <w:pStyle w:val="a3"/>
          <w:jc w:val="center"/>
        </w:pPr>
        <w:r>
          <w:fldChar w:fldCharType="begin"/>
        </w:r>
        <w:r>
          <w:instrText>PAGE   \* MERGEFORMAT</w:instrText>
        </w:r>
        <w:r>
          <w:fldChar w:fldCharType="separate"/>
        </w:r>
        <w:r>
          <w:rPr>
            <w:lang w:val="ja-JP"/>
          </w:rPr>
          <w:t>2</w:t>
        </w:r>
        <w:r>
          <w:fldChar w:fldCharType="end"/>
        </w:r>
      </w:p>
    </w:sdtContent>
  </w:sdt>
  <w:p w14:paraId="7224DDA7" w14:textId="77777777" w:rsidR="00455A59" w:rsidRDefault="00DA71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FB5A" w14:textId="77777777" w:rsidR="00DA7167" w:rsidRDefault="00DA7167">
      <w:r>
        <w:separator/>
      </w:r>
    </w:p>
  </w:footnote>
  <w:footnote w:type="continuationSeparator" w:id="0">
    <w:p w14:paraId="1466E47F" w14:textId="77777777" w:rsidR="00DA7167" w:rsidRDefault="00DA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01"/>
    <w:rsid w:val="00014B41"/>
    <w:rsid w:val="0017786E"/>
    <w:rsid w:val="001B0A9C"/>
    <w:rsid w:val="002634B9"/>
    <w:rsid w:val="002C4785"/>
    <w:rsid w:val="00801FDE"/>
    <w:rsid w:val="008620F6"/>
    <w:rsid w:val="00B90501"/>
    <w:rsid w:val="00C5586F"/>
    <w:rsid w:val="00CE72F3"/>
    <w:rsid w:val="00D35C55"/>
    <w:rsid w:val="00DA7167"/>
    <w:rsid w:val="00F4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266C0"/>
  <w15:chartTrackingRefBased/>
  <w15:docId w15:val="{77C34D8C-9876-4AAB-8072-A6D19925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0501"/>
    <w:pPr>
      <w:tabs>
        <w:tab w:val="center" w:pos="4252"/>
        <w:tab w:val="right" w:pos="8504"/>
      </w:tabs>
      <w:snapToGrid w:val="0"/>
    </w:pPr>
  </w:style>
  <w:style w:type="character" w:customStyle="1" w:styleId="a4">
    <w:name w:val="フッター (文字)"/>
    <w:basedOn w:val="a0"/>
    <w:link w:val="a3"/>
    <w:uiPriority w:val="99"/>
    <w:rsid w:val="00B90501"/>
  </w:style>
  <w:style w:type="paragraph" w:styleId="a5">
    <w:name w:val="header"/>
    <w:basedOn w:val="a"/>
    <w:link w:val="a6"/>
    <w:uiPriority w:val="99"/>
    <w:unhideWhenUsed/>
    <w:rsid w:val="002C4785"/>
    <w:pPr>
      <w:tabs>
        <w:tab w:val="center" w:pos="4252"/>
        <w:tab w:val="right" w:pos="8504"/>
      </w:tabs>
      <w:snapToGrid w:val="0"/>
    </w:pPr>
  </w:style>
  <w:style w:type="character" w:customStyle="1" w:styleId="a6">
    <w:name w:val="ヘッダー (文字)"/>
    <w:basedOn w:val="a0"/>
    <w:link w:val="a5"/>
    <w:uiPriority w:val="99"/>
    <w:rsid w:val="002C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529</Words>
  <Characters>2908</Characters>
  <Application>Microsoft Office Word</Application>
  <DocSecurity>0</DocSecurity>
  <Lines>57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 mitsuhiko</dc:creator>
  <cp:keywords/>
  <dc:description/>
  <cp:lastModifiedBy>nose mitsuhiko</cp:lastModifiedBy>
  <cp:revision>8</cp:revision>
  <dcterms:created xsi:type="dcterms:W3CDTF">2021-05-23T13:40:00Z</dcterms:created>
  <dcterms:modified xsi:type="dcterms:W3CDTF">2021-06-19T02:23:00Z</dcterms:modified>
</cp:coreProperties>
</file>