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0E" w:rsidRPr="00D77379" w:rsidRDefault="002C590E" w:rsidP="002C590E">
      <w:pPr>
        <w:spacing w:line="480" w:lineRule="auto"/>
        <w:jc w:val="left"/>
        <w:rPr>
          <w:rFonts w:ascii="Times New Roman" w:hAnsi="Times New Roman"/>
          <w:szCs w:val="21"/>
        </w:rPr>
      </w:pPr>
      <w:r w:rsidRPr="00D77379">
        <w:rPr>
          <w:rFonts w:ascii="Times New Roman" w:hAnsi="Times New Roman"/>
          <w:szCs w:val="21"/>
        </w:rPr>
        <w:t>Supplementary Fig. 1. Kaplan-Meier curves of the cumulative risk of stroke stratified by relative change levels of SUA.</w:t>
      </w:r>
    </w:p>
    <w:p w:rsidR="002C590E" w:rsidRDefault="002C590E" w:rsidP="002C590E">
      <w:pPr>
        <w:spacing w:line="480" w:lineRule="auto"/>
        <w:jc w:val="left"/>
        <w:rPr>
          <w:rFonts w:ascii="Times New Roman" w:hAnsi="Times New Roman"/>
          <w:szCs w:val="21"/>
        </w:rPr>
      </w:pPr>
      <w:r w:rsidRPr="00D77379">
        <w:rPr>
          <w:rFonts w:ascii="Times New Roman" w:hAnsi="Times New Roman"/>
          <w:szCs w:val="21"/>
        </w:rPr>
        <w:t>(A): Relative changes of serum uric acid and stroke risk in the total population. (B): Relative changes of serum uric acid and stroke risk in the baseline serum uric acid normal population. (C): Relative changes of serum uric acid and stroke risk in the baseline hyperuricemia population.</w:t>
      </w:r>
    </w:p>
    <w:p w:rsidR="002C590E" w:rsidRPr="00D77379" w:rsidRDefault="002C590E" w:rsidP="002C590E">
      <w:pPr>
        <w:spacing w:line="480" w:lineRule="auto"/>
        <w:jc w:val="left"/>
        <w:rPr>
          <w:rFonts w:ascii="Times New Roman" w:hAnsi="Times New Roman"/>
          <w:szCs w:val="21"/>
        </w:rPr>
      </w:pPr>
      <w:bookmarkStart w:id="0" w:name="_GoBack"/>
      <w:bookmarkEnd w:id="0"/>
    </w:p>
    <w:p w:rsidR="002C590E" w:rsidRPr="00D77379" w:rsidRDefault="002C590E" w:rsidP="002C590E">
      <w:pPr>
        <w:spacing w:line="480" w:lineRule="auto"/>
        <w:jc w:val="left"/>
        <w:rPr>
          <w:rFonts w:ascii="Times New Roman" w:hAnsi="Times New Roman"/>
          <w:szCs w:val="21"/>
        </w:rPr>
      </w:pPr>
      <w:r w:rsidRPr="00D77379">
        <w:rPr>
          <w:rFonts w:ascii="Times New Roman" w:hAnsi="Times New Roman"/>
          <w:szCs w:val="21"/>
        </w:rPr>
        <w:t>Supplementary Fig. 2</w:t>
      </w:r>
      <w:r w:rsidRPr="00D77379">
        <w:rPr>
          <w:rFonts w:ascii="Times New Roman" w:hAnsi="Times New Roman" w:hint="eastAsia"/>
          <w:szCs w:val="21"/>
        </w:rPr>
        <w:t>.</w:t>
      </w:r>
      <w:r w:rsidRPr="00D77379">
        <w:rPr>
          <w:rFonts w:ascii="Times New Roman" w:hAnsi="Times New Roman"/>
          <w:szCs w:val="21"/>
        </w:rPr>
        <w:t xml:space="preserve"> </w:t>
      </w:r>
      <w:proofErr w:type="spellStart"/>
      <w:r w:rsidRPr="00D77379">
        <w:rPr>
          <w:rFonts w:ascii="Times New Roman" w:hAnsi="Times New Roman"/>
          <w:szCs w:val="21"/>
        </w:rPr>
        <w:t>Schoenfeld</w:t>
      </w:r>
      <w:proofErr w:type="spellEnd"/>
      <w:r w:rsidRPr="00D77379">
        <w:rPr>
          <w:rFonts w:ascii="Times New Roman" w:hAnsi="Times New Roman"/>
          <w:szCs w:val="21"/>
        </w:rPr>
        <w:t xml:space="preserve"> residual plot of proportional hazards hypothesis test.</w:t>
      </w:r>
    </w:p>
    <w:p w:rsidR="00C74CF1" w:rsidRDefault="002C590E"/>
    <w:sectPr w:rsidR="00C74C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0E"/>
    <w:rsid w:val="002C590E"/>
    <w:rsid w:val="00F8504A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4759-7FD7-417D-A1C4-EA694459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590E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Stettler</dc:creator>
  <cp:keywords/>
  <dc:description/>
  <cp:lastModifiedBy>Karin Stettler</cp:lastModifiedBy>
  <cp:revision>1</cp:revision>
  <dcterms:created xsi:type="dcterms:W3CDTF">2021-08-09T07:51:00Z</dcterms:created>
  <dcterms:modified xsi:type="dcterms:W3CDTF">2021-08-09T07:53:00Z</dcterms:modified>
</cp:coreProperties>
</file>