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5917" w14:textId="097AD18E" w:rsidR="00614892" w:rsidRPr="003267A0" w:rsidRDefault="00FE629B" w:rsidP="00614892">
      <w:pPr>
        <w:autoSpaceDE/>
        <w:autoSpaceDN/>
        <w:spacing w:after="160" w:line="259" w:lineRule="auto"/>
        <w:rPr>
          <w:rFonts w:ascii="Arial" w:hAnsi="Arial" w:cs="Arial"/>
        </w:rPr>
      </w:pPr>
      <w:r>
        <w:rPr>
          <w:rFonts w:ascii="Arial" w:hAnsi="Arial" w:cs="Arial"/>
          <w:b/>
        </w:rPr>
        <w:t xml:space="preserve">Supplementary </w:t>
      </w:r>
      <w:r w:rsidR="00614892" w:rsidRPr="003267A0">
        <w:rPr>
          <w:rFonts w:ascii="Arial" w:hAnsi="Arial" w:cs="Arial"/>
          <w:b/>
        </w:rPr>
        <w:t xml:space="preserve">Table </w:t>
      </w:r>
      <w:r>
        <w:rPr>
          <w:rFonts w:ascii="Arial" w:hAnsi="Arial" w:cs="Arial"/>
          <w:b/>
        </w:rPr>
        <w:t>1</w:t>
      </w:r>
      <w:r w:rsidR="00614892" w:rsidRPr="003267A0">
        <w:rPr>
          <w:rFonts w:ascii="Arial" w:hAnsi="Arial" w:cs="Arial"/>
          <w:b/>
        </w:rPr>
        <w:t>:</w:t>
      </w:r>
      <w:r w:rsidR="00614892" w:rsidRPr="003267A0">
        <w:rPr>
          <w:rFonts w:ascii="Arial" w:hAnsi="Arial" w:cs="Arial"/>
        </w:rPr>
        <w:t xml:space="preserve"> Treatment effect of more frequent hemodialysis on left ventricular mass reduction in subgroups of parameters tested for interaction.</w:t>
      </w:r>
    </w:p>
    <w:tbl>
      <w:tblPr>
        <w:tblStyle w:val="TableGrid"/>
        <w:tblW w:w="10350" w:type="dxa"/>
        <w:tblInd w:w="-432" w:type="dxa"/>
        <w:tblLook w:val="04A0" w:firstRow="1" w:lastRow="0" w:firstColumn="1" w:lastColumn="0" w:noHBand="0" w:noVBand="1"/>
      </w:tblPr>
      <w:tblGrid>
        <w:gridCol w:w="3820"/>
        <w:gridCol w:w="551"/>
        <w:gridCol w:w="2559"/>
        <w:gridCol w:w="2610"/>
        <w:gridCol w:w="810"/>
      </w:tblGrid>
      <w:tr w:rsidR="00614892" w:rsidRPr="003267A0" w14:paraId="558EC39A" w14:textId="77777777" w:rsidTr="000146AD">
        <w:trPr>
          <w:trHeight w:val="390"/>
        </w:trPr>
        <w:tc>
          <w:tcPr>
            <w:tcW w:w="3820" w:type="dxa"/>
            <w:noWrap/>
            <w:hideMark/>
          </w:tcPr>
          <w:p w14:paraId="04B2AE16" w14:textId="77777777" w:rsidR="00614892" w:rsidRPr="003267A0" w:rsidRDefault="00614892" w:rsidP="000146AD">
            <w:pPr>
              <w:pStyle w:val="ListParagraph"/>
              <w:rPr>
                <w:rFonts w:ascii="Arial" w:eastAsia="Times New Roman" w:hAnsi="Arial" w:cs="Arial"/>
                <w:color w:val="000000"/>
              </w:rPr>
            </w:pPr>
            <w:r w:rsidRPr="003267A0">
              <w:rPr>
                <w:rFonts w:ascii="Arial" w:eastAsia="Times New Roman" w:hAnsi="Arial" w:cs="Arial"/>
                <w:color w:val="000000"/>
              </w:rPr>
              <w:t xml:space="preserve">Daily Trial </w:t>
            </w:r>
          </w:p>
          <w:p w14:paraId="55CD36AA"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Parameter</w:t>
            </w:r>
          </w:p>
        </w:tc>
        <w:tc>
          <w:tcPr>
            <w:tcW w:w="551" w:type="dxa"/>
            <w:noWrap/>
            <w:hideMark/>
          </w:tcPr>
          <w:p w14:paraId="3CB70C32"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N</w:t>
            </w:r>
          </w:p>
        </w:tc>
        <w:tc>
          <w:tcPr>
            <w:tcW w:w="2559" w:type="dxa"/>
            <w:noWrap/>
            <w:hideMark/>
          </w:tcPr>
          <w:p w14:paraId="555BBE58"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Group</w:t>
            </w:r>
          </w:p>
        </w:tc>
        <w:tc>
          <w:tcPr>
            <w:tcW w:w="2610" w:type="dxa"/>
            <w:noWrap/>
            <w:hideMark/>
          </w:tcPr>
          <w:p w14:paraId="3BA20A30"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Treatment effect (95% CI)</w:t>
            </w:r>
          </w:p>
        </w:tc>
        <w:tc>
          <w:tcPr>
            <w:tcW w:w="810" w:type="dxa"/>
            <w:noWrap/>
            <w:hideMark/>
          </w:tcPr>
          <w:p w14:paraId="526DB392"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P</w:t>
            </w:r>
          </w:p>
        </w:tc>
      </w:tr>
      <w:tr w:rsidR="00614892" w:rsidRPr="003267A0" w14:paraId="190D0AC6" w14:textId="77777777" w:rsidTr="000146AD">
        <w:trPr>
          <w:trHeight w:val="315"/>
        </w:trPr>
        <w:tc>
          <w:tcPr>
            <w:tcW w:w="3820" w:type="dxa"/>
            <w:noWrap/>
          </w:tcPr>
          <w:p w14:paraId="60F2C36F"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Serum Sodium Concentration (</w:t>
            </w:r>
            <w:proofErr w:type="spellStart"/>
            <w:r w:rsidRPr="003267A0">
              <w:rPr>
                <w:rFonts w:ascii="Arial" w:eastAsia="Times New Roman" w:hAnsi="Arial" w:cs="Arial"/>
                <w:color w:val="000000"/>
              </w:rPr>
              <w:t>SNa</w:t>
            </w:r>
            <w:proofErr w:type="spellEnd"/>
            <w:r w:rsidRPr="003267A0">
              <w:rPr>
                <w:rFonts w:ascii="Arial" w:eastAsia="Times New Roman" w:hAnsi="Arial" w:cs="Arial"/>
                <w:color w:val="000000"/>
              </w:rPr>
              <w:t>+)</w:t>
            </w:r>
          </w:p>
        </w:tc>
        <w:tc>
          <w:tcPr>
            <w:tcW w:w="551" w:type="dxa"/>
            <w:noWrap/>
          </w:tcPr>
          <w:p w14:paraId="5C406705"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102</w:t>
            </w:r>
          </w:p>
        </w:tc>
        <w:tc>
          <w:tcPr>
            <w:tcW w:w="2559" w:type="dxa"/>
            <w:noWrap/>
          </w:tcPr>
          <w:p w14:paraId="2DBD01A9" w14:textId="77777777" w:rsidR="00614892" w:rsidRPr="003267A0" w:rsidRDefault="00614892" w:rsidP="000146AD">
            <w:pPr>
              <w:rPr>
                <w:rFonts w:ascii="Arial" w:eastAsia="Times New Roman" w:hAnsi="Arial" w:cs="Arial"/>
                <w:color w:val="000000"/>
              </w:rPr>
            </w:pPr>
            <w:proofErr w:type="spellStart"/>
            <w:r w:rsidRPr="003267A0">
              <w:rPr>
                <w:rFonts w:ascii="Arial" w:eastAsia="Times New Roman" w:hAnsi="Arial" w:cs="Arial"/>
                <w:color w:val="000000"/>
              </w:rPr>
              <w:t>SNa</w:t>
            </w:r>
            <w:proofErr w:type="spellEnd"/>
            <w:r w:rsidRPr="003267A0">
              <w:rPr>
                <w:rFonts w:ascii="Arial" w:eastAsia="Times New Roman" w:hAnsi="Arial" w:cs="Arial"/>
                <w:color w:val="000000"/>
              </w:rPr>
              <w:t xml:space="preserve">+ &lt;= 138 </w:t>
            </w:r>
            <w:proofErr w:type="spellStart"/>
            <w:r w:rsidRPr="003267A0">
              <w:rPr>
                <w:rFonts w:ascii="Arial" w:eastAsia="Times New Roman" w:hAnsi="Arial" w:cs="Arial"/>
                <w:color w:val="000000"/>
              </w:rPr>
              <w:t>mEq</w:t>
            </w:r>
            <w:proofErr w:type="spellEnd"/>
            <w:r w:rsidRPr="003267A0">
              <w:rPr>
                <w:rFonts w:ascii="Arial" w:eastAsia="Times New Roman" w:hAnsi="Arial" w:cs="Arial"/>
                <w:color w:val="000000"/>
              </w:rPr>
              <w:t>/L</w:t>
            </w:r>
          </w:p>
        </w:tc>
        <w:tc>
          <w:tcPr>
            <w:tcW w:w="2610" w:type="dxa"/>
            <w:noWrap/>
          </w:tcPr>
          <w:p w14:paraId="46F577E0"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-28 (-40.5 to -15.4)</w:t>
            </w:r>
            <w:r>
              <w:rPr>
                <w:rFonts w:ascii="Arial" w:eastAsia="Times New Roman" w:hAnsi="Arial" w:cs="Arial"/>
                <w:color w:val="000000"/>
              </w:rPr>
              <w:t xml:space="preserve"> g</w:t>
            </w:r>
          </w:p>
        </w:tc>
        <w:tc>
          <w:tcPr>
            <w:tcW w:w="810" w:type="dxa"/>
            <w:noWrap/>
          </w:tcPr>
          <w:p w14:paraId="5204B127" w14:textId="77777777" w:rsidR="00614892" w:rsidRPr="003267A0" w:rsidRDefault="00614892" w:rsidP="000146AD">
            <w:pPr>
              <w:rPr>
                <w:rFonts w:ascii="Arial" w:eastAsia="Times New Roman" w:hAnsi="Arial" w:cs="Arial"/>
                <w:color w:val="000000"/>
              </w:rPr>
            </w:pPr>
          </w:p>
        </w:tc>
      </w:tr>
      <w:tr w:rsidR="00614892" w:rsidRPr="003267A0" w14:paraId="3D0D67C4" w14:textId="77777777" w:rsidTr="000146AD">
        <w:trPr>
          <w:trHeight w:val="315"/>
        </w:trPr>
        <w:tc>
          <w:tcPr>
            <w:tcW w:w="3820" w:type="dxa"/>
            <w:noWrap/>
          </w:tcPr>
          <w:p w14:paraId="24630D19" w14:textId="77777777" w:rsidR="00614892" w:rsidRPr="003267A0" w:rsidRDefault="00614892" w:rsidP="000146AD">
            <w:pPr>
              <w:rPr>
                <w:rFonts w:ascii="Arial" w:eastAsia="Times New Roman" w:hAnsi="Arial" w:cs="Arial"/>
                <w:color w:val="000000"/>
              </w:rPr>
            </w:pPr>
          </w:p>
        </w:tc>
        <w:tc>
          <w:tcPr>
            <w:tcW w:w="551" w:type="dxa"/>
            <w:noWrap/>
          </w:tcPr>
          <w:p w14:paraId="06FA3048"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95</w:t>
            </w:r>
          </w:p>
        </w:tc>
        <w:tc>
          <w:tcPr>
            <w:tcW w:w="2559" w:type="dxa"/>
            <w:noWrap/>
          </w:tcPr>
          <w:p w14:paraId="471AF679" w14:textId="77777777" w:rsidR="00614892" w:rsidRPr="003267A0" w:rsidRDefault="00614892" w:rsidP="000146AD">
            <w:pPr>
              <w:rPr>
                <w:rFonts w:ascii="Arial" w:eastAsia="Times New Roman" w:hAnsi="Arial" w:cs="Arial"/>
                <w:color w:val="000000"/>
              </w:rPr>
            </w:pPr>
            <w:proofErr w:type="spellStart"/>
            <w:r w:rsidRPr="003267A0">
              <w:rPr>
                <w:rFonts w:ascii="Arial" w:eastAsia="Times New Roman" w:hAnsi="Arial" w:cs="Arial"/>
                <w:color w:val="000000"/>
              </w:rPr>
              <w:t>SNa</w:t>
            </w:r>
            <w:proofErr w:type="spellEnd"/>
            <w:r w:rsidRPr="003267A0">
              <w:rPr>
                <w:rFonts w:ascii="Arial" w:eastAsia="Times New Roman" w:hAnsi="Arial" w:cs="Arial"/>
                <w:color w:val="000000"/>
              </w:rPr>
              <w:t xml:space="preserve">+ &gt;  138 </w:t>
            </w:r>
            <w:proofErr w:type="spellStart"/>
            <w:r w:rsidRPr="003267A0">
              <w:rPr>
                <w:rFonts w:ascii="Arial" w:eastAsia="Times New Roman" w:hAnsi="Arial" w:cs="Arial"/>
                <w:color w:val="000000"/>
              </w:rPr>
              <w:t>mEq</w:t>
            </w:r>
            <w:proofErr w:type="spellEnd"/>
            <w:r w:rsidRPr="003267A0">
              <w:rPr>
                <w:rFonts w:ascii="Arial" w:eastAsia="Times New Roman" w:hAnsi="Arial" w:cs="Arial"/>
                <w:color w:val="000000"/>
              </w:rPr>
              <w:t>/L</w:t>
            </w:r>
          </w:p>
        </w:tc>
        <w:tc>
          <w:tcPr>
            <w:tcW w:w="2610" w:type="dxa"/>
            <w:noWrap/>
          </w:tcPr>
          <w:p w14:paraId="706E6243"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-2 (-15.5 to 11.5)</w:t>
            </w:r>
            <w:r>
              <w:rPr>
                <w:rFonts w:ascii="Arial" w:eastAsia="Times New Roman" w:hAnsi="Arial" w:cs="Arial"/>
                <w:color w:val="000000"/>
              </w:rPr>
              <w:t xml:space="preserve"> g</w:t>
            </w:r>
          </w:p>
        </w:tc>
        <w:tc>
          <w:tcPr>
            <w:tcW w:w="810" w:type="dxa"/>
            <w:noWrap/>
          </w:tcPr>
          <w:p w14:paraId="55BC8A2B" w14:textId="77777777" w:rsidR="00614892" w:rsidRPr="003267A0" w:rsidRDefault="00614892" w:rsidP="000146AD">
            <w:pPr>
              <w:rPr>
                <w:rFonts w:ascii="Arial" w:eastAsia="Times New Roman" w:hAnsi="Arial" w:cs="Arial"/>
                <w:color w:val="000000"/>
              </w:rPr>
            </w:pPr>
          </w:p>
        </w:tc>
      </w:tr>
      <w:tr w:rsidR="00614892" w:rsidRPr="003267A0" w14:paraId="67378D07" w14:textId="77777777" w:rsidTr="000146AD">
        <w:trPr>
          <w:trHeight w:val="315"/>
        </w:trPr>
        <w:tc>
          <w:tcPr>
            <w:tcW w:w="3820" w:type="dxa"/>
            <w:noWrap/>
          </w:tcPr>
          <w:p w14:paraId="4652A35E" w14:textId="77777777" w:rsidR="00614892" w:rsidRPr="003267A0" w:rsidRDefault="00614892" w:rsidP="000146AD">
            <w:pPr>
              <w:rPr>
                <w:rFonts w:ascii="Arial" w:eastAsia="Times New Roman" w:hAnsi="Arial" w:cs="Arial"/>
                <w:color w:val="000000"/>
              </w:rPr>
            </w:pPr>
          </w:p>
        </w:tc>
        <w:tc>
          <w:tcPr>
            <w:tcW w:w="551" w:type="dxa"/>
            <w:noWrap/>
          </w:tcPr>
          <w:p w14:paraId="6B522CD4"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197</w:t>
            </w:r>
          </w:p>
        </w:tc>
        <w:tc>
          <w:tcPr>
            <w:tcW w:w="2559" w:type="dxa"/>
            <w:noWrap/>
          </w:tcPr>
          <w:p w14:paraId="4A8EBF7F"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continuous interaction</w:t>
            </w:r>
          </w:p>
        </w:tc>
        <w:tc>
          <w:tcPr>
            <w:tcW w:w="2610" w:type="dxa"/>
            <w:noWrap/>
          </w:tcPr>
          <w:p w14:paraId="615535FD"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3.1 (0.4 to 5.9)</w:t>
            </w:r>
            <w:r>
              <w:rPr>
                <w:rFonts w:ascii="Arial" w:eastAsia="Times New Roman" w:hAnsi="Arial" w:cs="Arial"/>
                <w:color w:val="000000"/>
              </w:rPr>
              <w:t xml:space="preserve"> g</w:t>
            </w:r>
          </w:p>
        </w:tc>
        <w:tc>
          <w:tcPr>
            <w:tcW w:w="810" w:type="dxa"/>
            <w:noWrap/>
          </w:tcPr>
          <w:p w14:paraId="1D05165C"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0.027</w:t>
            </w:r>
          </w:p>
        </w:tc>
      </w:tr>
      <w:tr w:rsidR="00614892" w:rsidRPr="003267A0" w14:paraId="4F348E16" w14:textId="77777777" w:rsidTr="000146AD">
        <w:trPr>
          <w:trHeight w:val="315"/>
        </w:trPr>
        <w:tc>
          <w:tcPr>
            <w:tcW w:w="3820" w:type="dxa"/>
            <w:noWrap/>
            <w:hideMark/>
          </w:tcPr>
          <w:p w14:paraId="592A3BEE"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Serum Sodium Gradient (</w:t>
            </w:r>
            <w:proofErr w:type="spellStart"/>
            <w:r w:rsidRPr="003267A0">
              <w:rPr>
                <w:rFonts w:ascii="Arial" w:eastAsia="Times New Roman" w:hAnsi="Arial" w:cs="Arial"/>
                <w:color w:val="000000"/>
              </w:rPr>
              <w:t>GNa</w:t>
            </w:r>
            <w:proofErr w:type="spellEnd"/>
            <w:r w:rsidRPr="003267A0">
              <w:rPr>
                <w:rFonts w:ascii="Arial" w:eastAsia="Times New Roman" w:hAnsi="Arial" w:cs="Arial"/>
                <w:color w:val="000000"/>
              </w:rPr>
              <w:t>+)</w:t>
            </w:r>
          </w:p>
        </w:tc>
        <w:tc>
          <w:tcPr>
            <w:tcW w:w="551" w:type="dxa"/>
            <w:noWrap/>
            <w:hideMark/>
          </w:tcPr>
          <w:p w14:paraId="4449F300"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62</w:t>
            </w:r>
          </w:p>
        </w:tc>
        <w:tc>
          <w:tcPr>
            <w:tcW w:w="2559" w:type="dxa"/>
            <w:noWrap/>
            <w:hideMark/>
          </w:tcPr>
          <w:p w14:paraId="63FC2329" w14:textId="77777777" w:rsidR="00614892" w:rsidRPr="003267A0" w:rsidRDefault="00614892" w:rsidP="000146AD">
            <w:pPr>
              <w:rPr>
                <w:rFonts w:ascii="Arial" w:eastAsia="Times New Roman" w:hAnsi="Arial" w:cs="Arial"/>
                <w:color w:val="000000"/>
              </w:rPr>
            </w:pPr>
            <w:proofErr w:type="spellStart"/>
            <w:r w:rsidRPr="003267A0">
              <w:rPr>
                <w:rFonts w:ascii="Arial" w:eastAsia="Times New Roman" w:hAnsi="Arial" w:cs="Arial"/>
                <w:color w:val="000000"/>
              </w:rPr>
              <w:t>GNa</w:t>
            </w:r>
            <w:proofErr w:type="spellEnd"/>
            <w:r w:rsidRPr="003267A0">
              <w:rPr>
                <w:rFonts w:ascii="Arial" w:eastAsia="Times New Roman" w:hAnsi="Arial" w:cs="Arial"/>
                <w:color w:val="000000"/>
              </w:rPr>
              <w:t xml:space="preserve">+ &lt;= 0 </w:t>
            </w:r>
            <w:proofErr w:type="spellStart"/>
            <w:r w:rsidRPr="003267A0">
              <w:rPr>
                <w:rFonts w:ascii="Arial" w:eastAsia="Times New Roman" w:hAnsi="Arial" w:cs="Arial"/>
                <w:color w:val="000000"/>
              </w:rPr>
              <w:t>mEq</w:t>
            </w:r>
            <w:proofErr w:type="spellEnd"/>
            <w:r w:rsidRPr="003267A0">
              <w:rPr>
                <w:rFonts w:ascii="Arial" w:eastAsia="Times New Roman" w:hAnsi="Arial" w:cs="Arial"/>
                <w:color w:val="000000"/>
              </w:rPr>
              <w:t>/L</w:t>
            </w:r>
          </w:p>
        </w:tc>
        <w:tc>
          <w:tcPr>
            <w:tcW w:w="2610" w:type="dxa"/>
            <w:noWrap/>
            <w:hideMark/>
          </w:tcPr>
          <w:p w14:paraId="5ADDC5C4"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-0.7 (-18.2 to 16.8)</w:t>
            </w:r>
            <w:r>
              <w:rPr>
                <w:rFonts w:ascii="Arial" w:eastAsia="Times New Roman" w:hAnsi="Arial" w:cs="Arial"/>
                <w:color w:val="000000"/>
              </w:rPr>
              <w:t xml:space="preserve"> g</w:t>
            </w:r>
          </w:p>
        </w:tc>
        <w:tc>
          <w:tcPr>
            <w:tcW w:w="810" w:type="dxa"/>
            <w:noWrap/>
            <w:hideMark/>
          </w:tcPr>
          <w:p w14:paraId="08F8E34C" w14:textId="77777777" w:rsidR="00614892" w:rsidRPr="003267A0" w:rsidRDefault="00614892" w:rsidP="000146AD">
            <w:pPr>
              <w:rPr>
                <w:rFonts w:ascii="Arial" w:eastAsia="Times New Roman" w:hAnsi="Arial" w:cs="Arial"/>
                <w:color w:val="000000"/>
              </w:rPr>
            </w:pPr>
          </w:p>
        </w:tc>
      </w:tr>
      <w:tr w:rsidR="00614892" w:rsidRPr="003267A0" w14:paraId="74D4C864" w14:textId="77777777" w:rsidTr="000146AD">
        <w:trPr>
          <w:trHeight w:val="315"/>
        </w:trPr>
        <w:tc>
          <w:tcPr>
            <w:tcW w:w="3820" w:type="dxa"/>
            <w:noWrap/>
            <w:hideMark/>
          </w:tcPr>
          <w:p w14:paraId="2E3BB3AA" w14:textId="77777777" w:rsidR="00614892" w:rsidRPr="003267A0" w:rsidRDefault="00614892" w:rsidP="000146AD">
            <w:pPr>
              <w:rPr>
                <w:rFonts w:ascii="Arial" w:eastAsia="Times New Roman" w:hAnsi="Arial" w:cs="Arial"/>
              </w:rPr>
            </w:pPr>
          </w:p>
        </w:tc>
        <w:tc>
          <w:tcPr>
            <w:tcW w:w="551" w:type="dxa"/>
            <w:noWrap/>
            <w:hideMark/>
          </w:tcPr>
          <w:p w14:paraId="43685A26"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111</w:t>
            </w:r>
          </w:p>
        </w:tc>
        <w:tc>
          <w:tcPr>
            <w:tcW w:w="2559" w:type="dxa"/>
            <w:noWrap/>
            <w:hideMark/>
          </w:tcPr>
          <w:p w14:paraId="15573208" w14:textId="77777777" w:rsidR="00614892" w:rsidRPr="003267A0" w:rsidRDefault="00614892" w:rsidP="000146AD">
            <w:pPr>
              <w:rPr>
                <w:rFonts w:ascii="Arial" w:eastAsia="Times New Roman" w:hAnsi="Arial" w:cs="Arial"/>
                <w:color w:val="000000"/>
              </w:rPr>
            </w:pPr>
            <w:proofErr w:type="spellStart"/>
            <w:r w:rsidRPr="003267A0">
              <w:rPr>
                <w:rFonts w:ascii="Arial" w:eastAsia="Times New Roman" w:hAnsi="Arial" w:cs="Arial"/>
                <w:color w:val="000000"/>
              </w:rPr>
              <w:t>GNa</w:t>
            </w:r>
            <w:proofErr w:type="spellEnd"/>
            <w:r w:rsidRPr="003267A0">
              <w:rPr>
                <w:rFonts w:ascii="Arial" w:eastAsia="Times New Roman" w:hAnsi="Arial" w:cs="Arial"/>
                <w:color w:val="000000"/>
              </w:rPr>
              <w:t xml:space="preserve">+ &gt;  0 </w:t>
            </w:r>
            <w:proofErr w:type="spellStart"/>
            <w:r w:rsidRPr="003267A0">
              <w:rPr>
                <w:rFonts w:ascii="Arial" w:eastAsia="Times New Roman" w:hAnsi="Arial" w:cs="Arial"/>
                <w:color w:val="000000"/>
              </w:rPr>
              <w:t>mEq</w:t>
            </w:r>
            <w:proofErr w:type="spellEnd"/>
            <w:r w:rsidRPr="003267A0">
              <w:rPr>
                <w:rFonts w:ascii="Arial" w:eastAsia="Times New Roman" w:hAnsi="Arial" w:cs="Arial"/>
                <w:color w:val="000000"/>
              </w:rPr>
              <w:t>/L</w:t>
            </w:r>
          </w:p>
        </w:tc>
        <w:tc>
          <w:tcPr>
            <w:tcW w:w="2610" w:type="dxa"/>
            <w:noWrap/>
            <w:hideMark/>
          </w:tcPr>
          <w:p w14:paraId="4D2728A9"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-25.2 (-37.6 to -12.7)</w:t>
            </w:r>
            <w:r>
              <w:rPr>
                <w:rFonts w:ascii="Arial" w:eastAsia="Times New Roman" w:hAnsi="Arial" w:cs="Arial"/>
                <w:color w:val="000000"/>
              </w:rPr>
              <w:t xml:space="preserve"> g</w:t>
            </w:r>
          </w:p>
        </w:tc>
        <w:tc>
          <w:tcPr>
            <w:tcW w:w="810" w:type="dxa"/>
            <w:noWrap/>
            <w:hideMark/>
          </w:tcPr>
          <w:p w14:paraId="724FA75E" w14:textId="77777777" w:rsidR="00614892" w:rsidRPr="003267A0" w:rsidRDefault="00614892" w:rsidP="000146AD">
            <w:pPr>
              <w:rPr>
                <w:rFonts w:ascii="Arial" w:eastAsia="Times New Roman" w:hAnsi="Arial" w:cs="Arial"/>
                <w:color w:val="000000"/>
              </w:rPr>
            </w:pPr>
          </w:p>
        </w:tc>
      </w:tr>
      <w:tr w:rsidR="00614892" w:rsidRPr="003267A0" w14:paraId="1E1AB2D5" w14:textId="77777777" w:rsidTr="000146AD">
        <w:trPr>
          <w:trHeight w:val="315"/>
        </w:trPr>
        <w:tc>
          <w:tcPr>
            <w:tcW w:w="3820" w:type="dxa"/>
            <w:noWrap/>
            <w:hideMark/>
          </w:tcPr>
          <w:p w14:paraId="22189F4A" w14:textId="77777777" w:rsidR="00614892" w:rsidRPr="003267A0" w:rsidRDefault="00614892" w:rsidP="000146AD">
            <w:pPr>
              <w:rPr>
                <w:rFonts w:ascii="Arial" w:eastAsia="Times New Roman" w:hAnsi="Arial" w:cs="Arial"/>
              </w:rPr>
            </w:pPr>
          </w:p>
        </w:tc>
        <w:tc>
          <w:tcPr>
            <w:tcW w:w="551" w:type="dxa"/>
            <w:noWrap/>
            <w:hideMark/>
          </w:tcPr>
          <w:p w14:paraId="25A39035"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173</w:t>
            </w:r>
          </w:p>
        </w:tc>
        <w:tc>
          <w:tcPr>
            <w:tcW w:w="2559" w:type="dxa"/>
            <w:noWrap/>
            <w:hideMark/>
          </w:tcPr>
          <w:p w14:paraId="0EE00F2F"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continuous interaction</w:t>
            </w:r>
          </w:p>
        </w:tc>
        <w:tc>
          <w:tcPr>
            <w:tcW w:w="2610" w:type="dxa"/>
            <w:noWrap/>
            <w:hideMark/>
          </w:tcPr>
          <w:p w14:paraId="44B32DF4"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-2.7 (-5.5 to 0.1)</w:t>
            </w:r>
            <w:r>
              <w:rPr>
                <w:rFonts w:ascii="Arial" w:eastAsia="Times New Roman" w:hAnsi="Arial" w:cs="Arial"/>
                <w:color w:val="000000"/>
              </w:rPr>
              <w:t xml:space="preserve"> g</w:t>
            </w:r>
          </w:p>
        </w:tc>
        <w:tc>
          <w:tcPr>
            <w:tcW w:w="810" w:type="dxa"/>
            <w:noWrap/>
            <w:hideMark/>
          </w:tcPr>
          <w:p w14:paraId="28F6C61B"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0.061</w:t>
            </w:r>
          </w:p>
        </w:tc>
      </w:tr>
      <w:tr w:rsidR="00614892" w:rsidRPr="003267A0" w14:paraId="7840D8E4" w14:textId="77777777" w:rsidTr="000146AD">
        <w:trPr>
          <w:trHeight w:val="315"/>
        </w:trPr>
        <w:tc>
          <w:tcPr>
            <w:tcW w:w="3820" w:type="dxa"/>
            <w:noWrap/>
            <w:hideMark/>
          </w:tcPr>
          <w:p w14:paraId="014B51A0"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Time-integrated sodium-adjusted fluid load (TIFL)</w:t>
            </w:r>
          </w:p>
        </w:tc>
        <w:tc>
          <w:tcPr>
            <w:tcW w:w="551" w:type="dxa"/>
            <w:noWrap/>
            <w:hideMark/>
          </w:tcPr>
          <w:p w14:paraId="41871C19"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111</w:t>
            </w:r>
          </w:p>
        </w:tc>
        <w:tc>
          <w:tcPr>
            <w:tcW w:w="2559" w:type="dxa"/>
            <w:noWrap/>
            <w:hideMark/>
          </w:tcPr>
          <w:p w14:paraId="774DD507"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TIFL &lt;= 3 L x day</w:t>
            </w:r>
          </w:p>
        </w:tc>
        <w:tc>
          <w:tcPr>
            <w:tcW w:w="2610" w:type="dxa"/>
            <w:noWrap/>
            <w:hideMark/>
          </w:tcPr>
          <w:p w14:paraId="7FF27310"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-5.6 (-21.5 to 10.4)</w:t>
            </w:r>
            <w:r>
              <w:rPr>
                <w:rFonts w:ascii="Arial" w:eastAsia="Times New Roman" w:hAnsi="Arial" w:cs="Arial"/>
                <w:color w:val="000000"/>
              </w:rPr>
              <w:t xml:space="preserve"> g</w:t>
            </w:r>
          </w:p>
        </w:tc>
        <w:tc>
          <w:tcPr>
            <w:tcW w:w="810" w:type="dxa"/>
            <w:noWrap/>
            <w:hideMark/>
          </w:tcPr>
          <w:p w14:paraId="13352108" w14:textId="77777777" w:rsidR="00614892" w:rsidRPr="003267A0" w:rsidRDefault="00614892" w:rsidP="000146AD">
            <w:pPr>
              <w:rPr>
                <w:rFonts w:ascii="Arial" w:eastAsia="Times New Roman" w:hAnsi="Arial" w:cs="Arial"/>
                <w:color w:val="000000"/>
              </w:rPr>
            </w:pPr>
          </w:p>
        </w:tc>
      </w:tr>
      <w:tr w:rsidR="00614892" w:rsidRPr="003267A0" w14:paraId="1E07C636" w14:textId="77777777" w:rsidTr="000146AD">
        <w:trPr>
          <w:trHeight w:val="315"/>
        </w:trPr>
        <w:tc>
          <w:tcPr>
            <w:tcW w:w="3820" w:type="dxa"/>
            <w:noWrap/>
            <w:hideMark/>
          </w:tcPr>
          <w:p w14:paraId="6ACD8A60" w14:textId="77777777" w:rsidR="00614892" w:rsidRPr="003267A0" w:rsidRDefault="00614892" w:rsidP="000146AD">
            <w:pPr>
              <w:rPr>
                <w:rFonts w:ascii="Arial" w:eastAsia="Times New Roman" w:hAnsi="Arial" w:cs="Arial"/>
              </w:rPr>
            </w:pPr>
          </w:p>
        </w:tc>
        <w:tc>
          <w:tcPr>
            <w:tcW w:w="551" w:type="dxa"/>
            <w:noWrap/>
            <w:hideMark/>
          </w:tcPr>
          <w:p w14:paraId="6A428646"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113</w:t>
            </w:r>
          </w:p>
        </w:tc>
        <w:tc>
          <w:tcPr>
            <w:tcW w:w="2559" w:type="dxa"/>
            <w:noWrap/>
            <w:hideMark/>
          </w:tcPr>
          <w:p w14:paraId="15261FF2"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TIFL &gt; 3 L x day</w:t>
            </w:r>
          </w:p>
        </w:tc>
        <w:tc>
          <w:tcPr>
            <w:tcW w:w="2610" w:type="dxa"/>
            <w:noWrap/>
            <w:hideMark/>
          </w:tcPr>
          <w:p w14:paraId="72A44BB2"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-26 (-39.4 to -12.6)</w:t>
            </w:r>
            <w:r>
              <w:rPr>
                <w:rFonts w:ascii="Arial" w:eastAsia="Times New Roman" w:hAnsi="Arial" w:cs="Arial"/>
                <w:color w:val="000000"/>
              </w:rPr>
              <w:t xml:space="preserve"> g</w:t>
            </w:r>
          </w:p>
        </w:tc>
        <w:tc>
          <w:tcPr>
            <w:tcW w:w="810" w:type="dxa"/>
            <w:noWrap/>
            <w:hideMark/>
          </w:tcPr>
          <w:p w14:paraId="23F8E221" w14:textId="77777777" w:rsidR="00614892" w:rsidRPr="003267A0" w:rsidRDefault="00614892" w:rsidP="000146AD">
            <w:pPr>
              <w:rPr>
                <w:rFonts w:ascii="Arial" w:eastAsia="Times New Roman" w:hAnsi="Arial" w:cs="Arial"/>
                <w:color w:val="000000"/>
              </w:rPr>
            </w:pPr>
          </w:p>
        </w:tc>
      </w:tr>
      <w:tr w:rsidR="00614892" w:rsidRPr="003267A0" w14:paraId="7843F8C4" w14:textId="77777777" w:rsidTr="000146AD">
        <w:trPr>
          <w:trHeight w:val="495"/>
        </w:trPr>
        <w:tc>
          <w:tcPr>
            <w:tcW w:w="3820" w:type="dxa"/>
            <w:noWrap/>
            <w:hideMark/>
          </w:tcPr>
          <w:p w14:paraId="2B4BBE44" w14:textId="77777777" w:rsidR="00614892" w:rsidRPr="003267A0" w:rsidRDefault="00614892" w:rsidP="000146AD">
            <w:pPr>
              <w:rPr>
                <w:rFonts w:ascii="Arial" w:eastAsia="Times New Roman" w:hAnsi="Arial" w:cs="Arial"/>
              </w:rPr>
            </w:pPr>
          </w:p>
        </w:tc>
        <w:tc>
          <w:tcPr>
            <w:tcW w:w="551" w:type="dxa"/>
            <w:noWrap/>
            <w:hideMark/>
          </w:tcPr>
          <w:p w14:paraId="13CEF678"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224</w:t>
            </w:r>
          </w:p>
        </w:tc>
        <w:tc>
          <w:tcPr>
            <w:tcW w:w="2559" w:type="dxa"/>
            <w:noWrap/>
            <w:hideMark/>
          </w:tcPr>
          <w:p w14:paraId="05D2232D"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continuous interaction</w:t>
            </w:r>
          </w:p>
        </w:tc>
        <w:tc>
          <w:tcPr>
            <w:tcW w:w="2610" w:type="dxa"/>
            <w:noWrap/>
            <w:hideMark/>
          </w:tcPr>
          <w:p w14:paraId="699C370F" w14:textId="77777777" w:rsidR="00614892" w:rsidRPr="003267A0" w:rsidRDefault="00614892" w:rsidP="000146AD">
            <w:pPr>
              <w:rPr>
                <w:rFonts w:ascii="Arial" w:eastAsia="Times New Roman" w:hAnsi="Arial" w:cs="Arial"/>
                <w:color w:val="000000"/>
              </w:rPr>
            </w:pPr>
            <w:r w:rsidRPr="003267A0">
              <w:rPr>
                <w:rFonts w:ascii="Arial" w:eastAsia="Times New Roman" w:hAnsi="Arial" w:cs="Arial"/>
                <w:color w:val="000000"/>
              </w:rPr>
              <w:t>-5.8 (-27.9 to -7.3)</w:t>
            </w:r>
            <w:r>
              <w:rPr>
                <w:rFonts w:ascii="Arial" w:eastAsia="Times New Roman" w:hAnsi="Arial" w:cs="Arial"/>
                <w:color w:val="000000"/>
              </w:rPr>
              <w:t xml:space="preserve"> g</w:t>
            </w:r>
          </w:p>
        </w:tc>
        <w:tc>
          <w:tcPr>
            <w:tcW w:w="810" w:type="dxa"/>
            <w:noWrap/>
            <w:hideMark/>
          </w:tcPr>
          <w:p w14:paraId="28F91FC1" w14:textId="77777777" w:rsidR="00614892" w:rsidRPr="003267A0" w:rsidRDefault="00614892" w:rsidP="000146AD">
            <w:pPr>
              <w:jc w:val="right"/>
              <w:rPr>
                <w:rFonts w:ascii="Arial" w:eastAsia="Times New Roman" w:hAnsi="Arial" w:cs="Arial"/>
                <w:color w:val="000000"/>
              </w:rPr>
            </w:pPr>
            <w:r w:rsidRPr="003267A0">
              <w:rPr>
                <w:rFonts w:ascii="Arial" w:eastAsia="Times New Roman" w:hAnsi="Arial" w:cs="Arial"/>
                <w:color w:val="000000"/>
              </w:rPr>
              <w:t>0.22</w:t>
            </w:r>
          </w:p>
        </w:tc>
      </w:tr>
    </w:tbl>
    <w:p w14:paraId="62AB663F" w14:textId="42B73A5B" w:rsidR="00614892" w:rsidRPr="003267A0" w:rsidRDefault="00B0545C" w:rsidP="00B0545C">
      <w:pPr>
        <w:rPr>
          <w:rFonts w:ascii="Arial" w:hAnsi="Arial" w:cs="Arial"/>
        </w:rPr>
      </w:pPr>
      <w:r>
        <w:t>The treatment effect of frequent in-center dialysis may differ by the relative level of certain measures. We tested this by creating interaction terms between the binary treatment variable and the continuous form of each parameter. Results reflect the change in LVM (g) associated with a per-unit parameter among the frequent as opposed to the conventional treatment arm. Each parameter was also divided into “low” and “high” value ranges, then frequent vs. conventional treatment effects were calculated within each range, just as an illustration.”</w:t>
      </w:r>
    </w:p>
    <w:p w14:paraId="647E6037" w14:textId="77777777" w:rsidR="00614892" w:rsidRPr="003267A0" w:rsidRDefault="00614892" w:rsidP="00614892">
      <w:pPr>
        <w:rPr>
          <w:rFonts w:ascii="Arial" w:hAnsi="Arial" w:cs="Arial"/>
          <w:lang w:eastAsia="en-US"/>
        </w:rPr>
      </w:pPr>
    </w:p>
    <w:p w14:paraId="7CB70D71" w14:textId="77777777" w:rsidR="0083057C" w:rsidRDefault="0083057C"/>
    <w:sectPr w:rsidR="0083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37"/>
    <w:rsid w:val="00291239"/>
    <w:rsid w:val="00614892"/>
    <w:rsid w:val="0083057C"/>
    <w:rsid w:val="008B2837"/>
    <w:rsid w:val="00B0545C"/>
    <w:rsid w:val="00BB4175"/>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4DB4"/>
  <w15:chartTrackingRefBased/>
  <w15:docId w15:val="{BF736EC0-2210-4882-87D2-E7C73EF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92"/>
    <w:pPr>
      <w:autoSpaceDE w:val="0"/>
      <w:autoSpaceDN w:val="0"/>
      <w:spacing w:after="0" w:line="240" w:lineRule="auto"/>
    </w:pPr>
    <w:rPr>
      <w:rFonts w:ascii="Times New Roman" w:eastAsiaTheme="minorEastAsia"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92"/>
    <w:pPr>
      <w:ind w:left="720"/>
      <w:contextualSpacing/>
    </w:pPr>
  </w:style>
  <w:style w:type="table" w:styleId="TableGrid">
    <w:name w:val="Table Grid"/>
    <w:basedOn w:val="TableNormal"/>
    <w:uiPriority w:val="39"/>
    <w:rsid w:val="0061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Raimann</dc:creator>
  <cp:keywords/>
  <dc:description/>
  <cp:lastModifiedBy>Jochen Raimann</cp:lastModifiedBy>
  <cp:revision>5</cp:revision>
  <dcterms:created xsi:type="dcterms:W3CDTF">2021-02-25T17:52:00Z</dcterms:created>
  <dcterms:modified xsi:type="dcterms:W3CDTF">2021-06-25T16:32:00Z</dcterms:modified>
</cp:coreProperties>
</file>