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8840" w14:textId="77777777" w:rsidR="00AC0593" w:rsidRPr="008D4BE6" w:rsidRDefault="00AC0593" w:rsidP="00257951">
      <w:pPr>
        <w:spacing w:line="240" w:lineRule="auto"/>
        <w:jc w:val="center"/>
        <w:rPr>
          <w:rFonts w:asciiTheme="majorBidi" w:hAnsiTheme="majorBidi" w:cstheme="majorBidi"/>
          <w:b/>
          <w:bCs/>
          <w:sz w:val="28"/>
          <w:szCs w:val="28"/>
          <w:highlight w:val="white"/>
        </w:rPr>
      </w:pPr>
      <w:bookmarkStart w:id="0" w:name="_Hlk52802724"/>
      <w:r w:rsidRPr="008D4BE6">
        <w:rPr>
          <w:rFonts w:asciiTheme="majorBidi" w:hAnsiTheme="majorBidi" w:cstheme="majorBidi"/>
          <w:b/>
          <w:bCs/>
          <w:sz w:val="28"/>
          <w:szCs w:val="28"/>
          <w:highlight w:val="white"/>
        </w:rPr>
        <w:t>SUPPLEMENTARY INFORMATION</w:t>
      </w:r>
    </w:p>
    <w:p w14:paraId="1A8F722D" w14:textId="77777777" w:rsidR="00AC0593" w:rsidRPr="008D4BE6" w:rsidRDefault="00AC0593" w:rsidP="00AC0593">
      <w:pPr>
        <w:spacing w:line="240" w:lineRule="auto"/>
        <w:rPr>
          <w:rFonts w:asciiTheme="majorBidi" w:hAnsiTheme="majorBidi" w:cstheme="majorBidi"/>
          <w:b/>
          <w:bCs/>
          <w:sz w:val="24"/>
          <w:szCs w:val="24"/>
          <w:highlight w:val="white"/>
        </w:rPr>
      </w:pPr>
    </w:p>
    <w:bookmarkEnd w:id="0"/>
    <w:p w14:paraId="25A799D9" w14:textId="1884070D" w:rsidR="00D90C95" w:rsidRDefault="00F01EB1" w:rsidP="00F01EB1">
      <w:pPr>
        <w:spacing w:line="240" w:lineRule="auto"/>
        <w:jc w:val="center"/>
        <w:rPr>
          <w:rFonts w:asciiTheme="majorBidi" w:hAnsiTheme="majorBidi" w:cstheme="majorBidi"/>
          <w:b/>
          <w:bCs/>
          <w:sz w:val="28"/>
          <w:szCs w:val="28"/>
          <w:highlight w:val="white"/>
        </w:rPr>
      </w:pPr>
      <w:r w:rsidRPr="00F01EB1">
        <w:rPr>
          <w:rFonts w:asciiTheme="majorBidi" w:hAnsiTheme="majorBidi" w:cstheme="majorBidi"/>
          <w:b/>
          <w:bCs/>
          <w:sz w:val="28"/>
          <w:szCs w:val="28"/>
          <w:highlight w:val="white"/>
        </w:rPr>
        <w:t>Risk of Post-Operative Renal Failure in Radical Nephrectomy and Nephroureterectomy: A validated risk-prediction model</w:t>
      </w:r>
    </w:p>
    <w:p w14:paraId="1C0F2D3B" w14:textId="77777777" w:rsidR="00F01EB1" w:rsidRPr="00F01EB1" w:rsidRDefault="00F01EB1" w:rsidP="00F01EB1">
      <w:pPr>
        <w:spacing w:line="240" w:lineRule="auto"/>
        <w:jc w:val="center"/>
        <w:rPr>
          <w:rFonts w:asciiTheme="majorBidi" w:hAnsiTheme="majorBidi" w:cstheme="majorBidi"/>
          <w:sz w:val="28"/>
          <w:szCs w:val="28"/>
          <w:highlight w:val="white"/>
        </w:rPr>
      </w:pPr>
    </w:p>
    <w:p w14:paraId="29C5E237" w14:textId="77777777" w:rsidR="00D90C95" w:rsidRPr="00F31795" w:rsidRDefault="00D90C95" w:rsidP="00D90C95">
      <w:pPr>
        <w:spacing w:line="240" w:lineRule="auto"/>
        <w:jc w:val="center"/>
        <w:rPr>
          <w:rFonts w:asciiTheme="majorBidi" w:hAnsiTheme="majorBidi" w:cstheme="majorBidi"/>
          <w:highlight w:val="white"/>
          <w:vertAlign w:val="superscript"/>
        </w:rPr>
      </w:pPr>
      <w:r w:rsidRPr="00F31795">
        <w:rPr>
          <w:rFonts w:asciiTheme="majorBidi" w:hAnsiTheme="majorBidi" w:cstheme="majorBidi"/>
          <w:highlight w:val="white"/>
        </w:rPr>
        <w:t xml:space="preserve">Ali A. </w:t>
      </w:r>
      <w:proofErr w:type="spellStart"/>
      <w:r w:rsidRPr="00F31795">
        <w:rPr>
          <w:rFonts w:asciiTheme="majorBidi" w:hAnsiTheme="majorBidi" w:cstheme="majorBidi"/>
          <w:highlight w:val="white"/>
        </w:rPr>
        <w:t>Nasrallah</w:t>
      </w:r>
      <w:r w:rsidRPr="00F31795">
        <w:rPr>
          <w:rFonts w:asciiTheme="majorBidi" w:hAnsiTheme="majorBidi" w:cstheme="majorBidi"/>
          <w:highlight w:val="white"/>
          <w:vertAlign w:val="superscript"/>
        </w:rPr>
        <w:t>a</w:t>
      </w:r>
      <w:proofErr w:type="spellEnd"/>
      <w:r w:rsidRPr="00F31795">
        <w:rPr>
          <w:rFonts w:asciiTheme="majorBidi" w:hAnsiTheme="majorBidi" w:cstheme="majorBidi"/>
          <w:highlight w:val="white"/>
        </w:rPr>
        <w:t xml:space="preserve">, Charbel </w:t>
      </w:r>
      <w:proofErr w:type="spellStart"/>
      <w:r w:rsidRPr="00F31795">
        <w:rPr>
          <w:rFonts w:asciiTheme="majorBidi" w:hAnsiTheme="majorBidi" w:cstheme="majorBidi"/>
          <w:highlight w:val="white"/>
        </w:rPr>
        <w:t>Gharios</w:t>
      </w:r>
      <w:r w:rsidRPr="00F31795">
        <w:rPr>
          <w:rFonts w:asciiTheme="majorBidi" w:hAnsiTheme="majorBidi" w:cstheme="majorBidi"/>
          <w:highlight w:val="white"/>
          <w:vertAlign w:val="superscript"/>
        </w:rPr>
        <w:t>b</w:t>
      </w:r>
      <w:proofErr w:type="spellEnd"/>
      <w:r w:rsidRPr="00F31795">
        <w:rPr>
          <w:rFonts w:asciiTheme="majorBidi" w:hAnsiTheme="majorBidi" w:cstheme="majorBidi"/>
          <w:highlight w:val="white"/>
        </w:rPr>
        <w:t xml:space="preserve">, Mira </w:t>
      </w:r>
      <w:proofErr w:type="spellStart"/>
      <w:r w:rsidRPr="00F31795">
        <w:rPr>
          <w:rFonts w:asciiTheme="majorBidi" w:hAnsiTheme="majorBidi" w:cstheme="majorBidi"/>
          <w:highlight w:val="white"/>
        </w:rPr>
        <w:t>Itani</w:t>
      </w:r>
      <w:r w:rsidRPr="00F31795">
        <w:rPr>
          <w:rFonts w:asciiTheme="majorBidi" w:hAnsiTheme="majorBidi" w:cstheme="majorBidi"/>
          <w:highlight w:val="white"/>
          <w:vertAlign w:val="superscript"/>
        </w:rPr>
        <w:t>c</w:t>
      </w:r>
      <w:proofErr w:type="spellEnd"/>
      <w:r w:rsidRPr="00F31795">
        <w:rPr>
          <w:rFonts w:asciiTheme="majorBidi" w:hAnsiTheme="majorBidi" w:cstheme="majorBidi"/>
          <w:highlight w:val="white"/>
        </w:rPr>
        <w:t xml:space="preserve">, Dania S. </w:t>
      </w:r>
      <w:proofErr w:type="spellStart"/>
      <w:r w:rsidRPr="00F31795">
        <w:rPr>
          <w:rFonts w:asciiTheme="majorBidi" w:hAnsiTheme="majorBidi" w:cstheme="majorBidi"/>
          <w:highlight w:val="white"/>
        </w:rPr>
        <w:t>Bacha</w:t>
      </w:r>
      <w:r w:rsidRPr="00F31795">
        <w:rPr>
          <w:rFonts w:asciiTheme="majorBidi" w:hAnsiTheme="majorBidi" w:cstheme="majorBidi"/>
          <w:highlight w:val="white"/>
          <w:vertAlign w:val="superscript"/>
        </w:rPr>
        <w:t>b</w:t>
      </w:r>
      <w:proofErr w:type="spellEnd"/>
      <w:r w:rsidRPr="00F31795">
        <w:rPr>
          <w:rFonts w:asciiTheme="majorBidi" w:hAnsiTheme="majorBidi" w:cstheme="majorBidi"/>
          <w:highlight w:val="white"/>
        </w:rPr>
        <w:t xml:space="preserve">, Hani M. </w:t>
      </w:r>
      <w:proofErr w:type="spellStart"/>
      <w:r w:rsidRPr="00F31795">
        <w:rPr>
          <w:rFonts w:asciiTheme="majorBidi" w:hAnsiTheme="majorBidi" w:cstheme="majorBidi"/>
          <w:highlight w:val="white"/>
        </w:rPr>
        <w:t>Tamim</w:t>
      </w:r>
      <w:r w:rsidRPr="00F31795">
        <w:rPr>
          <w:rFonts w:asciiTheme="majorBidi" w:hAnsiTheme="majorBidi" w:cstheme="majorBidi"/>
          <w:highlight w:val="white"/>
          <w:vertAlign w:val="superscript"/>
        </w:rPr>
        <w:t>d</w:t>
      </w:r>
      <w:proofErr w:type="spellEnd"/>
      <w:r w:rsidRPr="00F31795">
        <w:rPr>
          <w:rFonts w:asciiTheme="majorBidi" w:hAnsiTheme="majorBidi" w:cstheme="majorBidi"/>
          <w:highlight w:val="white"/>
        </w:rPr>
        <w:t xml:space="preserve">, Robert H. </w:t>
      </w:r>
      <w:proofErr w:type="spellStart"/>
      <w:r w:rsidRPr="00F31795">
        <w:rPr>
          <w:rFonts w:asciiTheme="majorBidi" w:hAnsiTheme="majorBidi" w:cstheme="majorBidi"/>
          <w:highlight w:val="white"/>
        </w:rPr>
        <w:t>Habib</w:t>
      </w:r>
      <w:r w:rsidRPr="00F31795">
        <w:rPr>
          <w:rFonts w:asciiTheme="majorBidi" w:hAnsiTheme="majorBidi" w:cstheme="majorBidi"/>
          <w:highlight w:val="white"/>
          <w:vertAlign w:val="superscript"/>
        </w:rPr>
        <w:t>e</w:t>
      </w:r>
      <w:proofErr w:type="spellEnd"/>
      <w:r w:rsidRPr="00F31795">
        <w:rPr>
          <w:rFonts w:asciiTheme="majorBidi" w:hAnsiTheme="majorBidi" w:cstheme="majorBidi"/>
          <w:highlight w:val="white"/>
        </w:rPr>
        <w:t xml:space="preserve">, Albert El </w:t>
      </w:r>
      <w:proofErr w:type="spellStart"/>
      <w:r w:rsidRPr="00F31795">
        <w:rPr>
          <w:rFonts w:asciiTheme="majorBidi" w:hAnsiTheme="majorBidi" w:cstheme="majorBidi"/>
          <w:highlight w:val="white"/>
        </w:rPr>
        <w:t>Hajj</w:t>
      </w:r>
      <w:r w:rsidRPr="00F31795">
        <w:rPr>
          <w:rFonts w:asciiTheme="majorBidi" w:hAnsiTheme="majorBidi" w:cstheme="majorBidi"/>
          <w:highlight w:val="white"/>
          <w:vertAlign w:val="superscript"/>
        </w:rPr>
        <w:t>a</w:t>
      </w:r>
      <w:proofErr w:type="spellEnd"/>
    </w:p>
    <w:p w14:paraId="27841D4A" w14:textId="77777777" w:rsidR="00D90C95" w:rsidRPr="00F31795" w:rsidRDefault="00D90C95" w:rsidP="00D90C95">
      <w:pPr>
        <w:spacing w:line="240" w:lineRule="auto"/>
        <w:rPr>
          <w:rFonts w:asciiTheme="majorBidi" w:hAnsiTheme="majorBidi" w:cstheme="majorBidi"/>
          <w:highlight w:val="white"/>
        </w:rPr>
      </w:pPr>
    </w:p>
    <w:p w14:paraId="12647A66" w14:textId="77777777" w:rsidR="00D90C95" w:rsidRPr="00F31795" w:rsidRDefault="00D90C95" w:rsidP="00D90C95">
      <w:pPr>
        <w:spacing w:line="240" w:lineRule="auto"/>
        <w:rPr>
          <w:rFonts w:asciiTheme="majorBidi" w:eastAsia="Times New Roman" w:hAnsiTheme="majorBidi" w:cstheme="majorBidi"/>
          <w:bCs/>
        </w:rPr>
      </w:pPr>
      <w:r w:rsidRPr="00F31795">
        <w:rPr>
          <w:rFonts w:asciiTheme="majorBidi" w:eastAsia="Times New Roman" w:hAnsiTheme="majorBidi" w:cstheme="majorBidi"/>
          <w:bCs/>
        </w:rPr>
        <w:t>a: Division of Urology, Department of Surgery, American University of Beirut Medical Center, Beirut, Lebanon</w:t>
      </w:r>
    </w:p>
    <w:p w14:paraId="33B85EB7" w14:textId="77777777" w:rsidR="00D90C95" w:rsidRPr="00F31795" w:rsidRDefault="00D90C95" w:rsidP="00D90C95">
      <w:pPr>
        <w:spacing w:line="240" w:lineRule="auto"/>
        <w:rPr>
          <w:rFonts w:asciiTheme="majorBidi" w:eastAsia="Times New Roman" w:hAnsiTheme="majorBidi" w:cstheme="majorBidi"/>
          <w:bCs/>
        </w:rPr>
      </w:pPr>
      <w:r w:rsidRPr="00F31795">
        <w:rPr>
          <w:rFonts w:asciiTheme="majorBidi" w:eastAsia="Times New Roman" w:hAnsiTheme="majorBidi" w:cstheme="majorBidi"/>
          <w:bCs/>
        </w:rPr>
        <w:t>b: Department of Internal Medicine, American University of Beirut Medical Center, Beirut, Lebanon</w:t>
      </w:r>
    </w:p>
    <w:p w14:paraId="43166D25" w14:textId="77777777" w:rsidR="00D90C95" w:rsidRPr="00F31795" w:rsidRDefault="00D90C95" w:rsidP="00D90C95">
      <w:pPr>
        <w:spacing w:line="240" w:lineRule="auto"/>
        <w:rPr>
          <w:rFonts w:asciiTheme="majorBidi" w:eastAsia="Times New Roman" w:hAnsiTheme="majorBidi" w:cstheme="majorBidi"/>
          <w:bCs/>
        </w:rPr>
      </w:pPr>
      <w:r w:rsidRPr="00F31795">
        <w:rPr>
          <w:rFonts w:asciiTheme="majorBidi" w:eastAsia="Times New Roman" w:hAnsiTheme="majorBidi" w:cstheme="majorBidi"/>
          <w:bCs/>
        </w:rPr>
        <w:t>c: Department of Family Medicine, American University of Beirut Medical Center, Beirut, Lebanon</w:t>
      </w:r>
    </w:p>
    <w:p w14:paraId="4E65F60A" w14:textId="77777777" w:rsidR="00D90C95" w:rsidRPr="00F31795" w:rsidRDefault="00D90C95" w:rsidP="00D90C95">
      <w:pPr>
        <w:spacing w:line="240" w:lineRule="auto"/>
        <w:rPr>
          <w:rFonts w:asciiTheme="majorBidi" w:eastAsia="Times New Roman" w:hAnsiTheme="majorBidi" w:cstheme="majorBidi"/>
          <w:bCs/>
        </w:rPr>
      </w:pPr>
      <w:r w:rsidRPr="00F31795">
        <w:rPr>
          <w:rFonts w:asciiTheme="majorBidi" w:eastAsia="Times New Roman" w:hAnsiTheme="majorBidi" w:cstheme="majorBidi"/>
          <w:bCs/>
        </w:rPr>
        <w:t>d: Clinical Research Institute, American University of Beirut, Beirut, Lebanon</w:t>
      </w:r>
    </w:p>
    <w:p w14:paraId="389CB00E" w14:textId="77777777" w:rsidR="00D90C95" w:rsidRPr="00F31795" w:rsidRDefault="00D90C95" w:rsidP="00D90C95">
      <w:pPr>
        <w:spacing w:line="240" w:lineRule="auto"/>
        <w:rPr>
          <w:rFonts w:asciiTheme="majorBidi" w:eastAsia="Times New Roman" w:hAnsiTheme="majorBidi" w:cstheme="majorBidi"/>
          <w:bCs/>
        </w:rPr>
      </w:pPr>
      <w:r w:rsidRPr="00F31795">
        <w:rPr>
          <w:rFonts w:asciiTheme="majorBidi" w:eastAsia="Times New Roman" w:hAnsiTheme="majorBidi" w:cstheme="majorBidi"/>
          <w:bCs/>
        </w:rPr>
        <w:t>e: Research Center, Society of Thoracic Surgeons, Chicago, Illinois, USA</w:t>
      </w:r>
    </w:p>
    <w:p w14:paraId="6E1ADB6E" w14:textId="77777777" w:rsidR="00D90C95" w:rsidRPr="00F31795" w:rsidRDefault="00D90C95" w:rsidP="00D90C95">
      <w:pPr>
        <w:spacing w:line="240" w:lineRule="auto"/>
        <w:rPr>
          <w:rFonts w:asciiTheme="majorBidi" w:eastAsia="Times New Roman" w:hAnsiTheme="majorBidi" w:cstheme="majorBidi"/>
          <w:bCs/>
        </w:rPr>
      </w:pPr>
    </w:p>
    <w:p w14:paraId="1760FCB4" w14:textId="77777777" w:rsidR="00D90C95" w:rsidRPr="00F31795" w:rsidRDefault="00D90C95" w:rsidP="00D90C95">
      <w:pPr>
        <w:spacing w:line="240" w:lineRule="auto"/>
        <w:rPr>
          <w:rFonts w:asciiTheme="majorBidi" w:eastAsia="Times New Roman" w:hAnsiTheme="majorBidi" w:cstheme="majorBidi"/>
          <w:bCs/>
        </w:rPr>
      </w:pPr>
      <w:r w:rsidRPr="00F31795">
        <w:rPr>
          <w:rFonts w:asciiTheme="majorBidi" w:eastAsia="Times New Roman" w:hAnsiTheme="majorBidi" w:cstheme="majorBidi"/>
          <w:bCs/>
        </w:rPr>
        <w:t>Short title: Risk model for postoperative renal failure in RN/RNU</w:t>
      </w:r>
    </w:p>
    <w:p w14:paraId="7ECB5509" w14:textId="77777777" w:rsidR="00D90C95" w:rsidRPr="00F31795" w:rsidRDefault="00D90C95" w:rsidP="00D90C95">
      <w:pPr>
        <w:spacing w:before="240" w:line="240" w:lineRule="auto"/>
        <w:rPr>
          <w:rFonts w:asciiTheme="majorBidi" w:eastAsia="Times New Roman" w:hAnsiTheme="majorBidi" w:cstheme="majorBidi"/>
          <w:b/>
        </w:rPr>
      </w:pPr>
      <w:r w:rsidRPr="00F31795">
        <w:rPr>
          <w:rFonts w:asciiTheme="majorBidi" w:eastAsia="Times New Roman" w:hAnsiTheme="majorBidi" w:cstheme="majorBidi"/>
          <w:b/>
        </w:rPr>
        <w:t>Correspondence to:</w:t>
      </w:r>
    </w:p>
    <w:p w14:paraId="598A3DB1" w14:textId="77777777" w:rsidR="00D90C95" w:rsidRPr="00F31795" w:rsidRDefault="00D90C95" w:rsidP="00D90C95">
      <w:pPr>
        <w:spacing w:line="240" w:lineRule="auto"/>
        <w:rPr>
          <w:rFonts w:asciiTheme="majorBidi" w:eastAsia="Times New Roman" w:hAnsiTheme="majorBidi" w:cstheme="majorBidi"/>
          <w:bCs/>
        </w:rPr>
      </w:pPr>
      <w:r w:rsidRPr="00F31795">
        <w:rPr>
          <w:rFonts w:asciiTheme="majorBidi" w:eastAsia="Times New Roman" w:hAnsiTheme="majorBidi" w:cstheme="majorBidi"/>
          <w:bCs/>
        </w:rPr>
        <w:t>Albert El Hajj, MD</w:t>
      </w:r>
    </w:p>
    <w:p w14:paraId="276DA038" w14:textId="77777777" w:rsidR="00D90C95" w:rsidRPr="00F31795" w:rsidRDefault="00D90C95" w:rsidP="00D90C95">
      <w:pPr>
        <w:spacing w:line="240" w:lineRule="auto"/>
        <w:rPr>
          <w:rFonts w:asciiTheme="majorBidi" w:eastAsia="Times New Roman" w:hAnsiTheme="majorBidi" w:cstheme="majorBidi"/>
          <w:bCs/>
        </w:rPr>
      </w:pPr>
      <w:r w:rsidRPr="00F31795">
        <w:rPr>
          <w:rFonts w:asciiTheme="majorBidi" w:eastAsia="Times New Roman" w:hAnsiTheme="majorBidi" w:cstheme="majorBidi"/>
          <w:bCs/>
        </w:rPr>
        <w:t>Associate Professor</w:t>
      </w:r>
    </w:p>
    <w:p w14:paraId="33A853EB" w14:textId="77777777" w:rsidR="00D90C95" w:rsidRPr="00F31795" w:rsidRDefault="00D90C95" w:rsidP="00D90C95">
      <w:pPr>
        <w:spacing w:line="240" w:lineRule="auto"/>
        <w:rPr>
          <w:rFonts w:asciiTheme="majorBidi" w:eastAsia="Times New Roman" w:hAnsiTheme="majorBidi" w:cstheme="majorBidi"/>
          <w:bCs/>
        </w:rPr>
      </w:pPr>
      <w:r w:rsidRPr="00F31795">
        <w:rPr>
          <w:rFonts w:asciiTheme="majorBidi" w:eastAsia="Times New Roman" w:hAnsiTheme="majorBidi" w:cstheme="majorBidi"/>
          <w:bCs/>
        </w:rPr>
        <w:t>Department of Surgery, Division of Urology, American University of Beirut Medical Center</w:t>
      </w:r>
    </w:p>
    <w:p w14:paraId="5BA83476" w14:textId="77777777" w:rsidR="00D90C95" w:rsidRPr="00F31795" w:rsidRDefault="00D90C95" w:rsidP="00D90C95">
      <w:pPr>
        <w:spacing w:line="240" w:lineRule="auto"/>
        <w:rPr>
          <w:rFonts w:asciiTheme="majorBidi" w:eastAsia="Times New Roman" w:hAnsiTheme="majorBidi" w:cstheme="majorBidi"/>
          <w:bCs/>
        </w:rPr>
      </w:pPr>
      <w:r w:rsidRPr="00F31795">
        <w:rPr>
          <w:rFonts w:asciiTheme="majorBidi" w:eastAsia="Times New Roman" w:hAnsiTheme="majorBidi" w:cstheme="majorBidi"/>
          <w:bCs/>
        </w:rPr>
        <w:t>P.O. Box 11-0236</w:t>
      </w:r>
    </w:p>
    <w:p w14:paraId="5EF187C1" w14:textId="77777777" w:rsidR="00D90C95" w:rsidRPr="00F31795" w:rsidRDefault="00D90C95" w:rsidP="00D90C95">
      <w:pPr>
        <w:spacing w:line="240" w:lineRule="auto"/>
        <w:rPr>
          <w:rFonts w:asciiTheme="majorBidi" w:eastAsia="Times New Roman" w:hAnsiTheme="majorBidi" w:cstheme="majorBidi"/>
          <w:bCs/>
        </w:rPr>
      </w:pPr>
      <w:r w:rsidRPr="00F31795">
        <w:rPr>
          <w:rFonts w:asciiTheme="majorBidi" w:eastAsia="Times New Roman" w:hAnsiTheme="majorBidi" w:cstheme="majorBidi"/>
          <w:bCs/>
        </w:rPr>
        <w:t>Riad El-</w:t>
      </w:r>
      <w:proofErr w:type="spellStart"/>
      <w:r w:rsidRPr="00F31795">
        <w:rPr>
          <w:rFonts w:asciiTheme="majorBidi" w:eastAsia="Times New Roman" w:hAnsiTheme="majorBidi" w:cstheme="majorBidi"/>
          <w:bCs/>
        </w:rPr>
        <w:t>Solh</w:t>
      </w:r>
      <w:proofErr w:type="spellEnd"/>
      <w:r w:rsidRPr="00F31795">
        <w:rPr>
          <w:rFonts w:asciiTheme="majorBidi" w:eastAsia="Times New Roman" w:hAnsiTheme="majorBidi" w:cstheme="majorBidi"/>
          <w:bCs/>
        </w:rPr>
        <w:t>, 1107 2020</w:t>
      </w:r>
    </w:p>
    <w:p w14:paraId="72F1DEBC" w14:textId="77777777" w:rsidR="00D90C95" w:rsidRPr="00F31795" w:rsidRDefault="00D90C95" w:rsidP="00D90C95">
      <w:pPr>
        <w:spacing w:line="240" w:lineRule="auto"/>
        <w:rPr>
          <w:rFonts w:asciiTheme="majorBidi" w:eastAsia="Times New Roman" w:hAnsiTheme="majorBidi" w:cstheme="majorBidi"/>
          <w:bCs/>
        </w:rPr>
      </w:pPr>
      <w:r w:rsidRPr="00F31795">
        <w:rPr>
          <w:rFonts w:asciiTheme="majorBidi" w:eastAsia="Times New Roman" w:hAnsiTheme="majorBidi" w:cstheme="majorBidi"/>
          <w:bCs/>
        </w:rPr>
        <w:t>Beirut, Lebanon</w:t>
      </w:r>
    </w:p>
    <w:p w14:paraId="43FADA84" w14:textId="77777777" w:rsidR="00D90C95" w:rsidRPr="00F31795" w:rsidRDefault="00D90C95" w:rsidP="00D90C95">
      <w:pPr>
        <w:spacing w:line="240" w:lineRule="auto"/>
        <w:rPr>
          <w:rFonts w:asciiTheme="majorBidi" w:eastAsia="Times New Roman" w:hAnsiTheme="majorBidi" w:cstheme="majorBidi"/>
          <w:bCs/>
          <w:color w:val="0000FF"/>
          <w:u w:val="single"/>
        </w:rPr>
      </w:pPr>
      <w:r w:rsidRPr="00F31795">
        <w:rPr>
          <w:rFonts w:asciiTheme="majorBidi" w:eastAsia="Times New Roman" w:hAnsiTheme="majorBidi" w:cstheme="majorBidi"/>
          <w:bCs/>
        </w:rPr>
        <w:t xml:space="preserve">Email: </w:t>
      </w:r>
      <w:hyperlink r:id="rId5" w:history="1">
        <w:r w:rsidRPr="00F31795">
          <w:rPr>
            <w:rFonts w:asciiTheme="majorBidi" w:eastAsia="Times New Roman" w:hAnsiTheme="majorBidi" w:cstheme="majorBidi"/>
            <w:bCs/>
            <w:color w:val="0000FF"/>
            <w:u w:val="single"/>
          </w:rPr>
          <w:t>ae67@aub.edu.lb</w:t>
        </w:r>
      </w:hyperlink>
    </w:p>
    <w:p w14:paraId="099DDC7D" w14:textId="77777777" w:rsidR="00D90C95" w:rsidRPr="00F31795" w:rsidRDefault="00D90C95" w:rsidP="00D90C95">
      <w:pPr>
        <w:spacing w:line="240" w:lineRule="auto"/>
        <w:rPr>
          <w:rFonts w:asciiTheme="majorBidi" w:eastAsia="Times New Roman" w:hAnsiTheme="majorBidi" w:cstheme="majorBidi"/>
          <w:bCs/>
        </w:rPr>
      </w:pPr>
      <w:r w:rsidRPr="00F31795">
        <w:rPr>
          <w:rFonts w:asciiTheme="majorBidi" w:eastAsia="Times New Roman" w:hAnsiTheme="majorBidi" w:cstheme="majorBidi"/>
          <w:bCs/>
        </w:rPr>
        <w:t>Phone: +961 1 350 000</w:t>
      </w:r>
    </w:p>
    <w:p w14:paraId="0820556B" w14:textId="77777777" w:rsidR="00D90C95" w:rsidRPr="00F31795" w:rsidRDefault="00D90C95" w:rsidP="00D90C95">
      <w:pPr>
        <w:spacing w:line="240" w:lineRule="auto"/>
        <w:rPr>
          <w:rFonts w:asciiTheme="majorBidi" w:eastAsia="Times New Roman" w:hAnsiTheme="majorBidi" w:cstheme="majorBidi"/>
          <w:bCs/>
        </w:rPr>
      </w:pPr>
    </w:p>
    <w:p w14:paraId="3160CC00" w14:textId="77777777" w:rsidR="00AC0593" w:rsidRPr="008D4BE6" w:rsidRDefault="00AC0593" w:rsidP="00470263">
      <w:pPr>
        <w:spacing w:before="240" w:after="240" w:line="240" w:lineRule="auto"/>
        <w:rPr>
          <w:rFonts w:asciiTheme="majorBidi" w:eastAsia="Times New Roman" w:hAnsiTheme="majorBidi" w:cstheme="majorBidi"/>
          <w:b/>
          <w:u w:val="single"/>
        </w:rPr>
      </w:pPr>
    </w:p>
    <w:p w14:paraId="4337927B" w14:textId="77777777" w:rsidR="00AC0593" w:rsidRPr="008D4BE6" w:rsidRDefault="00AC0593">
      <w:pPr>
        <w:spacing w:after="160" w:line="259" w:lineRule="auto"/>
        <w:rPr>
          <w:rFonts w:asciiTheme="majorBidi" w:eastAsia="Times New Roman" w:hAnsiTheme="majorBidi" w:cstheme="majorBidi"/>
          <w:b/>
          <w:u w:val="single"/>
        </w:rPr>
      </w:pPr>
      <w:r w:rsidRPr="008D4BE6">
        <w:rPr>
          <w:rFonts w:asciiTheme="majorBidi" w:eastAsia="Times New Roman" w:hAnsiTheme="majorBidi" w:cstheme="majorBidi"/>
          <w:b/>
          <w:u w:val="single"/>
        </w:rPr>
        <w:br w:type="page"/>
      </w:r>
    </w:p>
    <w:p w14:paraId="32EDD3F8" w14:textId="697EDED5" w:rsidR="00470263" w:rsidRPr="008D4BE6" w:rsidRDefault="00581D8C" w:rsidP="00470263">
      <w:pPr>
        <w:spacing w:before="240" w:after="240" w:line="240" w:lineRule="auto"/>
        <w:rPr>
          <w:rFonts w:asciiTheme="majorBidi" w:eastAsia="Times New Roman" w:hAnsiTheme="majorBidi" w:cstheme="majorBidi"/>
          <w:b/>
          <w:u w:val="single"/>
        </w:rPr>
      </w:pPr>
      <w:r w:rsidRPr="008D4BE6">
        <w:rPr>
          <w:rFonts w:asciiTheme="majorBidi" w:eastAsia="Times New Roman" w:hAnsiTheme="majorBidi" w:cstheme="majorBidi"/>
          <w:b/>
          <w:u w:val="single"/>
        </w:rPr>
        <w:lastRenderedPageBreak/>
        <w:t>Table</w:t>
      </w:r>
      <w:r w:rsidR="00470263" w:rsidRPr="008D4BE6">
        <w:rPr>
          <w:rFonts w:asciiTheme="majorBidi" w:eastAsia="Times New Roman" w:hAnsiTheme="majorBidi" w:cstheme="majorBidi"/>
          <w:b/>
          <w:u w:val="single"/>
        </w:rPr>
        <w:t xml:space="preserve"> </w:t>
      </w:r>
      <w:r w:rsidRPr="008D4BE6">
        <w:rPr>
          <w:rFonts w:asciiTheme="majorBidi" w:eastAsia="Times New Roman" w:hAnsiTheme="majorBidi" w:cstheme="majorBidi"/>
          <w:b/>
          <w:u w:val="single"/>
        </w:rPr>
        <w:t>S</w:t>
      </w:r>
      <w:r w:rsidR="00470263" w:rsidRPr="008D4BE6">
        <w:rPr>
          <w:rFonts w:asciiTheme="majorBidi" w:eastAsia="Times New Roman" w:hAnsiTheme="majorBidi" w:cstheme="majorBidi"/>
          <w:b/>
          <w:u w:val="single"/>
        </w:rPr>
        <w:t>1: Variable Definition as per the ACS-NSQIP</w:t>
      </w:r>
      <w:r w:rsidR="00F136D4" w:rsidRPr="008D4BE6">
        <w:rPr>
          <w:rFonts w:asciiTheme="majorBidi" w:eastAsia="Times New Roman" w:hAnsiTheme="majorBidi" w:cstheme="majorBidi"/>
          <w:b/>
          <w:u w:val="single"/>
        </w:rPr>
        <w:t xml:space="preserve"> Participant Use File</w:t>
      </w:r>
      <w:r w:rsidR="00470263" w:rsidRPr="008D4BE6">
        <w:rPr>
          <w:rFonts w:asciiTheme="majorBidi" w:eastAsia="Times New Roman" w:hAnsiTheme="majorBidi" w:cstheme="majorBidi"/>
          <w:b/>
          <w:u w:val="single"/>
        </w:rPr>
        <w:t xml:space="preserve">: </w:t>
      </w:r>
    </w:p>
    <w:tbl>
      <w:tblPr>
        <w:tblStyle w:val="Tabellenraster"/>
        <w:tblW w:w="0" w:type="auto"/>
        <w:tblLook w:val="04A0" w:firstRow="1" w:lastRow="0" w:firstColumn="1" w:lastColumn="0" w:noHBand="0" w:noVBand="1"/>
      </w:tblPr>
      <w:tblGrid>
        <w:gridCol w:w="9350"/>
      </w:tblGrid>
      <w:tr w:rsidR="00581D8C" w:rsidRPr="008D4BE6" w14:paraId="575371F5" w14:textId="77777777" w:rsidTr="00581D8C">
        <w:tc>
          <w:tcPr>
            <w:tcW w:w="9350" w:type="dxa"/>
          </w:tcPr>
          <w:p w14:paraId="4AE53C9F" w14:textId="77777777" w:rsidR="00581D8C" w:rsidRPr="008D4BE6" w:rsidRDefault="00581D8C" w:rsidP="004B3782">
            <w:pPr>
              <w:pStyle w:val="Listenabsatz"/>
              <w:numPr>
                <w:ilvl w:val="0"/>
                <w:numId w:val="8"/>
              </w:numPr>
              <w:spacing w:before="240" w:after="240" w:line="240" w:lineRule="auto"/>
              <w:rPr>
                <w:rFonts w:asciiTheme="majorBidi" w:eastAsia="Times New Roman" w:hAnsiTheme="majorBidi" w:cstheme="majorBidi"/>
                <w:b/>
                <w:bCs/>
                <w:u w:val="single"/>
              </w:rPr>
            </w:pPr>
            <w:r w:rsidRPr="008D4BE6">
              <w:rPr>
                <w:rFonts w:asciiTheme="majorBidi" w:eastAsia="Times New Roman" w:hAnsiTheme="majorBidi" w:cstheme="majorBidi"/>
                <w:b/>
                <w:bCs/>
                <w:u w:val="single"/>
              </w:rPr>
              <w:t>Baseline Demographics:</w:t>
            </w:r>
          </w:p>
        </w:tc>
      </w:tr>
      <w:tr w:rsidR="00581D8C" w:rsidRPr="008D4BE6" w14:paraId="52FD87F0" w14:textId="77777777" w:rsidTr="00581D8C">
        <w:tc>
          <w:tcPr>
            <w:tcW w:w="9350" w:type="dxa"/>
          </w:tcPr>
          <w:p w14:paraId="3747A7CF"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Gender: Defined as male versus female</w:t>
            </w:r>
          </w:p>
        </w:tc>
      </w:tr>
      <w:tr w:rsidR="00581D8C" w:rsidRPr="008D4BE6" w14:paraId="4D91BBC9" w14:textId="77777777" w:rsidTr="00581D8C">
        <w:tc>
          <w:tcPr>
            <w:tcW w:w="9350" w:type="dxa"/>
          </w:tcPr>
          <w:p w14:paraId="6354F6ED"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Race: Defined as White, Black, Other or Unknown.</w:t>
            </w:r>
          </w:p>
        </w:tc>
      </w:tr>
      <w:tr w:rsidR="00581D8C" w:rsidRPr="008D4BE6" w14:paraId="60847887" w14:textId="77777777" w:rsidTr="00581D8C">
        <w:tc>
          <w:tcPr>
            <w:tcW w:w="9350" w:type="dxa"/>
          </w:tcPr>
          <w:p w14:paraId="6ADDF81E"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Ethnicity: Defined as Hispanic, non-Hispanic and Unknown.</w:t>
            </w:r>
          </w:p>
        </w:tc>
      </w:tr>
      <w:tr w:rsidR="00581D8C" w:rsidRPr="008D4BE6" w14:paraId="7FAD7EC4" w14:textId="77777777" w:rsidTr="00581D8C">
        <w:tc>
          <w:tcPr>
            <w:tcW w:w="9350" w:type="dxa"/>
          </w:tcPr>
          <w:p w14:paraId="5510C6F5"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Age: Defined as the age of the patient at the time of surgery in years.</w:t>
            </w:r>
          </w:p>
        </w:tc>
      </w:tr>
      <w:tr w:rsidR="00581D8C" w:rsidRPr="008D4BE6" w14:paraId="189432A8" w14:textId="77777777" w:rsidTr="00581D8C">
        <w:tc>
          <w:tcPr>
            <w:tcW w:w="9350" w:type="dxa"/>
          </w:tcPr>
          <w:p w14:paraId="3DE51645"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Weight: Defined as “The patient’s most recent weight documented in the medical record in pounds (</w:t>
            </w:r>
            <w:proofErr w:type="spellStart"/>
            <w:r w:rsidRPr="008D4BE6">
              <w:rPr>
                <w:rFonts w:asciiTheme="majorBidi" w:eastAsia="Times New Roman" w:hAnsiTheme="majorBidi" w:cstheme="majorBidi"/>
              </w:rPr>
              <w:t>lbs</w:t>
            </w:r>
            <w:proofErr w:type="spellEnd"/>
            <w:r w:rsidRPr="008D4BE6">
              <w:rPr>
                <w:rFonts w:asciiTheme="majorBidi" w:eastAsia="Times New Roman" w:hAnsiTheme="majorBidi" w:cstheme="majorBidi"/>
              </w:rPr>
              <w:t>).” Transformed into kilograms in our dataset in order to finally compute BMI.</w:t>
            </w:r>
          </w:p>
        </w:tc>
      </w:tr>
      <w:tr w:rsidR="00581D8C" w:rsidRPr="008D4BE6" w14:paraId="19A75791" w14:textId="77777777" w:rsidTr="00581D8C">
        <w:tc>
          <w:tcPr>
            <w:tcW w:w="9350" w:type="dxa"/>
          </w:tcPr>
          <w:p w14:paraId="0868057E"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Height: Defined as “The patient’s most recent height documented in the medical record in inches (in).” Transformed into centimeters in our dataset in order to finally compute BMI.</w:t>
            </w:r>
          </w:p>
        </w:tc>
      </w:tr>
      <w:tr w:rsidR="00581D8C" w:rsidRPr="008D4BE6" w14:paraId="2C98028E" w14:textId="77777777" w:rsidTr="00581D8C">
        <w:tc>
          <w:tcPr>
            <w:tcW w:w="9350" w:type="dxa"/>
          </w:tcPr>
          <w:p w14:paraId="43D71045"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BMI: Defined as the Body Mass Index, calculated using the following formula (BMI= weight/(height/100)</w:t>
            </w:r>
            <w:r w:rsidRPr="008D4BE6">
              <w:rPr>
                <w:rFonts w:asciiTheme="majorBidi" w:eastAsia="Times New Roman" w:hAnsiTheme="majorBidi" w:cstheme="majorBidi"/>
                <w:vertAlign w:val="superscript"/>
              </w:rPr>
              <w:t>2</w:t>
            </w:r>
            <w:r w:rsidRPr="008D4BE6">
              <w:rPr>
                <w:rFonts w:asciiTheme="majorBidi" w:eastAsia="Times New Roman" w:hAnsiTheme="majorBidi" w:cstheme="majorBidi"/>
              </w:rPr>
              <w:t>). Unit: kg/m</w:t>
            </w:r>
            <w:r w:rsidRPr="008D4BE6">
              <w:rPr>
                <w:rFonts w:asciiTheme="majorBidi" w:eastAsia="Times New Roman" w:hAnsiTheme="majorBidi" w:cstheme="majorBidi"/>
                <w:vertAlign w:val="superscript"/>
              </w:rPr>
              <w:t>2</w:t>
            </w:r>
            <w:r w:rsidRPr="008D4BE6">
              <w:rPr>
                <w:rFonts w:asciiTheme="majorBidi" w:eastAsia="Times New Roman" w:hAnsiTheme="majorBidi" w:cstheme="majorBidi"/>
              </w:rPr>
              <w:t>.</w:t>
            </w:r>
          </w:p>
        </w:tc>
      </w:tr>
      <w:tr w:rsidR="00581D8C" w:rsidRPr="008D4BE6" w14:paraId="40FDA4A0" w14:textId="77777777" w:rsidTr="00581D8C">
        <w:tc>
          <w:tcPr>
            <w:tcW w:w="9350" w:type="dxa"/>
          </w:tcPr>
          <w:p w14:paraId="5EA6D31B" w14:textId="77777777" w:rsidR="00581D8C" w:rsidRPr="008D4BE6" w:rsidRDefault="00581D8C" w:rsidP="009F3391">
            <w:pPr>
              <w:spacing w:after="240" w:line="240" w:lineRule="auto"/>
              <w:rPr>
                <w:rFonts w:asciiTheme="majorBidi" w:eastAsia="Times New Roman" w:hAnsiTheme="majorBidi" w:cstheme="majorBidi"/>
              </w:rPr>
            </w:pPr>
            <w:r w:rsidRPr="008D4BE6">
              <w:rPr>
                <w:rFonts w:asciiTheme="majorBidi" w:eastAsia="Times New Roman" w:hAnsiTheme="majorBidi" w:cstheme="majorBidi"/>
              </w:rPr>
              <w:t xml:space="preserve">Current smoker within one year: Defined as anyone who has smoked </w:t>
            </w:r>
            <w:r w:rsidRPr="008D4BE6">
              <w:rPr>
                <w:rFonts w:asciiTheme="majorBidi" w:eastAsia="Times New Roman" w:hAnsiTheme="majorBidi" w:cstheme="majorBidi"/>
                <w:i/>
              </w:rPr>
              <w:t>cigarettes</w:t>
            </w:r>
            <w:r w:rsidRPr="008D4BE6">
              <w:rPr>
                <w:rFonts w:asciiTheme="majorBidi" w:eastAsia="Times New Roman" w:hAnsiTheme="majorBidi" w:cstheme="majorBidi"/>
              </w:rPr>
              <w:t xml:space="preserve"> in the past year prior to the surgery. This excludes pipe, cigars and chewing tobacco. </w:t>
            </w:r>
          </w:p>
        </w:tc>
      </w:tr>
      <w:tr w:rsidR="00581D8C" w:rsidRPr="008D4BE6" w14:paraId="139CE63A" w14:textId="77777777" w:rsidTr="00581D8C">
        <w:tc>
          <w:tcPr>
            <w:tcW w:w="9350" w:type="dxa"/>
          </w:tcPr>
          <w:p w14:paraId="5DA16497" w14:textId="77777777" w:rsidR="00581D8C" w:rsidRPr="008D4BE6" w:rsidRDefault="00581D8C" w:rsidP="004B3782">
            <w:pPr>
              <w:pStyle w:val="Listenabsatz"/>
              <w:numPr>
                <w:ilvl w:val="0"/>
                <w:numId w:val="8"/>
              </w:numPr>
              <w:spacing w:before="240" w:after="240" w:line="240" w:lineRule="auto"/>
              <w:rPr>
                <w:rFonts w:asciiTheme="majorBidi" w:eastAsia="Times New Roman" w:hAnsiTheme="majorBidi" w:cstheme="majorBidi"/>
                <w:b/>
                <w:bCs/>
                <w:u w:val="single"/>
              </w:rPr>
            </w:pPr>
            <w:r w:rsidRPr="008D4BE6">
              <w:rPr>
                <w:rFonts w:asciiTheme="majorBidi" w:eastAsia="Times New Roman" w:hAnsiTheme="majorBidi" w:cstheme="majorBidi"/>
                <w:b/>
                <w:bCs/>
                <w:u w:val="single"/>
              </w:rPr>
              <w:t>Preoperative State:</w:t>
            </w:r>
          </w:p>
        </w:tc>
      </w:tr>
      <w:tr w:rsidR="00581D8C" w:rsidRPr="008D4BE6" w14:paraId="73B8224C" w14:textId="77777777" w:rsidTr="00581D8C">
        <w:tc>
          <w:tcPr>
            <w:tcW w:w="9350" w:type="dxa"/>
          </w:tcPr>
          <w:p w14:paraId="0538EBBB"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Preoperative Creatinine: Defined as the creatinine level (in mg/dL) prior to the surgery - no time window provided. </w:t>
            </w:r>
          </w:p>
        </w:tc>
      </w:tr>
      <w:tr w:rsidR="00581D8C" w:rsidRPr="008D4BE6" w14:paraId="3B0AD609" w14:textId="77777777" w:rsidTr="00581D8C">
        <w:tc>
          <w:tcPr>
            <w:tcW w:w="9350" w:type="dxa"/>
          </w:tcPr>
          <w:p w14:paraId="7A08B4BE"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Preoperative BUN: Defined as the BUN level (in mg/dL) prior to the surgery - no time window provided. </w:t>
            </w:r>
          </w:p>
        </w:tc>
      </w:tr>
      <w:tr w:rsidR="00581D8C" w:rsidRPr="008D4BE6" w14:paraId="0C913BC9" w14:textId="77777777" w:rsidTr="00581D8C">
        <w:tc>
          <w:tcPr>
            <w:tcW w:w="9350" w:type="dxa"/>
          </w:tcPr>
          <w:p w14:paraId="29C1D83C"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Preoperative hematocrit: Defined as the level of hematocrit (in %) prior to the surgery - no time window provided. </w:t>
            </w:r>
          </w:p>
        </w:tc>
      </w:tr>
      <w:tr w:rsidR="00581D8C" w:rsidRPr="008D4BE6" w14:paraId="6E70CDD3" w14:textId="77777777" w:rsidTr="00581D8C">
        <w:tc>
          <w:tcPr>
            <w:tcW w:w="9350" w:type="dxa"/>
          </w:tcPr>
          <w:p w14:paraId="3AAF3429"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Preoperative platelet count: Defined as the platelet count (in x10</w:t>
            </w:r>
            <w:r w:rsidRPr="008D4BE6">
              <w:rPr>
                <w:rFonts w:asciiTheme="majorBidi" w:eastAsia="Times New Roman" w:hAnsiTheme="majorBidi" w:cstheme="majorBidi"/>
                <w:vertAlign w:val="superscript"/>
              </w:rPr>
              <w:t>3</w:t>
            </w:r>
            <w:r w:rsidRPr="008D4BE6">
              <w:rPr>
                <w:rFonts w:asciiTheme="majorBidi" w:eastAsia="Times New Roman" w:hAnsiTheme="majorBidi" w:cstheme="majorBidi"/>
              </w:rPr>
              <w:t>/mm</w:t>
            </w:r>
            <w:r w:rsidRPr="008D4BE6">
              <w:rPr>
                <w:rFonts w:asciiTheme="majorBidi" w:eastAsia="Times New Roman" w:hAnsiTheme="majorBidi" w:cstheme="majorBidi"/>
                <w:vertAlign w:val="superscript"/>
              </w:rPr>
              <w:t>3</w:t>
            </w:r>
            <w:r w:rsidRPr="008D4BE6">
              <w:rPr>
                <w:rFonts w:asciiTheme="majorBidi" w:eastAsia="Times New Roman" w:hAnsiTheme="majorBidi" w:cstheme="majorBidi"/>
              </w:rPr>
              <w:t xml:space="preserve">) prior to the surgery - no time window provided. </w:t>
            </w:r>
          </w:p>
        </w:tc>
      </w:tr>
      <w:tr w:rsidR="00581D8C" w:rsidRPr="008D4BE6" w14:paraId="0B61F711" w14:textId="77777777" w:rsidTr="00581D8C">
        <w:tc>
          <w:tcPr>
            <w:tcW w:w="9350" w:type="dxa"/>
          </w:tcPr>
          <w:p w14:paraId="78951C0C"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Preoperative WBC count: Defined as the white blood cell count (in x10</w:t>
            </w:r>
            <w:r w:rsidRPr="008D4BE6">
              <w:rPr>
                <w:rFonts w:asciiTheme="majorBidi" w:eastAsia="Times New Roman" w:hAnsiTheme="majorBidi" w:cstheme="majorBidi"/>
                <w:vertAlign w:val="superscript"/>
              </w:rPr>
              <w:t>3</w:t>
            </w:r>
            <w:r w:rsidRPr="008D4BE6">
              <w:rPr>
                <w:rFonts w:asciiTheme="majorBidi" w:eastAsia="Times New Roman" w:hAnsiTheme="majorBidi" w:cstheme="majorBidi"/>
              </w:rPr>
              <w:t>/mm</w:t>
            </w:r>
            <w:r w:rsidRPr="008D4BE6">
              <w:rPr>
                <w:rFonts w:asciiTheme="majorBidi" w:eastAsia="Times New Roman" w:hAnsiTheme="majorBidi" w:cstheme="majorBidi"/>
                <w:vertAlign w:val="superscript"/>
              </w:rPr>
              <w:t>3</w:t>
            </w:r>
            <w:r w:rsidRPr="008D4BE6">
              <w:rPr>
                <w:rFonts w:asciiTheme="majorBidi" w:eastAsia="Times New Roman" w:hAnsiTheme="majorBidi" w:cstheme="majorBidi"/>
              </w:rPr>
              <w:t xml:space="preserve">) prior to the surgery - no time window provided. </w:t>
            </w:r>
          </w:p>
        </w:tc>
      </w:tr>
      <w:tr w:rsidR="00581D8C" w:rsidRPr="008D4BE6" w14:paraId="40359FFE" w14:textId="77777777" w:rsidTr="00581D8C">
        <w:tc>
          <w:tcPr>
            <w:tcW w:w="9350" w:type="dxa"/>
          </w:tcPr>
          <w:p w14:paraId="485000A5"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Presence of ascites: Defined as the presence or absence of fluid in the peritoneal cavity as diagnosed by physical exam, abdominal ultrasound or abdominal CT/MRI within the 30 days prior to the surgery. </w:t>
            </w:r>
          </w:p>
        </w:tc>
      </w:tr>
      <w:tr w:rsidR="00581D8C" w:rsidRPr="008D4BE6" w14:paraId="2F0DA916" w14:textId="77777777" w:rsidTr="00581D8C">
        <w:tc>
          <w:tcPr>
            <w:tcW w:w="9350" w:type="dxa"/>
          </w:tcPr>
          <w:p w14:paraId="6447BC3F"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More than 10% unintentional weight loss prior to surgery: Defined as the absence or presence of an unintentional weight loss of more than 10% of the original weight.</w:t>
            </w:r>
          </w:p>
        </w:tc>
      </w:tr>
      <w:tr w:rsidR="00581D8C" w:rsidRPr="008D4BE6" w14:paraId="6FF08E1F" w14:textId="77777777" w:rsidTr="00581D8C">
        <w:tc>
          <w:tcPr>
            <w:tcW w:w="9350" w:type="dxa"/>
          </w:tcPr>
          <w:p w14:paraId="3A1C6F8F"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History of Severe COPD: Defined as yes in case the patient has one or more of the following: </w:t>
            </w:r>
          </w:p>
        </w:tc>
      </w:tr>
      <w:tr w:rsidR="00581D8C" w:rsidRPr="008D4BE6" w14:paraId="7E3F5006" w14:textId="77777777" w:rsidTr="00581D8C">
        <w:tc>
          <w:tcPr>
            <w:tcW w:w="9350" w:type="dxa"/>
          </w:tcPr>
          <w:p w14:paraId="7A893EE8" w14:textId="77777777" w:rsidR="00581D8C" w:rsidRPr="008D4BE6" w:rsidRDefault="00581D8C" w:rsidP="00E9374A">
            <w:pPr>
              <w:numPr>
                <w:ilvl w:val="0"/>
                <w:numId w:val="7"/>
              </w:numPr>
              <w:spacing w:line="240" w:lineRule="auto"/>
              <w:rPr>
                <w:rFonts w:asciiTheme="majorBidi" w:eastAsia="Times New Roman" w:hAnsiTheme="majorBidi" w:cstheme="majorBidi"/>
              </w:rPr>
            </w:pPr>
            <w:r w:rsidRPr="008D4BE6">
              <w:rPr>
                <w:rFonts w:asciiTheme="majorBidi" w:eastAsia="Times New Roman" w:hAnsiTheme="majorBidi" w:cstheme="majorBidi"/>
              </w:rPr>
              <w:t>Functional disability from COPD (e.g., dyspnea, inability to perform ADLs)</w:t>
            </w:r>
          </w:p>
        </w:tc>
      </w:tr>
      <w:tr w:rsidR="00581D8C" w:rsidRPr="008D4BE6" w14:paraId="0E651017" w14:textId="77777777" w:rsidTr="00581D8C">
        <w:tc>
          <w:tcPr>
            <w:tcW w:w="9350" w:type="dxa"/>
          </w:tcPr>
          <w:p w14:paraId="5DEDFF39" w14:textId="77777777" w:rsidR="00581D8C" w:rsidRPr="008D4BE6" w:rsidRDefault="00581D8C" w:rsidP="00E9374A">
            <w:pPr>
              <w:numPr>
                <w:ilvl w:val="0"/>
                <w:numId w:val="7"/>
              </w:num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Hospitalization in the past for treatment of COPD </w:t>
            </w:r>
          </w:p>
        </w:tc>
      </w:tr>
      <w:tr w:rsidR="00581D8C" w:rsidRPr="008D4BE6" w14:paraId="3288FD55" w14:textId="77777777" w:rsidTr="00581D8C">
        <w:tc>
          <w:tcPr>
            <w:tcW w:w="9350" w:type="dxa"/>
          </w:tcPr>
          <w:p w14:paraId="562708C9" w14:textId="77777777" w:rsidR="00581D8C" w:rsidRPr="008D4BE6" w:rsidRDefault="00581D8C" w:rsidP="00E9374A">
            <w:pPr>
              <w:numPr>
                <w:ilvl w:val="0"/>
                <w:numId w:val="7"/>
              </w:num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Requires chronic bronchodilator therapy with oral or inhaled agents </w:t>
            </w:r>
          </w:p>
        </w:tc>
      </w:tr>
      <w:tr w:rsidR="00581D8C" w:rsidRPr="008D4BE6" w14:paraId="51F8B40F" w14:textId="77777777" w:rsidTr="00581D8C">
        <w:tc>
          <w:tcPr>
            <w:tcW w:w="9350" w:type="dxa"/>
          </w:tcPr>
          <w:p w14:paraId="4C6B7873" w14:textId="77777777" w:rsidR="00581D8C" w:rsidRPr="008D4BE6" w:rsidRDefault="00581D8C" w:rsidP="00E9374A">
            <w:pPr>
              <w:numPr>
                <w:ilvl w:val="0"/>
                <w:numId w:val="7"/>
              </w:numPr>
              <w:spacing w:after="240" w:line="240" w:lineRule="auto"/>
              <w:rPr>
                <w:rFonts w:asciiTheme="majorBidi" w:eastAsia="Times New Roman" w:hAnsiTheme="majorBidi" w:cstheme="majorBidi"/>
              </w:rPr>
            </w:pPr>
            <w:r w:rsidRPr="008D4BE6">
              <w:rPr>
                <w:rFonts w:asciiTheme="majorBidi" w:eastAsia="Times New Roman" w:hAnsiTheme="majorBidi" w:cstheme="majorBidi"/>
              </w:rPr>
              <w:t xml:space="preserve">An FEV 1 of &lt;75% of predicted on pulmonary function testing  </w:t>
            </w:r>
          </w:p>
        </w:tc>
      </w:tr>
      <w:tr w:rsidR="00581D8C" w:rsidRPr="008D4BE6" w14:paraId="74CC1686" w14:textId="77777777" w:rsidTr="00581D8C">
        <w:tc>
          <w:tcPr>
            <w:tcW w:w="9350" w:type="dxa"/>
          </w:tcPr>
          <w:p w14:paraId="4D208CF3" w14:textId="77777777" w:rsidR="00581D8C" w:rsidRPr="008D4BE6" w:rsidRDefault="00581D8C" w:rsidP="009F3391">
            <w:pPr>
              <w:spacing w:after="240" w:line="240" w:lineRule="auto"/>
              <w:rPr>
                <w:rFonts w:asciiTheme="majorBidi" w:eastAsia="Times New Roman" w:hAnsiTheme="majorBidi" w:cstheme="majorBidi"/>
              </w:rPr>
            </w:pPr>
            <w:r w:rsidRPr="008D4BE6">
              <w:rPr>
                <w:rFonts w:asciiTheme="majorBidi" w:eastAsia="Times New Roman" w:hAnsiTheme="majorBidi" w:cstheme="majorBidi"/>
              </w:rPr>
              <w:t xml:space="preserve">Patients are excluded if their only pulmonary disease is asthma.  They are also excluded if they have </w:t>
            </w:r>
            <w:proofErr w:type="gramStart"/>
            <w:r w:rsidRPr="008D4BE6">
              <w:rPr>
                <w:rFonts w:asciiTheme="majorBidi" w:eastAsia="Times New Roman" w:hAnsiTheme="majorBidi" w:cstheme="majorBidi"/>
              </w:rPr>
              <w:t>diffuse</w:t>
            </w:r>
            <w:proofErr w:type="gramEnd"/>
            <w:r w:rsidRPr="008D4BE6">
              <w:rPr>
                <w:rFonts w:asciiTheme="majorBidi" w:eastAsia="Times New Roman" w:hAnsiTheme="majorBidi" w:cstheme="majorBidi"/>
              </w:rPr>
              <w:t xml:space="preserve"> interstitial fibrosis or sarcoidosis. </w:t>
            </w:r>
          </w:p>
        </w:tc>
      </w:tr>
      <w:tr w:rsidR="00581D8C" w:rsidRPr="008D4BE6" w14:paraId="26FCF893" w14:textId="77777777" w:rsidTr="00581D8C">
        <w:tc>
          <w:tcPr>
            <w:tcW w:w="9350" w:type="dxa"/>
          </w:tcPr>
          <w:p w14:paraId="54890120" w14:textId="77777777" w:rsidR="00581D8C" w:rsidRPr="008D4BE6" w:rsidRDefault="00581D8C" w:rsidP="00E9374A">
            <w:pPr>
              <w:spacing w:before="240" w:after="240" w:line="240" w:lineRule="auto"/>
              <w:rPr>
                <w:rFonts w:asciiTheme="majorBidi" w:eastAsia="Times New Roman" w:hAnsiTheme="majorBidi" w:cstheme="majorBidi"/>
                <w:b/>
                <w:bCs/>
              </w:rPr>
            </w:pPr>
            <w:r w:rsidRPr="008D4BE6">
              <w:rPr>
                <w:rFonts w:asciiTheme="majorBidi" w:eastAsia="Times New Roman" w:hAnsiTheme="majorBidi" w:cstheme="majorBidi"/>
                <w:b/>
                <w:bCs/>
              </w:rPr>
              <w:t>Cardiovascular risk factors as part of the preoperative state:</w:t>
            </w:r>
          </w:p>
        </w:tc>
      </w:tr>
      <w:tr w:rsidR="00581D8C" w:rsidRPr="008D4BE6" w14:paraId="0AC7BDBE" w14:textId="77777777" w:rsidTr="00581D8C">
        <w:tc>
          <w:tcPr>
            <w:tcW w:w="9350" w:type="dxa"/>
          </w:tcPr>
          <w:p w14:paraId="51D8F1F9"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Diabetes: Defined as the presence or absence of a history of diagnosed Diabetes Mellitus. </w:t>
            </w:r>
          </w:p>
        </w:tc>
      </w:tr>
      <w:tr w:rsidR="00581D8C" w:rsidRPr="008D4BE6" w14:paraId="08522625" w14:textId="77777777" w:rsidTr="00581D8C">
        <w:tc>
          <w:tcPr>
            <w:tcW w:w="9350" w:type="dxa"/>
          </w:tcPr>
          <w:p w14:paraId="2BC6E529"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lastRenderedPageBreak/>
              <w:t xml:space="preserve">Congestive Heart Failure (CHF) in 30 Days Before Surgery: Defined as only those patients who have been newly diagnosed with congestive heart failure within the previous 30 days </w:t>
            </w:r>
            <w:r w:rsidRPr="008D4BE6">
              <w:rPr>
                <w:rFonts w:asciiTheme="majorBidi" w:eastAsia="Times New Roman" w:hAnsiTheme="majorBidi" w:cstheme="majorBidi"/>
                <w:i/>
              </w:rPr>
              <w:t xml:space="preserve">or </w:t>
            </w:r>
            <w:r w:rsidRPr="008D4BE6">
              <w:rPr>
                <w:rFonts w:asciiTheme="majorBidi" w:eastAsia="Times New Roman" w:hAnsiTheme="majorBidi" w:cstheme="majorBidi"/>
              </w:rPr>
              <w:t>who fulfill a diagnosis of chronic CHF with new signs or symptoms in the 30 days prior to surgery.</w:t>
            </w:r>
          </w:p>
        </w:tc>
      </w:tr>
      <w:tr w:rsidR="00581D8C" w:rsidRPr="008D4BE6" w14:paraId="31A8E17B" w14:textId="77777777" w:rsidTr="00581D8C">
        <w:tc>
          <w:tcPr>
            <w:tcW w:w="9350" w:type="dxa"/>
          </w:tcPr>
          <w:p w14:paraId="528E2186"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Previous Cardiac Surgery: Defined as the presence or absence of having undergone a coronary artery bypass graft surgery, valve replacement or repair, repair of atrial or ventricular septal defects, great thoracic vessel repair, cardiac transplant, left ventricular </w:t>
            </w:r>
            <w:proofErr w:type="spellStart"/>
            <w:r w:rsidRPr="008D4BE6">
              <w:rPr>
                <w:rFonts w:asciiTheme="majorBidi" w:eastAsia="Times New Roman" w:hAnsiTheme="majorBidi" w:cstheme="majorBidi"/>
              </w:rPr>
              <w:t>aneurysmectomy</w:t>
            </w:r>
            <w:proofErr w:type="spellEnd"/>
            <w:r w:rsidRPr="008D4BE6">
              <w:rPr>
                <w:rFonts w:asciiTheme="majorBidi" w:eastAsia="Times New Roman" w:hAnsiTheme="majorBidi" w:cstheme="majorBidi"/>
              </w:rPr>
              <w:t xml:space="preserve">, insertion of left ventricular assist devices (LVAD), etc. Pacemaker insertions or automatic implantable cardioverter defibrillator (AICD) insertions are </w:t>
            </w:r>
            <w:r w:rsidRPr="008D4BE6">
              <w:rPr>
                <w:rFonts w:asciiTheme="majorBidi" w:eastAsia="Times New Roman" w:hAnsiTheme="majorBidi" w:cstheme="majorBidi"/>
                <w:i/>
              </w:rPr>
              <w:t>excluded</w:t>
            </w:r>
            <w:r w:rsidRPr="008D4BE6">
              <w:rPr>
                <w:rFonts w:asciiTheme="majorBidi" w:eastAsia="Times New Roman" w:hAnsiTheme="majorBidi" w:cstheme="majorBidi"/>
              </w:rPr>
              <w:t xml:space="preserve"> from this definition.   </w:t>
            </w:r>
          </w:p>
        </w:tc>
      </w:tr>
      <w:tr w:rsidR="00581D8C" w:rsidRPr="008D4BE6" w14:paraId="21B63BF4" w14:textId="77777777" w:rsidTr="00581D8C">
        <w:tc>
          <w:tcPr>
            <w:tcW w:w="9350" w:type="dxa"/>
          </w:tcPr>
          <w:p w14:paraId="36DEF052"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Hypertension Requiring Medication: Defined as the presence or absence of a persistently elevated systolic blood pressure (&gt;140 mmHg) or a diastolic blood pressure (&gt;90 mmHg) or one who requires antihypertensive drug therapy during the last 30 days prior to the operation. </w:t>
            </w:r>
          </w:p>
        </w:tc>
      </w:tr>
      <w:tr w:rsidR="00581D8C" w:rsidRPr="008D4BE6" w14:paraId="54EE5DD5" w14:textId="77777777" w:rsidTr="00581D8C">
        <w:tc>
          <w:tcPr>
            <w:tcW w:w="9350" w:type="dxa"/>
          </w:tcPr>
          <w:p w14:paraId="6726C206"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History of Transient Ischemic Attack: Defined as the presence or absence of at least one transient ischemic attack in the patient’s history.</w:t>
            </w:r>
          </w:p>
        </w:tc>
      </w:tr>
      <w:tr w:rsidR="00581D8C" w:rsidRPr="008D4BE6" w14:paraId="2FEA838A" w14:textId="77777777" w:rsidTr="00581D8C">
        <w:tc>
          <w:tcPr>
            <w:tcW w:w="9350" w:type="dxa"/>
          </w:tcPr>
          <w:p w14:paraId="5792A5AB"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CAD: a combination of the three following variables </w:t>
            </w:r>
          </w:p>
        </w:tc>
      </w:tr>
      <w:tr w:rsidR="00581D8C" w:rsidRPr="008D4BE6" w14:paraId="6B9BD228" w14:textId="77777777" w:rsidTr="00581D8C">
        <w:tc>
          <w:tcPr>
            <w:tcW w:w="9350" w:type="dxa"/>
          </w:tcPr>
          <w:p w14:paraId="52C5069F" w14:textId="77777777" w:rsidR="00581D8C" w:rsidRPr="008D4BE6" w:rsidRDefault="00581D8C" w:rsidP="00E9374A">
            <w:pPr>
              <w:numPr>
                <w:ilvl w:val="0"/>
                <w:numId w:val="3"/>
              </w:num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History of PCI: Defined as the presence or absence of having undergone a percutaneous coronary intervention, even if it was only attempted without completion or success, in one’s lifetime. </w:t>
            </w:r>
            <w:proofErr w:type="spellStart"/>
            <w:r w:rsidRPr="008D4BE6">
              <w:rPr>
                <w:rFonts w:asciiTheme="majorBidi" w:eastAsia="Times New Roman" w:hAnsiTheme="majorBidi" w:cstheme="majorBidi"/>
              </w:rPr>
              <w:t>Valvuloplasties</w:t>
            </w:r>
            <w:proofErr w:type="spellEnd"/>
            <w:r w:rsidRPr="008D4BE6">
              <w:rPr>
                <w:rFonts w:asciiTheme="majorBidi" w:eastAsia="Times New Roman" w:hAnsiTheme="majorBidi" w:cstheme="majorBidi"/>
              </w:rPr>
              <w:t xml:space="preserve"> are not included in this variable.</w:t>
            </w:r>
          </w:p>
        </w:tc>
      </w:tr>
      <w:tr w:rsidR="00581D8C" w:rsidRPr="008D4BE6" w14:paraId="77928C90" w14:textId="77777777" w:rsidTr="00581D8C">
        <w:tc>
          <w:tcPr>
            <w:tcW w:w="9350" w:type="dxa"/>
          </w:tcPr>
          <w:p w14:paraId="53DA44E9" w14:textId="77777777" w:rsidR="00581D8C" w:rsidRPr="008D4BE6" w:rsidRDefault="00581D8C" w:rsidP="00E9374A">
            <w:pPr>
              <w:numPr>
                <w:ilvl w:val="0"/>
                <w:numId w:val="3"/>
              </w:numPr>
              <w:spacing w:line="240" w:lineRule="auto"/>
              <w:rPr>
                <w:rFonts w:asciiTheme="majorBidi" w:eastAsia="Times New Roman" w:hAnsiTheme="majorBidi" w:cstheme="majorBidi"/>
              </w:rPr>
            </w:pPr>
            <w:r w:rsidRPr="008D4BE6">
              <w:rPr>
                <w:rFonts w:asciiTheme="majorBidi" w:eastAsia="Times New Roman" w:hAnsiTheme="majorBidi" w:cstheme="majorBidi"/>
              </w:rPr>
              <w:t>History of Angina in 1 Month Before Surgery: Defined as the presence or absence of any pain between the diaphragm and the mandible that was proven to be the result of myocardial ischemia. Patients on anti-anginal drugs will only be considered to have this variable as a “Yes” if they have had this episode within the one month prior to surgery.</w:t>
            </w:r>
          </w:p>
        </w:tc>
      </w:tr>
      <w:tr w:rsidR="00581D8C" w:rsidRPr="008D4BE6" w14:paraId="1D038D15" w14:textId="77777777" w:rsidTr="00581D8C">
        <w:tc>
          <w:tcPr>
            <w:tcW w:w="9350" w:type="dxa"/>
          </w:tcPr>
          <w:p w14:paraId="4C275C0F" w14:textId="77777777" w:rsidR="00581D8C" w:rsidRPr="008D4BE6" w:rsidRDefault="00581D8C" w:rsidP="00E9374A">
            <w:pPr>
              <w:numPr>
                <w:ilvl w:val="0"/>
                <w:numId w:val="3"/>
              </w:num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History of Myocardial Infarction in the Last 6 months: Defined as the presence or absence of either a Q or non-Q wave myocardial infarct within the last 6 months. This must be proven by the patient’s medical records.  </w:t>
            </w:r>
          </w:p>
        </w:tc>
      </w:tr>
      <w:tr w:rsidR="00581D8C" w:rsidRPr="008D4BE6" w14:paraId="67D0DA9A" w14:textId="77777777" w:rsidTr="00581D8C">
        <w:tc>
          <w:tcPr>
            <w:tcW w:w="9350" w:type="dxa"/>
          </w:tcPr>
          <w:p w14:paraId="2C482C1B"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PAD: a combination of the two following variables </w:t>
            </w:r>
          </w:p>
        </w:tc>
      </w:tr>
      <w:tr w:rsidR="00581D8C" w:rsidRPr="008D4BE6" w14:paraId="2A6C647D" w14:textId="77777777" w:rsidTr="00581D8C">
        <w:tc>
          <w:tcPr>
            <w:tcW w:w="9350" w:type="dxa"/>
          </w:tcPr>
          <w:p w14:paraId="525F3B22" w14:textId="77777777" w:rsidR="00581D8C" w:rsidRPr="008D4BE6" w:rsidRDefault="00581D8C" w:rsidP="00E9374A">
            <w:pPr>
              <w:numPr>
                <w:ilvl w:val="0"/>
                <w:numId w:val="1"/>
              </w:num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Rest Pain/Gangrene: Defined as the presence or absence of rest pain or gangrene. Fournier Gangrene is excluded from this variable. </w:t>
            </w:r>
          </w:p>
        </w:tc>
      </w:tr>
      <w:tr w:rsidR="00581D8C" w:rsidRPr="008D4BE6" w14:paraId="15573C8A" w14:textId="77777777" w:rsidTr="00581D8C">
        <w:tc>
          <w:tcPr>
            <w:tcW w:w="9350" w:type="dxa"/>
          </w:tcPr>
          <w:p w14:paraId="1B57E0C9" w14:textId="77777777" w:rsidR="00581D8C" w:rsidRPr="008D4BE6" w:rsidRDefault="00581D8C" w:rsidP="00E9374A">
            <w:pPr>
              <w:numPr>
                <w:ilvl w:val="0"/>
                <w:numId w:val="1"/>
              </w:num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History of Revascularization/Amputation for Peripheral Vascular Disease: Defined as the presence or absence of any angioplasty or revascularization procedure resulting from sequelae of peripheral vascular disease. Amputation due to physical trauma and resection of the abdominal aortic aneurysm are excluded from this variable.  </w:t>
            </w:r>
          </w:p>
        </w:tc>
      </w:tr>
      <w:tr w:rsidR="00581D8C" w:rsidRPr="008D4BE6" w14:paraId="582F62F0" w14:textId="77777777" w:rsidTr="00581D8C">
        <w:tc>
          <w:tcPr>
            <w:tcW w:w="9350" w:type="dxa"/>
          </w:tcPr>
          <w:p w14:paraId="4EBA327A" w14:textId="77777777" w:rsidR="00581D8C" w:rsidRPr="008D4BE6" w:rsidRDefault="00581D8C" w:rsidP="009F3391">
            <w:pPr>
              <w:spacing w:line="240" w:lineRule="auto"/>
              <w:rPr>
                <w:rFonts w:asciiTheme="majorBidi" w:eastAsia="Times New Roman" w:hAnsiTheme="majorBidi" w:cstheme="majorBidi"/>
              </w:rPr>
            </w:pPr>
            <w:r w:rsidRPr="008D4BE6">
              <w:rPr>
                <w:rFonts w:asciiTheme="majorBidi" w:eastAsia="Times New Roman" w:hAnsiTheme="majorBidi" w:cstheme="majorBidi"/>
              </w:rPr>
              <w:t>CVA: a combination of the two following variables</w:t>
            </w:r>
          </w:p>
        </w:tc>
      </w:tr>
      <w:tr w:rsidR="00581D8C" w:rsidRPr="008D4BE6" w14:paraId="11665CD4" w14:textId="77777777" w:rsidTr="00581D8C">
        <w:tc>
          <w:tcPr>
            <w:tcW w:w="9350" w:type="dxa"/>
          </w:tcPr>
          <w:p w14:paraId="2CF36B41" w14:textId="77777777" w:rsidR="00581D8C" w:rsidRPr="008D4BE6" w:rsidRDefault="00581D8C" w:rsidP="00E9374A">
            <w:pPr>
              <w:numPr>
                <w:ilvl w:val="0"/>
                <w:numId w:val="4"/>
              </w:numPr>
              <w:spacing w:line="240" w:lineRule="auto"/>
              <w:rPr>
                <w:rFonts w:asciiTheme="majorBidi" w:eastAsia="Times New Roman" w:hAnsiTheme="majorBidi" w:cstheme="majorBidi"/>
              </w:rPr>
            </w:pPr>
            <w:r w:rsidRPr="008D4BE6">
              <w:rPr>
                <w:rFonts w:asciiTheme="majorBidi" w:eastAsia="Times New Roman" w:hAnsiTheme="majorBidi" w:cstheme="majorBidi"/>
              </w:rPr>
              <w:t xml:space="preserve">History of CVA/Stroke </w:t>
            </w:r>
            <w:proofErr w:type="gramStart"/>
            <w:r w:rsidRPr="008D4BE6">
              <w:rPr>
                <w:rFonts w:asciiTheme="majorBidi" w:eastAsia="Times New Roman" w:hAnsiTheme="majorBidi" w:cstheme="majorBidi"/>
              </w:rPr>
              <w:t>With</w:t>
            </w:r>
            <w:proofErr w:type="gramEnd"/>
            <w:r w:rsidRPr="008D4BE6">
              <w:rPr>
                <w:rFonts w:asciiTheme="majorBidi" w:eastAsia="Times New Roman" w:hAnsiTheme="majorBidi" w:cstheme="majorBidi"/>
              </w:rPr>
              <w:t xml:space="preserve"> Neurological Deficits: Defined as the presence or absence of a history of a cerebrovascular accident, whether embolic, thrombotic, or hemorrhagic, with persistent residual motor, sensory, or cognitive dysfunction.</w:t>
            </w:r>
          </w:p>
        </w:tc>
      </w:tr>
      <w:tr w:rsidR="00581D8C" w:rsidRPr="008D4BE6" w14:paraId="7735BB58" w14:textId="77777777" w:rsidTr="00581D8C">
        <w:tc>
          <w:tcPr>
            <w:tcW w:w="9350" w:type="dxa"/>
          </w:tcPr>
          <w:p w14:paraId="1F03FE0B" w14:textId="77777777" w:rsidR="00581D8C" w:rsidRPr="008D4BE6" w:rsidRDefault="00581D8C" w:rsidP="00E9374A">
            <w:pPr>
              <w:numPr>
                <w:ilvl w:val="0"/>
                <w:numId w:val="4"/>
              </w:numPr>
              <w:spacing w:after="240" w:line="240" w:lineRule="auto"/>
              <w:rPr>
                <w:rFonts w:asciiTheme="majorBidi" w:eastAsia="Times New Roman" w:hAnsiTheme="majorBidi" w:cstheme="majorBidi"/>
              </w:rPr>
            </w:pPr>
            <w:r w:rsidRPr="008D4BE6">
              <w:rPr>
                <w:rFonts w:asciiTheme="majorBidi" w:eastAsia="Times New Roman" w:hAnsiTheme="majorBidi" w:cstheme="majorBidi"/>
              </w:rPr>
              <w:t xml:space="preserve">History of CVA/Stroke </w:t>
            </w:r>
            <w:proofErr w:type="gramStart"/>
            <w:r w:rsidRPr="008D4BE6">
              <w:rPr>
                <w:rFonts w:asciiTheme="majorBidi" w:eastAsia="Times New Roman" w:hAnsiTheme="majorBidi" w:cstheme="majorBidi"/>
              </w:rPr>
              <w:t>With</w:t>
            </w:r>
            <w:proofErr w:type="gramEnd"/>
            <w:r w:rsidRPr="008D4BE6">
              <w:rPr>
                <w:rFonts w:asciiTheme="majorBidi" w:eastAsia="Times New Roman" w:hAnsiTheme="majorBidi" w:cstheme="majorBidi"/>
              </w:rPr>
              <w:t xml:space="preserve"> No Neurological Deficits: Defined as the presence or absence of a history of a cerebrovascular accident, whether embolic, thrombotic, or hemorrhagic, with neurologic deficit(s) lasting at least 30 minutes, but no current residual neurologic dysfunction or deficit.</w:t>
            </w:r>
          </w:p>
        </w:tc>
      </w:tr>
    </w:tbl>
    <w:p w14:paraId="2EA4C311" w14:textId="77777777" w:rsidR="00470263" w:rsidRPr="008D4BE6" w:rsidRDefault="00470263" w:rsidP="00470263">
      <w:pPr>
        <w:rPr>
          <w:rFonts w:asciiTheme="majorBidi" w:hAnsiTheme="majorBidi" w:cstheme="majorBidi"/>
          <w:sz w:val="20"/>
          <w:szCs w:val="20"/>
        </w:rPr>
      </w:pPr>
      <w:r w:rsidRPr="008D4BE6">
        <w:rPr>
          <w:rFonts w:asciiTheme="majorBidi" w:hAnsiTheme="majorBidi" w:cstheme="majorBidi"/>
          <w:sz w:val="20"/>
          <w:szCs w:val="20"/>
        </w:rPr>
        <w:br w:type="page"/>
      </w:r>
    </w:p>
    <w:p w14:paraId="01DC3C1F" w14:textId="2F6ACC51" w:rsidR="00470263" w:rsidRPr="008D4BE6" w:rsidRDefault="00581D8C" w:rsidP="00470263">
      <w:pPr>
        <w:spacing w:before="240" w:after="240" w:line="240" w:lineRule="auto"/>
        <w:rPr>
          <w:rFonts w:asciiTheme="majorBidi" w:hAnsiTheme="majorBidi" w:cstheme="majorBidi"/>
          <w:b/>
          <w:bCs/>
        </w:rPr>
      </w:pPr>
      <w:r w:rsidRPr="008D4BE6">
        <w:rPr>
          <w:rFonts w:asciiTheme="majorBidi" w:eastAsia="Times New Roman" w:hAnsiTheme="majorBidi" w:cstheme="majorBidi"/>
          <w:b/>
          <w:u w:val="single"/>
        </w:rPr>
        <w:lastRenderedPageBreak/>
        <w:t>Table</w:t>
      </w:r>
      <w:r w:rsidR="00470263" w:rsidRPr="008D4BE6">
        <w:rPr>
          <w:rFonts w:asciiTheme="majorBidi" w:eastAsia="Times New Roman" w:hAnsiTheme="majorBidi" w:cstheme="majorBidi"/>
          <w:b/>
          <w:u w:val="single"/>
        </w:rPr>
        <w:t xml:space="preserve"> </w:t>
      </w:r>
      <w:r w:rsidRPr="008D4BE6">
        <w:rPr>
          <w:rFonts w:asciiTheme="majorBidi" w:eastAsia="Times New Roman" w:hAnsiTheme="majorBidi" w:cstheme="majorBidi"/>
          <w:b/>
          <w:u w:val="single"/>
        </w:rPr>
        <w:t>S</w:t>
      </w:r>
      <w:r w:rsidR="00470263" w:rsidRPr="008D4BE6">
        <w:rPr>
          <w:rFonts w:asciiTheme="majorBidi" w:eastAsia="Times New Roman" w:hAnsiTheme="majorBidi" w:cstheme="majorBidi"/>
          <w:b/>
          <w:u w:val="single"/>
        </w:rPr>
        <w:t>2:</w:t>
      </w:r>
      <w:r w:rsidR="00470263" w:rsidRPr="008D4BE6">
        <w:rPr>
          <w:rFonts w:asciiTheme="majorBidi" w:hAnsiTheme="majorBidi" w:cstheme="majorBidi"/>
          <w:b/>
          <w:bCs/>
        </w:rPr>
        <w:t xml:space="preserve"> </w:t>
      </w:r>
      <w:r w:rsidR="00D3724F" w:rsidRPr="008D4BE6">
        <w:rPr>
          <w:rFonts w:asciiTheme="majorBidi" w:hAnsiTheme="majorBidi" w:cstheme="majorBidi"/>
          <w:b/>
          <w:bCs/>
          <w:u w:val="single"/>
        </w:rPr>
        <w:t>Univariate</w:t>
      </w:r>
      <w:r w:rsidR="00470263" w:rsidRPr="008D4BE6">
        <w:rPr>
          <w:rFonts w:asciiTheme="majorBidi" w:hAnsiTheme="majorBidi" w:cstheme="majorBidi"/>
          <w:b/>
          <w:bCs/>
          <w:u w:val="single"/>
        </w:rPr>
        <w:t xml:space="preserve"> analysis for the association between postoperative renal failure and demographic characteristics, preoperative factors, and surgical approach.</w:t>
      </w:r>
    </w:p>
    <w:tbl>
      <w:tblPr>
        <w:tblW w:w="9341" w:type="dxa"/>
        <w:tblLook w:val="04A0" w:firstRow="1" w:lastRow="0" w:firstColumn="1" w:lastColumn="0" w:noHBand="0" w:noVBand="1"/>
      </w:tblPr>
      <w:tblGrid>
        <w:gridCol w:w="3240"/>
        <w:gridCol w:w="1387"/>
        <w:gridCol w:w="1273"/>
        <w:gridCol w:w="2460"/>
        <w:gridCol w:w="981"/>
      </w:tblGrid>
      <w:tr w:rsidR="00470263" w:rsidRPr="008D4BE6" w14:paraId="5534AE7A" w14:textId="77777777" w:rsidTr="005B68AC">
        <w:trPr>
          <w:trHeight w:val="590"/>
        </w:trPr>
        <w:tc>
          <w:tcPr>
            <w:tcW w:w="9341"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78FB212D" w14:textId="77777777" w:rsidR="00470263" w:rsidRPr="008D4BE6" w:rsidRDefault="00470263" w:rsidP="005B68AC">
            <w:pPr>
              <w:spacing w:line="240" w:lineRule="auto"/>
              <w:rPr>
                <w:rFonts w:asciiTheme="majorBidi" w:eastAsia="Times New Roman" w:hAnsiTheme="majorBidi" w:cstheme="majorBidi"/>
                <w:b/>
                <w:bCs/>
                <w:color w:val="000000"/>
                <w:sz w:val="20"/>
                <w:szCs w:val="20"/>
                <w:lang w:val="en-US"/>
              </w:rPr>
            </w:pPr>
            <w:r w:rsidRPr="008D4BE6">
              <w:rPr>
                <w:rFonts w:asciiTheme="majorBidi" w:eastAsia="Times New Roman" w:hAnsiTheme="majorBidi" w:cstheme="majorBidi"/>
                <w:b/>
                <w:bCs/>
                <w:color w:val="000000"/>
                <w:sz w:val="20"/>
                <w:szCs w:val="20"/>
                <w:lang w:val="en-US"/>
              </w:rPr>
              <w:t>Postoperative renal failure</w:t>
            </w:r>
          </w:p>
        </w:tc>
      </w:tr>
      <w:tr w:rsidR="00470263" w:rsidRPr="008D4BE6" w14:paraId="65E18362" w14:textId="77777777" w:rsidTr="005B68AC">
        <w:trPr>
          <w:trHeight w:val="335"/>
        </w:trPr>
        <w:tc>
          <w:tcPr>
            <w:tcW w:w="3240" w:type="dxa"/>
            <w:vMerge w:val="restart"/>
            <w:tcBorders>
              <w:top w:val="nil"/>
              <w:left w:val="single" w:sz="8" w:space="0" w:color="auto"/>
              <w:right w:val="single" w:sz="8" w:space="0" w:color="auto"/>
            </w:tcBorders>
            <w:shd w:val="clear" w:color="auto" w:fill="D9D9D9" w:themeFill="background1" w:themeFillShade="D9"/>
            <w:noWrap/>
            <w:vAlign w:val="center"/>
            <w:hideMark/>
          </w:tcPr>
          <w:p w14:paraId="61165F80" w14:textId="77777777" w:rsidR="00470263" w:rsidRPr="008D4BE6" w:rsidRDefault="00470263" w:rsidP="005B68AC">
            <w:pPr>
              <w:spacing w:line="240" w:lineRule="auto"/>
              <w:rPr>
                <w:rFonts w:asciiTheme="majorBidi" w:eastAsia="Times New Roman" w:hAnsiTheme="majorBidi" w:cstheme="majorBidi"/>
                <w:b/>
                <w:bCs/>
                <w:color w:val="000000"/>
                <w:lang w:val="en-US"/>
              </w:rPr>
            </w:pPr>
            <w:r w:rsidRPr="008D4BE6">
              <w:rPr>
                <w:rFonts w:asciiTheme="majorBidi" w:eastAsia="Times New Roman" w:hAnsiTheme="majorBidi" w:cstheme="majorBidi"/>
                <w:b/>
                <w:bCs/>
                <w:color w:val="000000"/>
                <w:lang w:val="en-US"/>
              </w:rPr>
              <w:t> </w:t>
            </w:r>
            <w:r w:rsidRPr="008D4BE6">
              <w:rPr>
                <w:rFonts w:asciiTheme="majorBidi" w:eastAsia="Times New Roman" w:hAnsiTheme="majorBidi" w:cstheme="majorBidi"/>
                <w:b/>
                <w:bCs/>
                <w:color w:val="000000"/>
                <w:sz w:val="20"/>
                <w:szCs w:val="20"/>
                <w:lang w:val="en-US"/>
              </w:rPr>
              <w:t>Continuous variables</w:t>
            </w:r>
          </w:p>
        </w:tc>
        <w:tc>
          <w:tcPr>
            <w:tcW w:w="1387" w:type="dxa"/>
            <w:tcBorders>
              <w:top w:val="nil"/>
              <w:left w:val="nil"/>
              <w:bottom w:val="single" w:sz="8" w:space="0" w:color="auto"/>
              <w:right w:val="single" w:sz="8" w:space="0" w:color="auto"/>
            </w:tcBorders>
            <w:shd w:val="clear" w:color="auto" w:fill="D9D9D9" w:themeFill="background1" w:themeFillShade="D9"/>
            <w:noWrap/>
            <w:vAlign w:val="center"/>
            <w:hideMark/>
          </w:tcPr>
          <w:p w14:paraId="325AA1E5" w14:textId="77777777" w:rsidR="00470263" w:rsidRPr="008D4BE6" w:rsidRDefault="00470263" w:rsidP="005B68AC">
            <w:pPr>
              <w:spacing w:line="240" w:lineRule="auto"/>
              <w:rPr>
                <w:rFonts w:asciiTheme="majorBidi" w:eastAsia="Times New Roman" w:hAnsiTheme="majorBidi" w:cstheme="majorBidi"/>
                <w:b/>
                <w:bCs/>
                <w:color w:val="000000"/>
                <w:sz w:val="20"/>
                <w:szCs w:val="20"/>
                <w:lang w:val="en-US"/>
              </w:rPr>
            </w:pPr>
            <w:r w:rsidRPr="008D4BE6">
              <w:rPr>
                <w:rFonts w:asciiTheme="majorBidi" w:eastAsia="Times New Roman" w:hAnsiTheme="majorBidi" w:cstheme="majorBidi"/>
                <w:b/>
                <w:bCs/>
                <w:color w:val="000000"/>
                <w:sz w:val="20"/>
                <w:szCs w:val="20"/>
                <w:lang w:val="en-US"/>
              </w:rPr>
              <w:t>No</w:t>
            </w:r>
          </w:p>
        </w:tc>
        <w:tc>
          <w:tcPr>
            <w:tcW w:w="1273" w:type="dxa"/>
            <w:tcBorders>
              <w:top w:val="nil"/>
              <w:left w:val="nil"/>
              <w:bottom w:val="single" w:sz="8" w:space="0" w:color="auto"/>
              <w:right w:val="single" w:sz="8" w:space="0" w:color="auto"/>
            </w:tcBorders>
            <w:shd w:val="clear" w:color="auto" w:fill="D9D9D9" w:themeFill="background1" w:themeFillShade="D9"/>
            <w:noWrap/>
            <w:vAlign w:val="center"/>
            <w:hideMark/>
          </w:tcPr>
          <w:p w14:paraId="5A019359" w14:textId="77777777" w:rsidR="00470263" w:rsidRPr="008D4BE6" w:rsidRDefault="00470263" w:rsidP="005B68AC">
            <w:pPr>
              <w:spacing w:line="240" w:lineRule="auto"/>
              <w:rPr>
                <w:rFonts w:asciiTheme="majorBidi" w:eastAsia="Times New Roman" w:hAnsiTheme="majorBidi" w:cstheme="majorBidi"/>
                <w:b/>
                <w:bCs/>
                <w:color w:val="000000"/>
                <w:sz w:val="20"/>
                <w:szCs w:val="20"/>
                <w:lang w:val="en-US"/>
              </w:rPr>
            </w:pPr>
            <w:r w:rsidRPr="008D4BE6">
              <w:rPr>
                <w:rFonts w:asciiTheme="majorBidi" w:eastAsia="Times New Roman" w:hAnsiTheme="majorBidi" w:cstheme="majorBidi"/>
                <w:b/>
                <w:bCs/>
                <w:color w:val="000000"/>
                <w:sz w:val="20"/>
                <w:szCs w:val="20"/>
                <w:lang w:val="en-US"/>
              </w:rPr>
              <w:t>Yes</w:t>
            </w:r>
          </w:p>
        </w:tc>
        <w:tc>
          <w:tcPr>
            <w:tcW w:w="2460" w:type="dxa"/>
            <w:vMerge w:val="restart"/>
            <w:tcBorders>
              <w:top w:val="nil"/>
              <w:left w:val="nil"/>
              <w:right w:val="single" w:sz="8" w:space="0" w:color="auto"/>
            </w:tcBorders>
            <w:shd w:val="clear" w:color="auto" w:fill="D9D9D9" w:themeFill="background1" w:themeFillShade="D9"/>
            <w:vAlign w:val="center"/>
            <w:hideMark/>
          </w:tcPr>
          <w:p w14:paraId="097EB047" w14:textId="77777777" w:rsidR="00470263" w:rsidRPr="008D4BE6" w:rsidRDefault="00470263" w:rsidP="005B68AC">
            <w:pPr>
              <w:spacing w:line="240" w:lineRule="auto"/>
              <w:rPr>
                <w:rFonts w:asciiTheme="majorBidi" w:eastAsia="Times New Roman" w:hAnsiTheme="majorBidi" w:cstheme="majorBidi"/>
                <w:b/>
                <w:bCs/>
                <w:color w:val="000000"/>
                <w:sz w:val="20"/>
                <w:szCs w:val="20"/>
                <w:lang w:val="en-US"/>
              </w:rPr>
            </w:pPr>
            <w:r w:rsidRPr="008D4BE6">
              <w:rPr>
                <w:rFonts w:asciiTheme="majorBidi" w:eastAsia="Times New Roman" w:hAnsiTheme="majorBidi" w:cstheme="majorBidi"/>
                <w:b/>
                <w:bCs/>
                <w:color w:val="000000"/>
                <w:sz w:val="20"/>
                <w:szCs w:val="20"/>
                <w:lang w:val="en-US"/>
              </w:rPr>
              <w:t> </w:t>
            </w:r>
          </w:p>
          <w:p w14:paraId="5C3D3955" w14:textId="77777777" w:rsidR="00470263" w:rsidRPr="008D4BE6" w:rsidRDefault="00470263" w:rsidP="005B68AC">
            <w:pPr>
              <w:spacing w:line="240" w:lineRule="auto"/>
              <w:rPr>
                <w:rFonts w:asciiTheme="majorBidi" w:eastAsia="Times New Roman" w:hAnsiTheme="majorBidi" w:cstheme="majorBidi"/>
                <w:b/>
                <w:bCs/>
                <w:color w:val="000000"/>
                <w:sz w:val="20"/>
                <w:szCs w:val="20"/>
                <w:lang w:val="en-US"/>
              </w:rPr>
            </w:pPr>
            <w:r w:rsidRPr="008D4BE6">
              <w:rPr>
                <w:rFonts w:asciiTheme="majorBidi" w:eastAsia="Times New Roman" w:hAnsiTheme="majorBidi" w:cstheme="majorBidi"/>
                <w:b/>
                <w:bCs/>
                <w:color w:val="000000"/>
                <w:sz w:val="20"/>
                <w:szCs w:val="20"/>
                <w:lang w:val="en-US"/>
              </w:rPr>
              <w:t>Unadjusted OR (95% CI)</w:t>
            </w:r>
          </w:p>
        </w:tc>
        <w:tc>
          <w:tcPr>
            <w:tcW w:w="980" w:type="dxa"/>
            <w:vMerge w:val="restart"/>
            <w:tcBorders>
              <w:top w:val="nil"/>
              <w:left w:val="nil"/>
              <w:right w:val="single" w:sz="8" w:space="0" w:color="auto"/>
            </w:tcBorders>
            <w:shd w:val="clear" w:color="auto" w:fill="D9D9D9" w:themeFill="background1" w:themeFillShade="D9"/>
            <w:vAlign w:val="center"/>
            <w:hideMark/>
          </w:tcPr>
          <w:p w14:paraId="33CD4BCB" w14:textId="77777777" w:rsidR="00470263" w:rsidRPr="008D4BE6" w:rsidRDefault="00470263" w:rsidP="005B68AC">
            <w:pPr>
              <w:spacing w:line="240" w:lineRule="auto"/>
              <w:rPr>
                <w:rFonts w:asciiTheme="majorBidi" w:eastAsia="Times New Roman" w:hAnsiTheme="majorBidi" w:cstheme="majorBidi"/>
                <w:b/>
                <w:bCs/>
                <w:color w:val="000000"/>
                <w:sz w:val="20"/>
                <w:szCs w:val="20"/>
                <w:lang w:val="en-US"/>
              </w:rPr>
            </w:pPr>
            <w:r w:rsidRPr="008D4BE6">
              <w:rPr>
                <w:rFonts w:asciiTheme="majorBidi" w:eastAsia="Times New Roman" w:hAnsiTheme="majorBidi" w:cstheme="majorBidi"/>
                <w:b/>
                <w:bCs/>
                <w:color w:val="000000"/>
                <w:sz w:val="20"/>
                <w:szCs w:val="20"/>
                <w:lang w:val="en-US"/>
              </w:rPr>
              <w:t> p-value</w:t>
            </w:r>
          </w:p>
        </w:tc>
      </w:tr>
      <w:tr w:rsidR="00470263" w:rsidRPr="008D4BE6" w14:paraId="1334D86D" w14:textId="77777777" w:rsidTr="005B68AC">
        <w:trPr>
          <w:trHeight w:val="310"/>
        </w:trPr>
        <w:tc>
          <w:tcPr>
            <w:tcW w:w="3240" w:type="dxa"/>
            <w:vMerge/>
            <w:tcBorders>
              <w:left w:val="single" w:sz="8" w:space="0" w:color="auto"/>
              <w:bottom w:val="single" w:sz="8" w:space="0" w:color="auto"/>
              <w:right w:val="single" w:sz="8" w:space="0" w:color="auto"/>
            </w:tcBorders>
            <w:shd w:val="clear" w:color="auto" w:fill="D9D9D9" w:themeFill="background1" w:themeFillShade="D9"/>
            <w:noWrap/>
            <w:vAlign w:val="center"/>
            <w:hideMark/>
          </w:tcPr>
          <w:p w14:paraId="177A423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p>
        </w:tc>
        <w:tc>
          <w:tcPr>
            <w:tcW w:w="1387" w:type="dxa"/>
            <w:tcBorders>
              <w:top w:val="nil"/>
              <w:left w:val="nil"/>
              <w:bottom w:val="single" w:sz="8" w:space="0" w:color="auto"/>
              <w:right w:val="single" w:sz="8" w:space="0" w:color="auto"/>
            </w:tcBorders>
            <w:shd w:val="clear" w:color="auto" w:fill="D9D9D9" w:themeFill="background1" w:themeFillShade="D9"/>
            <w:noWrap/>
            <w:vAlign w:val="center"/>
            <w:hideMark/>
          </w:tcPr>
          <w:p w14:paraId="484BC66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Mean ± SD</w:t>
            </w:r>
          </w:p>
        </w:tc>
        <w:tc>
          <w:tcPr>
            <w:tcW w:w="1273" w:type="dxa"/>
            <w:tcBorders>
              <w:top w:val="nil"/>
              <w:left w:val="nil"/>
              <w:bottom w:val="single" w:sz="8" w:space="0" w:color="auto"/>
              <w:right w:val="single" w:sz="8" w:space="0" w:color="auto"/>
            </w:tcBorders>
            <w:shd w:val="clear" w:color="auto" w:fill="D9D9D9" w:themeFill="background1" w:themeFillShade="D9"/>
            <w:noWrap/>
            <w:vAlign w:val="center"/>
            <w:hideMark/>
          </w:tcPr>
          <w:p w14:paraId="1E06FF4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Mean ± SD</w:t>
            </w:r>
          </w:p>
        </w:tc>
        <w:tc>
          <w:tcPr>
            <w:tcW w:w="2460" w:type="dxa"/>
            <w:vMerge/>
            <w:tcBorders>
              <w:left w:val="nil"/>
              <w:bottom w:val="single" w:sz="8" w:space="0" w:color="auto"/>
              <w:right w:val="single" w:sz="8" w:space="0" w:color="auto"/>
            </w:tcBorders>
            <w:shd w:val="clear" w:color="auto" w:fill="D9D9D9" w:themeFill="background1" w:themeFillShade="D9"/>
            <w:noWrap/>
            <w:vAlign w:val="center"/>
            <w:hideMark/>
          </w:tcPr>
          <w:p w14:paraId="0D7C714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p>
        </w:tc>
        <w:tc>
          <w:tcPr>
            <w:tcW w:w="980" w:type="dxa"/>
            <w:vMerge/>
            <w:tcBorders>
              <w:left w:val="nil"/>
              <w:bottom w:val="single" w:sz="8" w:space="0" w:color="auto"/>
              <w:right w:val="single" w:sz="8" w:space="0" w:color="auto"/>
            </w:tcBorders>
            <w:shd w:val="clear" w:color="auto" w:fill="D9D9D9" w:themeFill="background1" w:themeFillShade="D9"/>
            <w:vAlign w:val="center"/>
            <w:hideMark/>
          </w:tcPr>
          <w:p w14:paraId="7A11AD5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p>
        </w:tc>
      </w:tr>
      <w:tr w:rsidR="00470263" w:rsidRPr="008D4BE6" w14:paraId="49D21BAD" w14:textId="77777777" w:rsidTr="005B68AC">
        <w:trPr>
          <w:trHeight w:val="31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6D5F890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Age (years)</w:t>
            </w:r>
          </w:p>
        </w:tc>
        <w:tc>
          <w:tcPr>
            <w:tcW w:w="1387" w:type="dxa"/>
            <w:tcBorders>
              <w:top w:val="nil"/>
              <w:left w:val="nil"/>
              <w:bottom w:val="single" w:sz="8" w:space="0" w:color="auto"/>
              <w:right w:val="single" w:sz="8" w:space="0" w:color="auto"/>
            </w:tcBorders>
            <w:shd w:val="clear" w:color="auto" w:fill="auto"/>
            <w:noWrap/>
            <w:vAlign w:val="center"/>
            <w:hideMark/>
          </w:tcPr>
          <w:p w14:paraId="051839D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62.12 ± 14.12</w:t>
            </w:r>
          </w:p>
        </w:tc>
        <w:tc>
          <w:tcPr>
            <w:tcW w:w="1273" w:type="dxa"/>
            <w:tcBorders>
              <w:top w:val="nil"/>
              <w:left w:val="nil"/>
              <w:bottom w:val="single" w:sz="8" w:space="0" w:color="auto"/>
              <w:right w:val="single" w:sz="8" w:space="0" w:color="auto"/>
            </w:tcBorders>
            <w:shd w:val="clear" w:color="auto" w:fill="auto"/>
            <w:noWrap/>
            <w:vAlign w:val="center"/>
            <w:hideMark/>
          </w:tcPr>
          <w:p w14:paraId="0D70C43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66.42 ± 11.93</w:t>
            </w:r>
          </w:p>
        </w:tc>
        <w:tc>
          <w:tcPr>
            <w:tcW w:w="2460" w:type="dxa"/>
            <w:tcBorders>
              <w:top w:val="nil"/>
              <w:left w:val="nil"/>
              <w:bottom w:val="single" w:sz="8" w:space="0" w:color="auto"/>
              <w:right w:val="single" w:sz="8" w:space="0" w:color="auto"/>
            </w:tcBorders>
            <w:shd w:val="clear" w:color="auto" w:fill="auto"/>
            <w:noWrap/>
            <w:vAlign w:val="center"/>
            <w:hideMark/>
          </w:tcPr>
          <w:p w14:paraId="3A23CE7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1.024 (1.015, 1.033)</w:t>
            </w:r>
          </w:p>
        </w:tc>
        <w:tc>
          <w:tcPr>
            <w:tcW w:w="980" w:type="dxa"/>
            <w:tcBorders>
              <w:top w:val="nil"/>
              <w:left w:val="nil"/>
              <w:bottom w:val="single" w:sz="8" w:space="0" w:color="auto"/>
              <w:right w:val="single" w:sz="8" w:space="0" w:color="auto"/>
            </w:tcBorders>
            <w:shd w:val="clear" w:color="auto" w:fill="auto"/>
            <w:vAlign w:val="center"/>
            <w:hideMark/>
          </w:tcPr>
          <w:p w14:paraId="0AB4815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2006499F" w14:textId="77777777" w:rsidTr="005B68AC">
        <w:trPr>
          <w:trHeight w:val="31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1C7CA37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BMI </w:t>
            </w:r>
            <w:r w:rsidRPr="008D4BE6">
              <w:rPr>
                <w:rFonts w:asciiTheme="majorBidi" w:eastAsia="Times New Roman" w:hAnsiTheme="majorBidi" w:cstheme="majorBidi"/>
                <w:color w:val="000000"/>
                <w:sz w:val="18"/>
                <w:szCs w:val="18"/>
                <w:lang w:val="en-US"/>
              </w:rPr>
              <w:t>(kg/m</w:t>
            </w:r>
            <w:r w:rsidRPr="008D4BE6">
              <w:rPr>
                <w:rFonts w:asciiTheme="majorBidi" w:eastAsia="Times New Roman" w:hAnsiTheme="majorBidi" w:cstheme="majorBidi"/>
                <w:color w:val="000000"/>
                <w:sz w:val="18"/>
                <w:szCs w:val="18"/>
                <w:vertAlign w:val="superscript"/>
                <w:lang w:val="en-US"/>
              </w:rPr>
              <w:t>2</w:t>
            </w:r>
            <w:r w:rsidRPr="008D4BE6">
              <w:rPr>
                <w:rFonts w:asciiTheme="majorBidi" w:eastAsia="Times New Roman" w:hAnsiTheme="majorBidi" w:cstheme="majorBidi"/>
                <w:color w:val="000000"/>
                <w:sz w:val="18"/>
                <w:szCs w:val="18"/>
                <w:lang w:val="en-US"/>
              </w:rPr>
              <w:t>)</w:t>
            </w:r>
          </w:p>
        </w:tc>
        <w:tc>
          <w:tcPr>
            <w:tcW w:w="1387" w:type="dxa"/>
            <w:tcBorders>
              <w:top w:val="nil"/>
              <w:left w:val="nil"/>
              <w:bottom w:val="single" w:sz="8" w:space="0" w:color="auto"/>
              <w:right w:val="single" w:sz="8" w:space="0" w:color="auto"/>
            </w:tcBorders>
            <w:shd w:val="clear" w:color="auto" w:fill="auto"/>
            <w:noWrap/>
            <w:vAlign w:val="center"/>
            <w:hideMark/>
          </w:tcPr>
          <w:p w14:paraId="74983AC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29.88 ± 6.92</w:t>
            </w:r>
          </w:p>
        </w:tc>
        <w:tc>
          <w:tcPr>
            <w:tcW w:w="1273" w:type="dxa"/>
            <w:tcBorders>
              <w:top w:val="nil"/>
              <w:left w:val="nil"/>
              <w:bottom w:val="single" w:sz="8" w:space="0" w:color="auto"/>
              <w:right w:val="single" w:sz="8" w:space="0" w:color="auto"/>
            </w:tcBorders>
            <w:shd w:val="clear" w:color="auto" w:fill="auto"/>
            <w:noWrap/>
            <w:vAlign w:val="center"/>
            <w:hideMark/>
          </w:tcPr>
          <w:p w14:paraId="0F151FF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31.66 ± 8.19</w:t>
            </w:r>
          </w:p>
        </w:tc>
        <w:tc>
          <w:tcPr>
            <w:tcW w:w="2460" w:type="dxa"/>
            <w:tcBorders>
              <w:top w:val="nil"/>
              <w:left w:val="nil"/>
              <w:bottom w:val="single" w:sz="8" w:space="0" w:color="auto"/>
              <w:right w:val="single" w:sz="8" w:space="0" w:color="auto"/>
            </w:tcBorders>
            <w:shd w:val="clear" w:color="auto" w:fill="auto"/>
            <w:noWrap/>
            <w:vAlign w:val="center"/>
            <w:hideMark/>
          </w:tcPr>
          <w:p w14:paraId="38774D6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1.032 (1.018, 1.047)</w:t>
            </w:r>
          </w:p>
        </w:tc>
        <w:tc>
          <w:tcPr>
            <w:tcW w:w="980" w:type="dxa"/>
            <w:tcBorders>
              <w:top w:val="nil"/>
              <w:left w:val="nil"/>
              <w:bottom w:val="single" w:sz="8" w:space="0" w:color="auto"/>
              <w:right w:val="single" w:sz="8" w:space="0" w:color="auto"/>
            </w:tcBorders>
            <w:shd w:val="clear" w:color="auto" w:fill="auto"/>
            <w:vAlign w:val="center"/>
            <w:hideMark/>
          </w:tcPr>
          <w:p w14:paraId="53E1FF2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1F3ADDF7" w14:textId="77777777" w:rsidTr="005B68AC">
        <w:trPr>
          <w:trHeight w:val="31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2C43130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Creatinine clearance (mL/min)</w:t>
            </w:r>
          </w:p>
        </w:tc>
        <w:tc>
          <w:tcPr>
            <w:tcW w:w="1387" w:type="dxa"/>
            <w:tcBorders>
              <w:top w:val="nil"/>
              <w:left w:val="nil"/>
              <w:bottom w:val="single" w:sz="8" w:space="0" w:color="auto"/>
              <w:right w:val="single" w:sz="8" w:space="0" w:color="auto"/>
            </w:tcBorders>
            <w:shd w:val="clear" w:color="auto" w:fill="auto"/>
            <w:noWrap/>
            <w:vAlign w:val="center"/>
            <w:hideMark/>
          </w:tcPr>
          <w:p w14:paraId="243EE61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88.83 ± 37.48</w:t>
            </w:r>
          </w:p>
        </w:tc>
        <w:tc>
          <w:tcPr>
            <w:tcW w:w="1273" w:type="dxa"/>
            <w:tcBorders>
              <w:top w:val="nil"/>
              <w:left w:val="nil"/>
              <w:bottom w:val="single" w:sz="8" w:space="0" w:color="auto"/>
              <w:right w:val="single" w:sz="8" w:space="0" w:color="auto"/>
            </w:tcBorders>
            <w:shd w:val="clear" w:color="auto" w:fill="auto"/>
            <w:noWrap/>
            <w:vAlign w:val="center"/>
            <w:hideMark/>
          </w:tcPr>
          <w:p w14:paraId="1C0CD5D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64 ± 35.26</w:t>
            </w:r>
          </w:p>
        </w:tc>
        <w:tc>
          <w:tcPr>
            <w:tcW w:w="2460" w:type="dxa"/>
            <w:tcBorders>
              <w:top w:val="nil"/>
              <w:left w:val="nil"/>
              <w:bottom w:val="single" w:sz="8" w:space="0" w:color="auto"/>
              <w:right w:val="single" w:sz="8" w:space="0" w:color="auto"/>
            </w:tcBorders>
            <w:shd w:val="clear" w:color="auto" w:fill="auto"/>
            <w:noWrap/>
            <w:vAlign w:val="center"/>
            <w:hideMark/>
          </w:tcPr>
          <w:p w14:paraId="3373A33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0.977 (0.973, 0.981)</w:t>
            </w:r>
          </w:p>
        </w:tc>
        <w:tc>
          <w:tcPr>
            <w:tcW w:w="980" w:type="dxa"/>
            <w:tcBorders>
              <w:top w:val="nil"/>
              <w:left w:val="nil"/>
              <w:bottom w:val="single" w:sz="8" w:space="0" w:color="auto"/>
              <w:right w:val="single" w:sz="8" w:space="0" w:color="auto"/>
            </w:tcBorders>
            <w:shd w:val="clear" w:color="auto" w:fill="auto"/>
            <w:vAlign w:val="center"/>
            <w:hideMark/>
          </w:tcPr>
          <w:p w14:paraId="764A661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49E339F2" w14:textId="77777777" w:rsidTr="005B68AC">
        <w:trPr>
          <w:trHeight w:val="31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3062185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Preoperative creatinine (mg/dL)</w:t>
            </w:r>
          </w:p>
        </w:tc>
        <w:tc>
          <w:tcPr>
            <w:tcW w:w="1387" w:type="dxa"/>
            <w:tcBorders>
              <w:top w:val="nil"/>
              <w:left w:val="nil"/>
              <w:bottom w:val="single" w:sz="8" w:space="0" w:color="auto"/>
              <w:right w:val="single" w:sz="8" w:space="0" w:color="auto"/>
            </w:tcBorders>
            <w:shd w:val="clear" w:color="auto" w:fill="auto"/>
            <w:noWrap/>
            <w:vAlign w:val="center"/>
            <w:hideMark/>
          </w:tcPr>
          <w:p w14:paraId="3E4C594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1.09 ± 0.59</w:t>
            </w:r>
          </w:p>
        </w:tc>
        <w:tc>
          <w:tcPr>
            <w:tcW w:w="1273" w:type="dxa"/>
            <w:tcBorders>
              <w:top w:val="nil"/>
              <w:left w:val="nil"/>
              <w:bottom w:val="single" w:sz="8" w:space="0" w:color="auto"/>
              <w:right w:val="single" w:sz="8" w:space="0" w:color="auto"/>
            </w:tcBorders>
            <w:shd w:val="clear" w:color="auto" w:fill="auto"/>
            <w:noWrap/>
            <w:vAlign w:val="center"/>
            <w:hideMark/>
          </w:tcPr>
          <w:p w14:paraId="120A084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1.79 ± 1.05</w:t>
            </w:r>
          </w:p>
        </w:tc>
        <w:tc>
          <w:tcPr>
            <w:tcW w:w="2460" w:type="dxa"/>
            <w:tcBorders>
              <w:top w:val="nil"/>
              <w:left w:val="nil"/>
              <w:bottom w:val="single" w:sz="8" w:space="0" w:color="auto"/>
              <w:right w:val="single" w:sz="8" w:space="0" w:color="auto"/>
            </w:tcBorders>
            <w:shd w:val="clear" w:color="auto" w:fill="auto"/>
            <w:noWrap/>
            <w:vAlign w:val="center"/>
            <w:hideMark/>
          </w:tcPr>
          <w:p w14:paraId="25EC85E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1.636 (1.501, 1.784)</w:t>
            </w:r>
          </w:p>
        </w:tc>
        <w:tc>
          <w:tcPr>
            <w:tcW w:w="980" w:type="dxa"/>
            <w:tcBorders>
              <w:top w:val="nil"/>
              <w:left w:val="nil"/>
              <w:bottom w:val="single" w:sz="8" w:space="0" w:color="auto"/>
              <w:right w:val="single" w:sz="8" w:space="0" w:color="auto"/>
            </w:tcBorders>
            <w:shd w:val="clear" w:color="auto" w:fill="auto"/>
            <w:vAlign w:val="center"/>
            <w:hideMark/>
          </w:tcPr>
          <w:p w14:paraId="7DDAB1C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3530422C" w14:textId="77777777" w:rsidTr="005B68AC">
        <w:trPr>
          <w:trHeight w:val="31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2D32CF2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Preoperative BUN (mg/dL) </w:t>
            </w:r>
          </w:p>
        </w:tc>
        <w:tc>
          <w:tcPr>
            <w:tcW w:w="1387" w:type="dxa"/>
            <w:tcBorders>
              <w:top w:val="nil"/>
              <w:left w:val="nil"/>
              <w:bottom w:val="single" w:sz="8" w:space="0" w:color="auto"/>
              <w:right w:val="single" w:sz="8" w:space="0" w:color="auto"/>
            </w:tcBorders>
            <w:shd w:val="clear" w:color="auto" w:fill="auto"/>
            <w:noWrap/>
            <w:vAlign w:val="center"/>
            <w:hideMark/>
          </w:tcPr>
          <w:p w14:paraId="11420DF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17.87 ± 8.1</w:t>
            </w:r>
          </w:p>
        </w:tc>
        <w:tc>
          <w:tcPr>
            <w:tcW w:w="1273" w:type="dxa"/>
            <w:tcBorders>
              <w:top w:val="nil"/>
              <w:left w:val="nil"/>
              <w:bottom w:val="single" w:sz="8" w:space="0" w:color="auto"/>
              <w:right w:val="single" w:sz="8" w:space="0" w:color="auto"/>
            </w:tcBorders>
            <w:shd w:val="clear" w:color="auto" w:fill="auto"/>
            <w:noWrap/>
            <w:vAlign w:val="center"/>
            <w:hideMark/>
          </w:tcPr>
          <w:p w14:paraId="2E1FA8A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28.08 ± 15.79</w:t>
            </w:r>
          </w:p>
        </w:tc>
        <w:tc>
          <w:tcPr>
            <w:tcW w:w="2460" w:type="dxa"/>
            <w:tcBorders>
              <w:top w:val="nil"/>
              <w:left w:val="nil"/>
              <w:bottom w:val="single" w:sz="8" w:space="0" w:color="auto"/>
              <w:right w:val="single" w:sz="8" w:space="0" w:color="auto"/>
            </w:tcBorders>
            <w:shd w:val="clear" w:color="auto" w:fill="auto"/>
            <w:noWrap/>
            <w:vAlign w:val="center"/>
            <w:hideMark/>
          </w:tcPr>
          <w:p w14:paraId="0F9617A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1.064 (1.055, 1.072)</w:t>
            </w:r>
          </w:p>
        </w:tc>
        <w:tc>
          <w:tcPr>
            <w:tcW w:w="980" w:type="dxa"/>
            <w:tcBorders>
              <w:top w:val="nil"/>
              <w:left w:val="nil"/>
              <w:bottom w:val="single" w:sz="8" w:space="0" w:color="auto"/>
              <w:right w:val="single" w:sz="8" w:space="0" w:color="auto"/>
            </w:tcBorders>
            <w:shd w:val="clear" w:color="auto" w:fill="auto"/>
            <w:vAlign w:val="center"/>
            <w:hideMark/>
          </w:tcPr>
          <w:p w14:paraId="0C15A38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1538B6E9" w14:textId="77777777" w:rsidTr="005B68AC">
        <w:trPr>
          <w:trHeight w:val="31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176765A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Preoperative hematocrit (%)</w:t>
            </w:r>
          </w:p>
        </w:tc>
        <w:tc>
          <w:tcPr>
            <w:tcW w:w="1387" w:type="dxa"/>
            <w:tcBorders>
              <w:top w:val="nil"/>
              <w:left w:val="nil"/>
              <w:bottom w:val="single" w:sz="8" w:space="0" w:color="auto"/>
              <w:right w:val="single" w:sz="8" w:space="0" w:color="auto"/>
            </w:tcBorders>
            <w:shd w:val="clear" w:color="auto" w:fill="auto"/>
            <w:noWrap/>
            <w:vAlign w:val="center"/>
            <w:hideMark/>
          </w:tcPr>
          <w:p w14:paraId="74B499E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39.34 ± 5.21</w:t>
            </w:r>
          </w:p>
        </w:tc>
        <w:tc>
          <w:tcPr>
            <w:tcW w:w="1273" w:type="dxa"/>
            <w:tcBorders>
              <w:top w:val="nil"/>
              <w:left w:val="nil"/>
              <w:bottom w:val="single" w:sz="8" w:space="0" w:color="auto"/>
              <w:right w:val="single" w:sz="8" w:space="0" w:color="auto"/>
            </w:tcBorders>
            <w:shd w:val="clear" w:color="auto" w:fill="auto"/>
            <w:noWrap/>
            <w:vAlign w:val="center"/>
            <w:hideMark/>
          </w:tcPr>
          <w:p w14:paraId="4F82118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37.01 ± 6.46</w:t>
            </w:r>
          </w:p>
        </w:tc>
        <w:tc>
          <w:tcPr>
            <w:tcW w:w="2460" w:type="dxa"/>
            <w:tcBorders>
              <w:top w:val="nil"/>
              <w:left w:val="nil"/>
              <w:bottom w:val="single" w:sz="8" w:space="0" w:color="auto"/>
              <w:right w:val="single" w:sz="8" w:space="0" w:color="auto"/>
            </w:tcBorders>
            <w:shd w:val="clear" w:color="auto" w:fill="auto"/>
            <w:noWrap/>
            <w:vAlign w:val="center"/>
            <w:hideMark/>
          </w:tcPr>
          <w:p w14:paraId="4BE67E2B"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0.927 (0.909, 0.945)</w:t>
            </w:r>
          </w:p>
        </w:tc>
        <w:tc>
          <w:tcPr>
            <w:tcW w:w="980" w:type="dxa"/>
            <w:tcBorders>
              <w:top w:val="nil"/>
              <w:left w:val="nil"/>
              <w:bottom w:val="single" w:sz="8" w:space="0" w:color="auto"/>
              <w:right w:val="single" w:sz="8" w:space="0" w:color="auto"/>
            </w:tcBorders>
            <w:shd w:val="clear" w:color="auto" w:fill="auto"/>
            <w:vAlign w:val="center"/>
            <w:hideMark/>
          </w:tcPr>
          <w:p w14:paraId="64831E9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7BCE1B92" w14:textId="77777777" w:rsidTr="005B68AC">
        <w:trPr>
          <w:trHeight w:val="31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3BCDC36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Preoperative platelets </w:t>
            </w:r>
            <w:r w:rsidRPr="008D4BE6">
              <w:rPr>
                <w:rFonts w:asciiTheme="majorBidi" w:eastAsia="Times New Roman" w:hAnsiTheme="majorBidi" w:cstheme="majorBidi"/>
                <w:color w:val="000000"/>
                <w:sz w:val="18"/>
                <w:szCs w:val="18"/>
                <w:lang w:val="en-US"/>
              </w:rPr>
              <w:t>(x10</w:t>
            </w:r>
            <w:r w:rsidRPr="008D4BE6">
              <w:rPr>
                <w:rFonts w:asciiTheme="majorBidi" w:eastAsia="Times New Roman" w:hAnsiTheme="majorBidi" w:cstheme="majorBidi"/>
                <w:color w:val="000000"/>
                <w:sz w:val="18"/>
                <w:szCs w:val="18"/>
                <w:vertAlign w:val="superscript"/>
                <w:lang w:val="en-US"/>
              </w:rPr>
              <w:t>3</w:t>
            </w:r>
            <w:r w:rsidRPr="008D4BE6">
              <w:rPr>
                <w:rFonts w:asciiTheme="majorBidi" w:eastAsia="Times New Roman" w:hAnsiTheme="majorBidi" w:cstheme="majorBidi"/>
                <w:color w:val="000000"/>
                <w:sz w:val="18"/>
                <w:szCs w:val="18"/>
                <w:lang w:val="en-US"/>
              </w:rPr>
              <w:t>/mm</w:t>
            </w:r>
            <w:r w:rsidRPr="008D4BE6">
              <w:rPr>
                <w:rFonts w:asciiTheme="majorBidi" w:eastAsia="Times New Roman" w:hAnsiTheme="majorBidi" w:cstheme="majorBidi"/>
                <w:color w:val="000000"/>
                <w:sz w:val="18"/>
                <w:szCs w:val="18"/>
                <w:vertAlign w:val="superscript"/>
                <w:lang w:val="en-US"/>
              </w:rPr>
              <w:t>3</w:t>
            </w:r>
            <w:r w:rsidRPr="008D4BE6">
              <w:rPr>
                <w:rFonts w:asciiTheme="majorBidi" w:eastAsia="Times New Roman" w:hAnsiTheme="majorBidi" w:cstheme="majorBidi"/>
                <w:color w:val="000000"/>
                <w:sz w:val="18"/>
                <w:szCs w:val="18"/>
                <w:lang w:val="en-US"/>
              </w:rPr>
              <w:t>)</w:t>
            </w:r>
          </w:p>
        </w:tc>
        <w:tc>
          <w:tcPr>
            <w:tcW w:w="1387" w:type="dxa"/>
            <w:tcBorders>
              <w:top w:val="nil"/>
              <w:left w:val="nil"/>
              <w:bottom w:val="single" w:sz="8" w:space="0" w:color="auto"/>
              <w:right w:val="single" w:sz="8" w:space="0" w:color="auto"/>
            </w:tcBorders>
            <w:shd w:val="clear" w:color="auto" w:fill="auto"/>
            <w:noWrap/>
            <w:vAlign w:val="center"/>
            <w:hideMark/>
          </w:tcPr>
          <w:p w14:paraId="5FCD966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254.45 ± 91.08</w:t>
            </w:r>
          </w:p>
        </w:tc>
        <w:tc>
          <w:tcPr>
            <w:tcW w:w="1273" w:type="dxa"/>
            <w:tcBorders>
              <w:top w:val="nil"/>
              <w:left w:val="nil"/>
              <w:bottom w:val="single" w:sz="8" w:space="0" w:color="auto"/>
              <w:right w:val="single" w:sz="8" w:space="0" w:color="auto"/>
            </w:tcBorders>
            <w:shd w:val="clear" w:color="auto" w:fill="auto"/>
            <w:noWrap/>
            <w:vAlign w:val="center"/>
            <w:hideMark/>
          </w:tcPr>
          <w:p w14:paraId="6D0F439B"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229.16 ± 83.2</w:t>
            </w:r>
          </w:p>
        </w:tc>
        <w:tc>
          <w:tcPr>
            <w:tcW w:w="2460" w:type="dxa"/>
            <w:tcBorders>
              <w:top w:val="nil"/>
              <w:left w:val="nil"/>
              <w:bottom w:val="single" w:sz="8" w:space="0" w:color="auto"/>
              <w:right w:val="single" w:sz="8" w:space="0" w:color="auto"/>
            </w:tcBorders>
            <w:shd w:val="clear" w:color="auto" w:fill="auto"/>
            <w:noWrap/>
            <w:vAlign w:val="center"/>
            <w:hideMark/>
          </w:tcPr>
          <w:p w14:paraId="7DA183D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0.996 (0.995, 0.998)</w:t>
            </w:r>
          </w:p>
        </w:tc>
        <w:tc>
          <w:tcPr>
            <w:tcW w:w="980" w:type="dxa"/>
            <w:tcBorders>
              <w:top w:val="nil"/>
              <w:left w:val="nil"/>
              <w:bottom w:val="single" w:sz="8" w:space="0" w:color="auto"/>
              <w:right w:val="single" w:sz="8" w:space="0" w:color="auto"/>
            </w:tcBorders>
            <w:shd w:val="clear" w:color="auto" w:fill="auto"/>
            <w:vAlign w:val="center"/>
            <w:hideMark/>
          </w:tcPr>
          <w:p w14:paraId="384CF7E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2B11DDB0" w14:textId="77777777" w:rsidTr="005B68AC">
        <w:trPr>
          <w:trHeight w:val="31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2D04B00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Preoperative WBC count </w:t>
            </w:r>
            <w:r w:rsidRPr="008D4BE6">
              <w:rPr>
                <w:rFonts w:asciiTheme="majorBidi" w:eastAsia="Times New Roman" w:hAnsiTheme="majorBidi" w:cstheme="majorBidi"/>
                <w:color w:val="000000"/>
                <w:sz w:val="18"/>
                <w:szCs w:val="18"/>
                <w:lang w:val="en-US"/>
              </w:rPr>
              <w:t>(x10</w:t>
            </w:r>
            <w:r w:rsidRPr="008D4BE6">
              <w:rPr>
                <w:rFonts w:asciiTheme="majorBidi" w:eastAsia="Times New Roman" w:hAnsiTheme="majorBidi" w:cstheme="majorBidi"/>
                <w:color w:val="000000"/>
                <w:sz w:val="18"/>
                <w:szCs w:val="18"/>
                <w:vertAlign w:val="superscript"/>
                <w:lang w:val="en-US"/>
              </w:rPr>
              <w:t>3</w:t>
            </w:r>
            <w:r w:rsidRPr="008D4BE6">
              <w:rPr>
                <w:rFonts w:asciiTheme="majorBidi" w:eastAsia="Times New Roman" w:hAnsiTheme="majorBidi" w:cstheme="majorBidi"/>
                <w:color w:val="000000"/>
                <w:sz w:val="18"/>
                <w:szCs w:val="18"/>
                <w:lang w:val="en-US"/>
              </w:rPr>
              <w:t>/mm</w:t>
            </w:r>
            <w:r w:rsidRPr="008D4BE6">
              <w:rPr>
                <w:rFonts w:asciiTheme="majorBidi" w:eastAsia="Times New Roman" w:hAnsiTheme="majorBidi" w:cstheme="majorBidi"/>
                <w:color w:val="000000"/>
                <w:sz w:val="18"/>
                <w:szCs w:val="18"/>
                <w:vertAlign w:val="superscript"/>
                <w:lang w:val="en-US"/>
              </w:rPr>
              <w:t>3</w:t>
            </w:r>
            <w:r w:rsidRPr="008D4BE6">
              <w:rPr>
                <w:rFonts w:asciiTheme="majorBidi" w:eastAsia="Times New Roman" w:hAnsiTheme="majorBidi" w:cstheme="majorBidi"/>
                <w:color w:val="000000"/>
                <w:sz w:val="18"/>
                <w:szCs w:val="18"/>
                <w:lang w:val="en-US"/>
              </w:rPr>
              <w:t>)</w:t>
            </w:r>
          </w:p>
        </w:tc>
        <w:tc>
          <w:tcPr>
            <w:tcW w:w="1387" w:type="dxa"/>
            <w:tcBorders>
              <w:top w:val="nil"/>
              <w:left w:val="nil"/>
              <w:bottom w:val="single" w:sz="8" w:space="0" w:color="auto"/>
              <w:right w:val="single" w:sz="8" w:space="0" w:color="auto"/>
            </w:tcBorders>
            <w:shd w:val="clear" w:color="auto" w:fill="auto"/>
            <w:noWrap/>
            <w:vAlign w:val="center"/>
            <w:hideMark/>
          </w:tcPr>
          <w:p w14:paraId="27E16C9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7.69 ± 2.74</w:t>
            </w:r>
          </w:p>
        </w:tc>
        <w:tc>
          <w:tcPr>
            <w:tcW w:w="1273" w:type="dxa"/>
            <w:tcBorders>
              <w:top w:val="nil"/>
              <w:left w:val="nil"/>
              <w:bottom w:val="single" w:sz="8" w:space="0" w:color="auto"/>
              <w:right w:val="single" w:sz="8" w:space="0" w:color="auto"/>
            </w:tcBorders>
            <w:shd w:val="clear" w:color="auto" w:fill="auto"/>
            <w:noWrap/>
            <w:vAlign w:val="center"/>
            <w:hideMark/>
          </w:tcPr>
          <w:p w14:paraId="0E0F75E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7.96 ± 3.35</w:t>
            </w:r>
          </w:p>
        </w:tc>
        <w:tc>
          <w:tcPr>
            <w:tcW w:w="2460" w:type="dxa"/>
            <w:tcBorders>
              <w:top w:val="nil"/>
              <w:left w:val="nil"/>
              <w:bottom w:val="single" w:sz="8" w:space="0" w:color="auto"/>
              <w:right w:val="single" w:sz="8" w:space="0" w:color="auto"/>
            </w:tcBorders>
            <w:shd w:val="clear" w:color="auto" w:fill="auto"/>
            <w:noWrap/>
            <w:vAlign w:val="center"/>
            <w:hideMark/>
          </w:tcPr>
          <w:p w14:paraId="022A2C3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1.031 (0.994, 1.069)</w:t>
            </w:r>
          </w:p>
        </w:tc>
        <w:tc>
          <w:tcPr>
            <w:tcW w:w="980" w:type="dxa"/>
            <w:tcBorders>
              <w:top w:val="nil"/>
              <w:left w:val="nil"/>
              <w:bottom w:val="single" w:sz="8" w:space="0" w:color="auto"/>
              <w:right w:val="single" w:sz="8" w:space="0" w:color="auto"/>
            </w:tcBorders>
            <w:shd w:val="clear" w:color="auto" w:fill="auto"/>
            <w:vAlign w:val="center"/>
            <w:hideMark/>
          </w:tcPr>
          <w:p w14:paraId="26EE9D3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0.098</w:t>
            </w:r>
          </w:p>
        </w:tc>
      </w:tr>
      <w:tr w:rsidR="00470263" w:rsidRPr="008D4BE6" w14:paraId="0A644E62" w14:textId="77777777" w:rsidTr="005B68AC">
        <w:trPr>
          <w:trHeight w:val="31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677274D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Operative time (minutes) </w:t>
            </w:r>
          </w:p>
        </w:tc>
        <w:tc>
          <w:tcPr>
            <w:tcW w:w="1387" w:type="dxa"/>
            <w:tcBorders>
              <w:top w:val="nil"/>
              <w:left w:val="nil"/>
              <w:bottom w:val="single" w:sz="8" w:space="0" w:color="auto"/>
              <w:right w:val="single" w:sz="8" w:space="0" w:color="auto"/>
            </w:tcBorders>
            <w:shd w:val="clear" w:color="auto" w:fill="auto"/>
            <w:noWrap/>
            <w:vAlign w:val="center"/>
            <w:hideMark/>
          </w:tcPr>
          <w:p w14:paraId="2CF9360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180.53 ± 83.25</w:t>
            </w:r>
          </w:p>
        </w:tc>
        <w:tc>
          <w:tcPr>
            <w:tcW w:w="1273" w:type="dxa"/>
            <w:tcBorders>
              <w:top w:val="nil"/>
              <w:left w:val="nil"/>
              <w:bottom w:val="single" w:sz="8" w:space="0" w:color="auto"/>
              <w:right w:val="single" w:sz="8" w:space="0" w:color="auto"/>
            </w:tcBorders>
            <w:shd w:val="clear" w:color="auto" w:fill="auto"/>
            <w:noWrap/>
            <w:vAlign w:val="center"/>
            <w:hideMark/>
          </w:tcPr>
          <w:p w14:paraId="6F9A367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210.59 ± 95.8</w:t>
            </w:r>
          </w:p>
        </w:tc>
        <w:tc>
          <w:tcPr>
            <w:tcW w:w="2460" w:type="dxa"/>
            <w:tcBorders>
              <w:top w:val="nil"/>
              <w:left w:val="nil"/>
              <w:bottom w:val="single" w:sz="8" w:space="0" w:color="auto"/>
              <w:right w:val="single" w:sz="8" w:space="0" w:color="auto"/>
            </w:tcBorders>
            <w:shd w:val="clear" w:color="auto" w:fill="auto"/>
            <w:noWrap/>
            <w:vAlign w:val="center"/>
            <w:hideMark/>
          </w:tcPr>
          <w:p w14:paraId="0A27FBC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1.004 (1.003, 1.005)</w:t>
            </w:r>
          </w:p>
        </w:tc>
        <w:tc>
          <w:tcPr>
            <w:tcW w:w="980" w:type="dxa"/>
            <w:tcBorders>
              <w:top w:val="nil"/>
              <w:left w:val="nil"/>
              <w:bottom w:val="single" w:sz="8" w:space="0" w:color="auto"/>
              <w:right w:val="single" w:sz="8" w:space="0" w:color="auto"/>
            </w:tcBorders>
            <w:shd w:val="clear" w:color="auto" w:fill="auto"/>
            <w:vAlign w:val="center"/>
            <w:hideMark/>
          </w:tcPr>
          <w:p w14:paraId="3AF2A9A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bl>
    <w:p w14:paraId="451FB4BB" w14:textId="77777777" w:rsidR="00470263" w:rsidRPr="008D4BE6" w:rsidRDefault="00470263" w:rsidP="00470263">
      <w:pPr>
        <w:spacing w:before="240" w:after="240" w:line="240" w:lineRule="auto"/>
        <w:rPr>
          <w:rFonts w:asciiTheme="majorBidi" w:hAnsiTheme="majorBidi" w:cstheme="majorBidi"/>
          <w:sz w:val="20"/>
          <w:szCs w:val="20"/>
        </w:rPr>
      </w:pPr>
    </w:p>
    <w:tbl>
      <w:tblPr>
        <w:tblW w:w="5102" w:type="pct"/>
        <w:tblLayout w:type="fixed"/>
        <w:tblLook w:val="04A0" w:firstRow="1" w:lastRow="0" w:firstColumn="1" w:lastColumn="0" w:noHBand="0" w:noVBand="1"/>
      </w:tblPr>
      <w:tblGrid>
        <w:gridCol w:w="3011"/>
        <w:gridCol w:w="1956"/>
        <w:gridCol w:w="1960"/>
        <w:gridCol w:w="1761"/>
        <w:gridCol w:w="843"/>
      </w:tblGrid>
      <w:tr w:rsidR="00470263" w:rsidRPr="008D4BE6" w14:paraId="0E583DD7" w14:textId="77777777" w:rsidTr="00A54D78">
        <w:trPr>
          <w:trHeight w:val="310"/>
        </w:trPr>
        <w:tc>
          <w:tcPr>
            <w:tcW w:w="1580" w:type="pct"/>
            <w:tcBorders>
              <w:top w:val="single" w:sz="8" w:space="0" w:color="auto"/>
              <w:left w:val="single" w:sz="8" w:space="0" w:color="auto"/>
              <w:bottom w:val="single" w:sz="8" w:space="0" w:color="auto"/>
              <w:right w:val="nil"/>
            </w:tcBorders>
            <w:shd w:val="clear" w:color="000000" w:fill="BFBFBF"/>
            <w:noWrap/>
            <w:vAlign w:val="bottom"/>
            <w:hideMark/>
          </w:tcPr>
          <w:p w14:paraId="6C654D70" w14:textId="77777777" w:rsidR="00470263" w:rsidRPr="008D4BE6" w:rsidRDefault="00470263" w:rsidP="005B68AC">
            <w:pPr>
              <w:spacing w:line="240" w:lineRule="auto"/>
              <w:rPr>
                <w:rFonts w:asciiTheme="majorBidi" w:eastAsia="Times New Roman" w:hAnsiTheme="majorBidi" w:cstheme="majorBidi"/>
                <w:b/>
                <w:bCs/>
                <w:color w:val="000000"/>
                <w:sz w:val="20"/>
                <w:szCs w:val="20"/>
                <w:lang w:val="en-US"/>
              </w:rPr>
            </w:pPr>
            <w:r w:rsidRPr="008D4BE6">
              <w:rPr>
                <w:rFonts w:asciiTheme="majorBidi" w:eastAsia="Times New Roman" w:hAnsiTheme="majorBidi" w:cstheme="majorBidi"/>
                <w:b/>
                <w:bCs/>
                <w:color w:val="000000"/>
                <w:sz w:val="20"/>
                <w:szCs w:val="20"/>
                <w:lang w:val="en-US"/>
              </w:rPr>
              <w:t> </w:t>
            </w:r>
          </w:p>
        </w:tc>
        <w:tc>
          <w:tcPr>
            <w:tcW w:w="2054" w:type="pct"/>
            <w:gridSpan w:val="2"/>
            <w:tcBorders>
              <w:top w:val="single" w:sz="8" w:space="0" w:color="auto"/>
              <w:left w:val="nil"/>
              <w:bottom w:val="single" w:sz="8" w:space="0" w:color="auto"/>
              <w:right w:val="nil"/>
            </w:tcBorders>
            <w:shd w:val="clear" w:color="000000" w:fill="BFBFBF"/>
            <w:noWrap/>
            <w:vAlign w:val="bottom"/>
            <w:hideMark/>
          </w:tcPr>
          <w:p w14:paraId="0558A3EC" w14:textId="77777777" w:rsidR="00470263" w:rsidRPr="008D4BE6" w:rsidRDefault="00470263" w:rsidP="005B68AC">
            <w:pPr>
              <w:spacing w:line="240" w:lineRule="auto"/>
              <w:rPr>
                <w:rFonts w:asciiTheme="majorBidi" w:eastAsia="Times New Roman" w:hAnsiTheme="majorBidi" w:cstheme="majorBidi"/>
                <w:b/>
                <w:bCs/>
                <w:color w:val="000000"/>
                <w:sz w:val="20"/>
                <w:szCs w:val="20"/>
                <w:lang w:val="en-US"/>
              </w:rPr>
            </w:pPr>
            <w:r w:rsidRPr="008D4BE6">
              <w:rPr>
                <w:rFonts w:asciiTheme="majorBidi" w:eastAsia="Times New Roman" w:hAnsiTheme="majorBidi" w:cstheme="majorBidi"/>
                <w:b/>
                <w:bCs/>
                <w:color w:val="000000"/>
                <w:sz w:val="20"/>
                <w:szCs w:val="20"/>
                <w:lang w:val="en-US"/>
              </w:rPr>
              <w:t>Postoperative Renal Failure</w:t>
            </w:r>
          </w:p>
        </w:tc>
        <w:tc>
          <w:tcPr>
            <w:tcW w:w="924" w:type="pct"/>
            <w:tcBorders>
              <w:top w:val="single" w:sz="8" w:space="0" w:color="auto"/>
              <w:left w:val="nil"/>
              <w:bottom w:val="single" w:sz="8" w:space="0" w:color="auto"/>
              <w:right w:val="nil"/>
            </w:tcBorders>
            <w:shd w:val="clear" w:color="000000" w:fill="BFBFBF"/>
            <w:noWrap/>
            <w:vAlign w:val="bottom"/>
            <w:hideMark/>
          </w:tcPr>
          <w:p w14:paraId="34954D4E" w14:textId="77777777" w:rsidR="00470263" w:rsidRPr="008D4BE6" w:rsidRDefault="00470263" w:rsidP="005B68AC">
            <w:pPr>
              <w:spacing w:line="240" w:lineRule="auto"/>
              <w:rPr>
                <w:rFonts w:asciiTheme="majorBidi" w:eastAsia="Times New Roman" w:hAnsiTheme="majorBidi" w:cstheme="majorBidi"/>
                <w:b/>
                <w:bCs/>
                <w:color w:val="000000"/>
                <w:sz w:val="20"/>
                <w:szCs w:val="20"/>
                <w:lang w:val="en-US"/>
              </w:rPr>
            </w:pPr>
            <w:r w:rsidRPr="008D4BE6">
              <w:rPr>
                <w:rFonts w:asciiTheme="majorBidi" w:eastAsia="Times New Roman" w:hAnsiTheme="majorBidi" w:cstheme="majorBidi"/>
                <w:b/>
                <w:bCs/>
                <w:color w:val="000000"/>
                <w:sz w:val="20"/>
                <w:szCs w:val="20"/>
                <w:lang w:val="en-US"/>
              </w:rPr>
              <w:t> </w:t>
            </w:r>
          </w:p>
        </w:tc>
        <w:tc>
          <w:tcPr>
            <w:tcW w:w="442" w:type="pct"/>
            <w:tcBorders>
              <w:top w:val="single" w:sz="8" w:space="0" w:color="auto"/>
              <w:left w:val="nil"/>
              <w:bottom w:val="single" w:sz="8" w:space="0" w:color="auto"/>
              <w:right w:val="single" w:sz="8" w:space="0" w:color="auto"/>
            </w:tcBorders>
            <w:shd w:val="clear" w:color="000000" w:fill="BFBFBF"/>
            <w:noWrap/>
            <w:vAlign w:val="bottom"/>
            <w:hideMark/>
          </w:tcPr>
          <w:p w14:paraId="5EC3887E" w14:textId="77777777" w:rsidR="00470263" w:rsidRPr="008D4BE6" w:rsidRDefault="00470263" w:rsidP="005B68AC">
            <w:pPr>
              <w:spacing w:line="240" w:lineRule="auto"/>
              <w:rPr>
                <w:rFonts w:asciiTheme="majorBidi" w:eastAsia="Times New Roman" w:hAnsiTheme="majorBidi" w:cstheme="majorBidi"/>
                <w:b/>
                <w:bCs/>
                <w:color w:val="000000"/>
                <w:sz w:val="20"/>
                <w:szCs w:val="20"/>
                <w:lang w:val="en-US"/>
              </w:rPr>
            </w:pPr>
            <w:r w:rsidRPr="008D4BE6">
              <w:rPr>
                <w:rFonts w:asciiTheme="majorBidi" w:eastAsia="Times New Roman" w:hAnsiTheme="majorBidi" w:cstheme="majorBidi"/>
                <w:b/>
                <w:bCs/>
                <w:color w:val="000000"/>
                <w:sz w:val="20"/>
                <w:szCs w:val="20"/>
                <w:lang w:val="en-US"/>
              </w:rPr>
              <w:t> </w:t>
            </w:r>
          </w:p>
        </w:tc>
      </w:tr>
      <w:tr w:rsidR="005A316C" w:rsidRPr="008D4BE6" w14:paraId="50822601" w14:textId="77777777" w:rsidTr="00A54D78">
        <w:trPr>
          <w:trHeight w:val="605"/>
        </w:trPr>
        <w:tc>
          <w:tcPr>
            <w:tcW w:w="1580" w:type="pct"/>
            <w:vMerge w:val="restart"/>
            <w:tcBorders>
              <w:top w:val="nil"/>
              <w:left w:val="single" w:sz="8" w:space="0" w:color="auto"/>
              <w:right w:val="single" w:sz="8" w:space="0" w:color="auto"/>
            </w:tcBorders>
            <w:shd w:val="clear" w:color="000000" w:fill="E7E6E6"/>
            <w:noWrap/>
            <w:vAlign w:val="center"/>
          </w:tcPr>
          <w:p w14:paraId="744FC82F" w14:textId="78FCB83D" w:rsidR="005A316C" w:rsidRPr="008D4BE6" w:rsidRDefault="005A316C"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Categorical variable</w:t>
            </w:r>
          </w:p>
        </w:tc>
        <w:tc>
          <w:tcPr>
            <w:tcW w:w="1026" w:type="pct"/>
            <w:tcBorders>
              <w:top w:val="nil"/>
              <w:left w:val="nil"/>
              <w:bottom w:val="single" w:sz="8" w:space="0" w:color="auto"/>
              <w:right w:val="single" w:sz="8" w:space="0" w:color="auto"/>
            </w:tcBorders>
            <w:shd w:val="clear" w:color="000000" w:fill="E7E6E6"/>
            <w:noWrap/>
            <w:vAlign w:val="center"/>
          </w:tcPr>
          <w:p w14:paraId="33BF9981" w14:textId="532F527A" w:rsidR="005A316C" w:rsidRPr="008D4BE6" w:rsidRDefault="005A316C"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No PORF</w:t>
            </w:r>
          </w:p>
        </w:tc>
        <w:tc>
          <w:tcPr>
            <w:tcW w:w="1027" w:type="pct"/>
            <w:tcBorders>
              <w:top w:val="nil"/>
              <w:left w:val="nil"/>
              <w:bottom w:val="single" w:sz="8" w:space="0" w:color="auto"/>
              <w:right w:val="single" w:sz="8" w:space="0" w:color="auto"/>
            </w:tcBorders>
            <w:shd w:val="clear" w:color="000000" w:fill="E7E6E6"/>
            <w:noWrap/>
            <w:vAlign w:val="center"/>
          </w:tcPr>
          <w:p w14:paraId="5870A907" w14:textId="7C765B1C" w:rsidR="005A316C" w:rsidRPr="008D4BE6" w:rsidRDefault="005A316C"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Yes PORF</w:t>
            </w:r>
          </w:p>
        </w:tc>
        <w:tc>
          <w:tcPr>
            <w:tcW w:w="924" w:type="pct"/>
            <w:tcBorders>
              <w:top w:val="nil"/>
              <w:left w:val="nil"/>
              <w:bottom w:val="single" w:sz="8" w:space="0" w:color="auto"/>
              <w:right w:val="single" w:sz="8" w:space="0" w:color="auto"/>
            </w:tcBorders>
            <w:shd w:val="clear" w:color="000000" w:fill="E7E6E6"/>
            <w:noWrap/>
            <w:vAlign w:val="center"/>
          </w:tcPr>
          <w:p w14:paraId="75115019" w14:textId="77777777" w:rsidR="005A316C" w:rsidRPr="008D4BE6" w:rsidRDefault="005A316C" w:rsidP="005B68AC">
            <w:pPr>
              <w:spacing w:line="240" w:lineRule="auto"/>
              <w:rPr>
                <w:rFonts w:asciiTheme="majorBidi" w:eastAsia="Times New Roman" w:hAnsiTheme="majorBidi" w:cstheme="majorBidi"/>
                <w:color w:val="000000"/>
                <w:sz w:val="20"/>
                <w:szCs w:val="20"/>
                <w:lang w:val="en-US"/>
              </w:rPr>
            </w:pPr>
          </w:p>
        </w:tc>
        <w:tc>
          <w:tcPr>
            <w:tcW w:w="442" w:type="pct"/>
            <w:tcBorders>
              <w:top w:val="nil"/>
              <w:left w:val="nil"/>
              <w:bottom w:val="single" w:sz="8" w:space="0" w:color="auto"/>
              <w:right w:val="single" w:sz="8" w:space="0" w:color="auto"/>
            </w:tcBorders>
            <w:shd w:val="clear" w:color="000000" w:fill="E7E6E6"/>
            <w:vAlign w:val="center"/>
          </w:tcPr>
          <w:p w14:paraId="343AD820" w14:textId="77777777" w:rsidR="005A316C" w:rsidRPr="008D4BE6" w:rsidRDefault="005A316C" w:rsidP="005B68AC">
            <w:pPr>
              <w:spacing w:line="240" w:lineRule="auto"/>
              <w:rPr>
                <w:rFonts w:asciiTheme="majorBidi" w:eastAsia="Times New Roman" w:hAnsiTheme="majorBidi" w:cstheme="majorBidi"/>
                <w:color w:val="000000"/>
                <w:sz w:val="20"/>
                <w:szCs w:val="20"/>
                <w:lang w:val="en-US"/>
              </w:rPr>
            </w:pPr>
          </w:p>
        </w:tc>
      </w:tr>
      <w:tr w:rsidR="005A316C" w:rsidRPr="008D4BE6" w14:paraId="124DC8A4" w14:textId="77777777" w:rsidTr="00A54D78">
        <w:trPr>
          <w:trHeight w:val="605"/>
        </w:trPr>
        <w:tc>
          <w:tcPr>
            <w:tcW w:w="1580" w:type="pct"/>
            <w:vMerge/>
            <w:tcBorders>
              <w:left w:val="single" w:sz="8" w:space="0" w:color="auto"/>
              <w:bottom w:val="single" w:sz="8" w:space="0" w:color="auto"/>
              <w:right w:val="single" w:sz="8" w:space="0" w:color="auto"/>
            </w:tcBorders>
            <w:shd w:val="clear" w:color="000000" w:fill="E7E6E6"/>
            <w:noWrap/>
            <w:vAlign w:val="center"/>
            <w:hideMark/>
          </w:tcPr>
          <w:p w14:paraId="6A492271" w14:textId="60C176F0" w:rsidR="005A316C" w:rsidRPr="008D4BE6" w:rsidRDefault="005A316C" w:rsidP="005B68AC">
            <w:pPr>
              <w:spacing w:line="240" w:lineRule="auto"/>
              <w:rPr>
                <w:rFonts w:asciiTheme="majorBidi" w:eastAsia="Times New Roman" w:hAnsiTheme="majorBidi" w:cstheme="majorBidi"/>
                <w:color w:val="000000"/>
                <w:sz w:val="20"/>
                <w:szCs w:val="20"/>
                <w:lang w:val="en-US"/>
              </w:rPr>
            </w:pPr>
          </w:p>
        </w:tc>
        <w:tc>
          <w:tcPr>
            <w:tcW w:w="1026" w:type="pct"/>
            <w:tcBorders>
              <w:top w:val="nil"/>
              <w:left w:val="nil"/>
              <w:bottom w:val="single" w:sz="8" w:space="0" w:color="auto"/>
              <w:right w:val="single" w:sz="8" w:space="0" w:color="auto"/>
            </w:tcBorders>
            <w:shd w:val="clear" w:color="000000" w:fill="E7E6E6"/>
            <w:noWrap/>
            <w:vAlign w:val="center"/>
            <w:hideMark/>
          </w:tcPr>
          <w:p w14:paraId="12BB31E1" w14:textId="466F40C5" w:rsidR="005A316C" w:rsidRPr="008D4BE6" w:rsidRDefault="005A316C" w:rsidP="00EF22B2">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N (column%, row %) </w:t>
            </w:r>
          </w:p>
        </w:tc>
        <w:tc>
          <w:tcPr>
            <w:tcW w:w="1027" w:type="pct"/>
            <w:tcBorders>
              <w:top w:val="nil"/>
              <w:left w:val="nil"/>
              <w:bottom w:val="single" w:sz="8" w:space="0" w:color="auto"/>
              <w:right w:val="single" w:sz="8" w:space="0" w:color="auto"/>
            </w:tcBorders>
            <w:shd w:val="clear" w:color="000000" w:fill="E7E6E6"/>
            <w:noWrap/>
            <w:vAlign w:val="center"/>
            <w:hideMark/>
          </w:tcPr>
          <w:p w14:paraId="32753CA3" w14:textId="39745799" w:rsidR="005A316C" w:rsidRPr="008D4BE6" w:rsidRDefault="005A316C" w:rsidP="002D3B28">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N (column%, row%)</w:t>
            </w:r>
          </w:p>
        </w:tc>
        <w:tc>
          <w:tcPr>
            <w:tcW w:w="924" w:type="pct"/>
            <w:tcBorders>
              <w:top w:val="nil"/>
              <w:left w:val="nil"/>
              <w:bottom w:val="single" w:sz="8" w:space="0" w:color="auto"/>
              <w:right w:val="single" w:sz="8" w:space="0" w:color="auto"/>
            </w:tcBorders>
            <w:shd w:val="clear" w:color="000000" w:fill="E7E6E6"/>
            <w:noWrap/>
            <w:vAlign w:val="center"/>
            <w:hideMark/>
          </w:tcPr>
          <w:p w14:paraId="56A40005" w14:textId="2FBF62D0" w:rsidR="005A316C" w:rsidRPr="008D4BE6" w:rsidRDefault="005A316C"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OR (95%CI)</w:t>
            </w:r>
          </w:p>
        </w:tc>
        <w:tc>
          <w:tcPr>
            <w:tcW w:w="442" w:type="pct"/>
            <w:tcBorders>
              <w:top w:val="nil"/>
              <w:left w:val="nil"/>
              <w:bottom w:val="single" w:sz="8" w:space="0" w:color="auto"/>
              <w:right w:val="single" w:sz="8" w:space="0" w:color="auto"/>
            </w:tcBorders>
            <w:shd w:val="clear" w:color="000000" w:fill="E7E6E6"/>
            <w:vAlign w:val="center"/>
            <w:hideMark/>
          </w:tcPr>
          <w:p w14:paraId="6CA1B29B" w14:textId="1775B5C4" w:rsidR="005A316C" w:rsidRPr="008D4BE6" w:rsidRDefault="00A54D78" w:rsidP="005B68AC">
            <w:pPr>
              <w:spacing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w:t>
            </w:r>
            <w:r w:rsidR="005A316C" w:rsidRPr="008D4BE6">
              <w:rPr>
                <w:rFonts w:asciiTheme="majorBidi" w:eastAsia="Times New Roman" w:hAnsiTheme="majorBidi" w:cstheme="majorBidi"/>
                <w:color w:val="000000"/>
                <w:sz w:val="20"/>
                <w:szCs w:val="20"/>
                <w:lang w:val="en-US"/>
              </w:rPr>
              <w:t>-value</w:t>
            </w:r>
          </w:p>
        </w:tc>
      </w:tr>
      <w:tr w:rsidR="00470263" w:rsidRPr="008D4BE6" w14:paraId="4966D27D"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4D16F77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Gender</w:t>
            </w:r>
          </w:p>
        </w:tc>
        <w:tc>
          <w:tcPr>
            <w:tcW w:w="1026" w:type="pct"/>
            <w:tcBorders>
              <w:top w:val="nil"/>
              <w:left w:val="nil"/>
              <w:bottom w:val="single" w:sz="8" w:space="0" w:color="auto"/>
              <w:right w:val="single" w:sz="8" w:space="0" w:color="auto"/>
            </w:tcBorders>
            <w:shd w:val="clear" w:color="auto" w:fill="auto"/>
            <w:noWrap/>
            <w:vAlign w:val="center"/>
            <w:hideMark/>
          </w:tcPr>
          <w:p w14:paraId="051FAF47"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2B93E89F"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644FED95"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695A547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55441DE8"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08A5D1E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Male</w:t>
            </w:r>
          </w:p>
        </w:tc>
        <w:tc>
          <w:tcPr>
            <w:tcW w:w="1026" w:type="pct"/>
            <w:tcBorders>
              <w:top w:val="nil"/>
              <w:left w:val="nil"/>
              <w:bottom w:val="single" w:sz="8" w:space="0" w:color="auto"/>
              <w:right w:val="single" w:sz="8" w:space="0" w:color="auto"/>
            </w:tcBorders>
            <w:shd w:val="clear" w:color="auto" w:fill="auto"/>
            <w:noWrap/>
            <w:vAlign w:val="center"/>
            <w:hideMark/>
          </w:tcPr>
          <w:p w14:paraId="5C72C2F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8195 (57.62, 97.52)</w:t>
            </w:r>
          </w:p>
        </w:tc>
        <w:tc>
          <w:tcPr>
            <w:tcW w:w="1027" w:type="pct"/>
            <w:tcBorders>
              <w:top w:val="nil"/>
              <w:left w:val="nil"/>
              <w:bottom w:val="single" w:sz="8" w:space="0" w:color="auto"/>
              <w:right w:val="single" w:sz="8" w:space="0" w:color="auto"/>
            </w:tcBorders>
            <w:shd w:val="clear" w:color="auto" w:fill="auto"/>
            <w:noWrap/>
            <w:vAlign w:val="center"/>
            <w:hideMark/>
          </w:tcPr>
          <w:p w14:paraId="39AD759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208 (70.27, 2.48)</w:t>
            </w:r>
          </w:p>
        </w:tc>
        <w:tc>
          <w:tcPr>
            <w:tcW w:w="924" w:type="pct"/>
            <w:tcBorders>
              <w:top w:val="nil"/>
              <w:left w:val="nil"/>
              <w:bottom w:val="single" w:sz="8" w:space="0" w:color="auto"/>
              <w:right w:val="single" w:sz="8" w:space="0" w:color="auto"/>
            </w:tcBorders>
            <w:shd w:val="clear" w:color="auto" w:fill="auto"/>
            <w:noWrap/>
            <w:vAlign w:val="center"/>
            <w:hideMark/>
          </w:tcPr>
          <w:p w14:paraId="4E84D3C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58BC924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47C93704"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313C3A0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Female</w:t>
            </w:r>
          </w:p>
        </w:tc>
        <w:tc>
          <w:tcPr>
            <w:tcW w:w="1026" w:type="pct"/>
            <w:tcBorders>
              <w:top w:val="nil"/>
              <w:left w:val="nil"/>
              <w:bottom w:val="single" w:sz="8" w:space="0" w:color="auto"/>
              <w:right w:val="single" w:sz="8" w:space="0" w:color="auto"/>
            </w:tcBorders>
            <w:shd w:val="clear" w:color="auto" w:fill="auto"/>
            <w:noWrap/>
            <w:vAlign w:val="center"/>
            <w:hideMark/>
          </w:tcPr>
          <w:p w14:paraId="6E8A015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6028 (42.38, 98.56)</w:t>
            </w:r>
          </w:p>
        </w:tc>
        <w:tc>
          <w:tcPr>
            <w:tcW w:w="1027" w:type="pct"/>
            <w:tcBorders>
              <w:top w:val="nil"/>
              <w:left w:val="nil"/>
              <w:bottom w:val="single" w:sz="8" w:space="0" w:color="auto"/>
              <w:right w:val="single" w:sz="8" w:space="0" w:color="auto"/>
            </w:tcBorders>
            <w:shd w:val="clear" w:color="auto" w:fill="auto"/>
            <w:noWrap/>
            <w:vAlign w:val="center"/>
            <w:hideMark/>
          </w:tcPr>
          <w:p w14:paraId="3F6263A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88 (29.73, 1.44)</w:t>
            </w:r>
          </w:p>
        </w:tc>
        <w:tc>
          <w:tcPr>
            <w:tcW w:w="924" w:type="pct"/>
            <w:tcBorders>
              <w:top w:val="nil"/>
              <w:left w:val="nil"/>
              <w:bottom w:val="single" w:sz="8" w:space="0" w:color="auto"/>
              <w:right w:val="single" w:sz="8" w:space="0" w:color="auto"/>
            </w:tcBorders>
            <w:shd w:val="clear" w:color="auto" w:fill="auto"/>
            <w:noWrap/>
            <w:vAlign w:val="center"/>
            <w:hideMark/>
          </w:tcPr>
          <w:p w14:paraId="3C962A6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0.575 (0.447, 0.74)</w:t>
            </w:r>
          </w:p>
        </w:tc>
        <w:tc>
          <w:tcPr>
            <w:tcW w:w="442" w:type="pct"/>
            <w:tcBorders>
              <w:top w:val="nil"/>
              <w:left w:val="nil"/>
              <w:bottom w:val="single" w:sz="8" w:space="0" w:color="auto"/>
              <w:right w:val="single" w:sz="8" w:space="0" w:color="auto"/>
            </w:tcBorders>
            <w:shd w:val="clear" w:color="auto" w:fill="auto"/>
            <w:vAlign w:val="center"/>
            <w:hideMark/>
          </w:tcPr>
          <w:p w14:paraId="67E498D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61A7C994"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0D50816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Race</w:t>
            </w:r>
          </w:p>
        </w:tc>
        <w:tc>
          <w:tcPr>
            <w:tcW w:w="1026" w:type="pct"/>
            <w:tcBorders>
              <w:top w:val="nil"/>
              <w:left w:val="nil"/>
              <w:bottom w:val="single" w:sz="8" w:space="0" w:color="auto"/>
              <w:right w:val="single" w:sz="8" w:space="0" w:color="auto"/>
            </w:tcBorders>
            <w:shd w:val="clear" w:color="auto" w:fill="auto"/>
            <w:noWrap/>
            <w:vAlign w:val="center"/>
            <w:hideMark/>
          </w:tcPr>
          <w:p w14:paraId="648103F0"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4480FEE1"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23BEDEC6"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6C750E0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0.031</w:t>
            </w:r>
          </w:p>
        </w:tc>
      </w:tr>
      <w:tr w:rsidR="00470263" w:rsidRPr="008D4BE6" w14:paraId="38A5A800"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7CED250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White</w:t>
            </w:r>
          </w:p>
        </w:tc>
        <w:tc>
          <w:tcPr>
            <w:tcW w:w="1026" w:type="pct"/>
            <w:tcBorders>
              <w:top w:val="nil"/>
              <w:left w:val="nil"/>
              <w:bottom w:val="single" w:sz="8" w:space="0" w:color="auto"/>
              <w:right w:val="single" w:sz="8" w:space="0" w:color="auto"/>
            </w:tcBorders>
            <w:shd w:val="clear" w:color="auto" w:fill="auto"/>
            <w:noWrap/>
            <w:vAlign w:val="center"/>
            <w:hideMark/>
          </w:tcPr>
          <w:p w14:paraId="30B27DD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11032 (77.56, 97.99)</w:t>
            </w:r>
          </w:p>
        </w:tc>
        <w:tc>
          <w:tcPr>
            <w:tcW w:w="1027" w:type="pct"/>
            <w:tcBorders>
              <w:top w:val="nil"/>
              <w:left w:val="nil"/>
              <w:bottom w:val="single" w:sz="8" w:space="0" w:color="auto"/>
              <w:right w:val="single" w:sz="8" w:space="0" w:color="auto"/>
            </w:tcBorders>
            <w:shd w:val="clear" w:color="auto" w:fill="auto"/>
            <w:noWrap/>
            <w:vAlign w:val="center"/>
            <w:hideMark/>
          </w:tcPr>
          <w:p w14:paraId="4A91B9E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226 (76.35, 2.01)</w:t>
            </w:r>
          </w:p>
        </w:tc>
        <w:tc>
          <w:tcPr>
            <w:tcW w:w="924" w:type="pct"/>
            <w:tcBorders>
              <w:top w:val="nil"/>
              <w:left w:val="nil"/>
              <w:bottom w:val="single" w:sz="8" w:space="0" w:color="auto"/>
              <w:right w:val="single" w:sz="8" w:space="0" w:color="auto"/>
            </w:tcBorders>
            <w:shd w:val="clear" w:color="auto" w:fill="auto"/>
            <w:noWrap/>
            <w:vAlign w:val="center"/>
            <w:hideMark/>
          </w:tcPr>
          <w:p w14:paraId="5396B4B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57A0388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0B16EE14"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462AE5B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Black</w:t>
            </w:r>
          </w:p>
        </w:tc>
        <w:tc>
          <w:tcPr>
            <w:tcW w:w="1026" w:type="pct"/>
            <w:tcBorders>
              <w:top w:val="nil"/>
              <w:left w:val="nil"/>
              <w:bottom w:val="single" w:sz="8" w:space="0" w:color="auto"/>
              <w:right w:val="single" w:sz="8" w:space="0" w:color="auto"/>
            </w:tcBorders>
            <w:shd w:val="clear" w:color="auto" w:fill="auto"/>
            <w:noWrap/>
            <w:vAlign w:val="center"/>
            <w:hideMark/>
          </w:tcPr>
          <w:p w14:paraId="76BC400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924 (6.5, 96.86)</w:t>
            </w:r>
          </w:p>
        </w:tc>
        <w:tc>
          <w:tcPr>
            <w:tcW w:w="1027" w:type="pct"/>
            <w:tcBorders>
              <w:top w:val="nil"/>
              <w:left w:val="nil"/>
              <w:bottom w:val="single" w:sz="8" w:space="0" w:color="auto"/>
              <w:right w:val="single" w:sz="8" w:space="0" w:color="auto"/>
            </w:tcBorders>
            <w:shd w:val="clear" w:color="auto" w:fill="auto"/>
            <w:noWrap/>
            <w:vAlign w:val="center"/>
            <w:hideMark/>
          </w:tcPr>
          <w:p w14:paraId="2EF21C0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30 (10.14, 3.14)</w:t>
            </w:r>
          </w:p>
        </w:tc>
        <w:tc>
          <w:tcPr>
            <w:tcW w:w="924" w:type="pct"/>
            <w:tcBorders>
              <w:top w:val="nil"/>
              <w:left w:val="nil"/>
              <w:bottom w:val="single" w:sz="8" w:space="0" w:color="auto"/>
              <w:right w:val="single" w:sz="8" w:space="0" w:color="auto"/>
            </w:tcBorders>
            <w:shd w:val="clear" w:color="auto" w:fill="auto"/>
            <w:noWrap/>
            <w:vAlign w:val="center"/>
            <w:hideMark/>
          </w:tcPr>
          <w:p w14:paraId="1928E76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1.585 (1.077, 2.333)</w:t>
            </w:r>
          </w:p>
        </w:tc>
        <w:tc>
          <w:tcPr>
            <w:tcW w:w="442" w:type="pct"/>
            <w:tcBorders>
              <w:top w:val="nil"/>
              <w:left w:val="nil"/>
              <w:bottom w:val="single" w:sz="8" w:space="0" w:color="auto"/>
              <w:right w:val="single" w:sz="8" w:space="0" w:color="auto"/>
            </w:tcBorders>
            <w:shd w:val="clear" w:color="auto" w:fill="auto"/>
            <w:vAlign w:val="center"/>
            <w:hideMark/>
          </w:tcPr>
          <w:p w14:paraId="5142CF4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4B2F66B8"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09B81E7B"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Other</w:t>
            </w:r>
            <w:r w:rsidRPr="008D4BE6">
              <w:rPr>
                <w:rFonts w:asciiTheme="majorBidi" w:eastAsia="Times New Roman" w:hAnsiTheme="majorBidi" w:cstheme="majorBidi"/>
                <w:color w:val="000000"/>
                <w:sz w:val="20"/>
                <w:szCs w:val="20"/>
                <w:cs/>
                <w:lang w:val="en-US"/>
              </w:rPr>
              <w:t>‎</w:t>
            </w:r>
            <w:r w:rsidRPr="008D4BE6">
              <w:rPr>
                <w:rFonts w:asciiTheme="majorBidi" w:eastAsia="Times New Roman" w:hAnsiTheme="majorBidi" w:cstheme="majorBidi"/>
                <w:color w:val="000000"/>
                <w:sz w:val="20"/>
                <w:szCs w:val="20"/>
                <w:lang w:val="en-US"/>
              </w:rPr>
              <w:t>/Unknown</w:t>
            </w:r>
          </w:p>
        </w:tc>
        <w:tc>
          <w:tcPr>
            <w:tcW w:w="1026" w:type="pct"/>
            <w:tcBorders>
              <w:top w:val="nil"/>
              <w:left w:val="nil"/>
              <w:bottom w:val="single" w:sz="8" w:space="0" w:color="auto"/>
              <w:right w:val="single" w:sz="8" w:space="0" w:color="auto"/>
            </w:tcBorders>
            <w:shd w:val="clear" w:color="auto" w:fill="auto"/>
            <w:noWrap/>
            <w:vAlign w:val="center"/>
            <w:hideMark/>
          </w:tcPr>
          <w:p w14:paraId="7776046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2267 (15.94, 98.27)</w:t>
            </w:r>
          </w:p>
        </w:tc>
        <w:tc>
          <w:tcPr>
            <w:tcW w:w="1027" w:type="pct"/>
            <w:tcBorders>
              <w:top w:val="nil"/>
              <w:left w:val="nil"/>
              <w:bottom w:val="single" w:sz="8" w:space="0" w:color="auto"/>
              <w:right w:val="single" w:sz="8" w:space="0" w:color="auto"/>
            </w:tcBorders>
            <w:shd w:val="clear" w:color="auto" w:fill="auto"/>
            <w:noWrap/>
            <w:vAlign w:val="center"/>
            <w:hideMark/>
          </w:tcPr>
          <w:p w14:paraId="0594250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40 (13.51, 1.73)</w:t>
            </w:r>
          </w:p>
        </w:tc>
        <w:tc>
          <w:tcPr>
            <w:tcW w:w="924" w:type="pct"/>
            <w:tcBorders>
              <w:top w:val="nil"/>
              <w:left w:val="nil"/>
              <w:bottom w:val="single" w:sz="8" w:space="0" w:color="auto"/>
              <w:right w:val="single" w:sz="8" w:space="0" w:color="auto"/>
            </w:tcBorders>
            <w:shd w:val="clear" w:color="auto" w:fill="auto"/>
            <w:noWrap/>
            <w:vAlign w:val="center"/>
            <w:hideMark/>
          </w:tcPr>
          <w:p w14:paraId="1F5D8B8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0.861 (0.614, 1.209)</w:t>
            </w:r>
          </w:p>
        </w:tc>
        <w:tc>
          <w:tcPr>
            <w:tcW w:w="442" w:type="pct"/>
            <w:tcBorders>
              <w:top w:val="nil"/>
              <w:left w:val="nil"/>
              <w:bottom w:val="single" w:sz="8" w:space="0" w:color="auto"/>
              <w:right w:val="single" w:sz="8" w:space="0" w:color="auto"/>
            </w:tcBorders>
            <w:shd w:val="clear" w:color="auto" w:fill="auto"/>
            <w:vAlign w:val="center"/>
            <w:hideMark/>
          </w:tcPr>
          <w:p w14:paraId="62BEC24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68687C8C"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74848DA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Ethnicity</w:t>
            </w:r>
          </w:p>
        </w:tc>
        <w:tc>
          <w:tcPr>
            <w:tcW w:w="1026" w:type="pct"/>
            <w:tcBorders>
              <w:top w:val="nil"/>
              <w:left w:val="nil"/>
              <w:bottom w:val="single" w:sz="8" w:space="0" w:color="auto"/>
              <w:right w:val="single" w:sz="8" w:space="0" w:color="auto"/>
            </w:tcBorders>
            <w:shd w:val="clear" w:color="auto" w:fill="auto"/>
            <w:noWrap/>
            <w:vAlign w:val="center"/>
            <w:hideMark/>
          </w:tcPr>
          <w:p w14:paraId="1C3A9C87"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0F93B9B1"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31477C31"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1E7422D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56930563"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0B7EF1C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Non-Hispanic</w:t>
            </w:r>
          </w:p>
        </w:tc>
        <w:tc>
          <w:tcPr>
            <w:tcW w:w="1026" w:type="pct"/>
            <w:tcBorders>
              <w:top w:val="nil"/>
              <w:left w:val="nil"/>
              <w:bottom w:val="single" w:sz="8" w:space="0" w:color="auto"/>
              <w:right w:val="single" w:sz="8" w:space="0" w:color="auto"/>
            </w:tcBorders>
            <w:shd w:val="clear" w:color="auto" w:fill="auto"/>
            <w:noWrap/>
            <w:vAlign w:val="center"/>
            <w:hideMark/>
          </w:tcPr>
          <w:p w14:paraId="200E673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13245 (93.12, 97.92)</w:t>
            </w:r>
          </w:p>
        </w:tc>
        <w:tc>
          <w:tcPr>
            <w:tcW w:w="1027" w:type="pct"/>
            <w:tcBorders>
              <w:top w:val="nil"/>
              <w:left w:val="nil"/>
              <w:bottom w:val="single" w:sz="8" w:space="0" w:color="auto"/>
              <w:right w:val="single" w:sz="8" w:space="0" w:color="auto"/>
            </w:tcBorders>
            <w:shd w:val="clear" w:color="auto" w:fill="auto"/>
            <w:noWrap/>
            <w:vAlign w:val="center"/>
            <w:hideMark/>
          </w:tcPr>
          <w:p w14:paraId="639A6F7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282 (95.27, 2.08)</w:t>
            </w:r>
          </w:p>
        </w:tc>
        <w:tc>
          <w:tcPr>
            <w:tcW w:w="924" w:type="pct"/>
            <w:tcBorders>
              <w:top w:val="nil"/>
              <w:left w:val="nil"/>
              <w:bottom w:val="single" w:sz="8" w:space="0" w:color="auto"/>
              <w:right w:val="single" w:sz="8" w:space="0" w:color="auto"/>
            </w:tcBorders>
            <w:shd w:val="clear" w:color="auto" w:fill="auto"/>
            <w:noWrap/>
            <w:vAlign w:val="center"/>
            <w:hideMark/>
          </w:tcPr>
          <w:p w14:paraId="36B3E55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2E7195F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693ED28F"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61428CF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Hispanic</w:t>
            </w:r>
          </w:p>
        </w:tc>
        <w:tc>
          <w:tcPr>
            <w:tcW w:w="1026" w:type="pct"/>
            <w:tcBorders>
              <w:top w:val="nil"/>
              <w:left w:val="nil"/>
              <w:bottom w:val="single" w:sz="8" w:space="0" w:color="auto"/>
              <w:right w:val="single" w:sz="8" w:space="0" w:color="auto"/>
            </w:tcBorders>
            <w:shd w:val="clear" w:color="auto" w:fill="auto"/>
            <w:noWrap/>
            <w:vAlign w:val="center"/>
            <w:hideMark/>
          </w:tcPr>
          <w:p w14:paraId="5125DB8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978 (6.88, 98.59)</w:t>
            </w:r>
          </w:p>
        </w:tc>
        <w:tc>
          <w:tcPr>
            <w:tcW w:w="1027" w:type="pct"/>
            <w:tcBorders>
              <w:top w:val="nil"/>
              <w:left w:val="nil"/>
              <w:bottom w:val="single" w:sz="8" w:space="0" w:color="auto"/>
              <w:right w:val="single" w:sz="8" w:space="0" w:color="auto"/>
            </w:tcBorders>
            <w:shd w:val="clear" w:color="auto" w:fill="auto"/>
            <w:noWrap/>
            <w:vAlign w:val="center"/>
            <w:hideMark/>
          </w:tcPr>
          <w:p w14:paraId="3464C6E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14 (4.73, 1.41)</w:t>
            </w:r>
          </w:p>
        </w:tc>
        <w:tc>
          <w:tcPr>
            <w:tcW w:w="924" w:type="pct"/>
            <w:tcBorders>
              <w:top w:val="nil"/>
              <w:left w:val="nil"/>
              <w:bottom w:val="single" w:sz="8" w:space="0" w:color="auto"/>
              <w:right w:val="single" w:sz="8" w:space="0" w:color="auto"/>
            </w:tcBorders>
            <w:shd w:val="clear" w:color="auto" w:fill="auto"/>
            <w:noWrap/>
            <w:vAlign w:val="center"/>
            <w:hideMark/>
          </w:tcPr>
          <w:p w14:paraId="192F707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0.672 (0.392, 1.154)</w:t>
            </w:r>
          </w:p>
        </w:tc>
        <w:tc>
          <w:tcPr>
            <w:tcW w:w="442" w:type="pct"/>
            <w:tcBorders>
              <w:top w:val="nil"/>
              <w:left w:val="nil"/>
              <w:bottom w:val="single" w:sz="8" w:space="0" w:color="auto"/>
              <w:right w:val="single" w:sz="8" w:space="0" w:color="auto"/>
            </w:tcBorders>
            <w:shd w:val="clear" w:color="auto" w:fill="auto"/>
            <w:vAlign w:val="center"/>
            <w:hideMark/>
          </w:tcPr>
          <w:p w14:paraId="4BFAA2A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0.147</w:t>
            </w:r>
          </w:p>
        </w:tc>
      </w:tr>
      <w:tr w:rsidR="00470263" w:rsidRPr="008D4BE6" w14:paraId="3D0BD086"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2A20956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Smoking</w:t>
            </w:r>
          </w:p>
        </w:tc>
        <w:tc>
          <w:tcPr>
            <w:tcW w:w="1026" w:type="pct"/>
            <w:tcBorders>
              <w:top w:val="nil"/>
              <w:left w:val="nil"/>
              <w:bottom w:val="single" w:sz="8" w:space="0" w:color="auto"/>
              <w:right w:val="single" w:sz="8" w:space="0" w:color="auto"/>
            </w:tcBorders>
            <w:shd w:val="clear" w:color="auto" w:fill="auto"/>
            <w:noWrap/>
            <w:vAlign w:val="center"/>
            <w:hideMark/>
          </w:tcPr>
          <w:p w14:paraId="3F0FBDD9"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59F3013A"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5A82EE47"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6BFBFC5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4CB108AA"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094B6C8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2D8FA50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11372 (79.96, 97.81)</w:t>
            </w:r>
          </w:p>
        </w:tc>
        <w:tc>
          <w:tcPr>
            <w:tcW w:w="1027" w:type="pct"/>
            <w:tcBorders>
              <w:top w:val="nil"/>
              <w:left w:val="nil"/>
              <w:bottom w:val="single" w:sz="8" w:space="0" w:color="auto"/>
              <w:right w:val="single" w:sz="8" w:space="0" w:color="auto"/>
            </w:tcBorders>
            <w:shd w:val="clear" w:color="auto" w:fill="auto"/>
            <w:noWrap/>
            <w:vAlign w:val="center"/>
            <w:hideMark/>
          </w:tcPr>
          <w:p w14:paraId="7ABACE8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255 (86.15, 2.19)</w:t>
            </w:r>
          </w:p>
        </w:tc>
        <w:tc>
          <w:tcPr>
            <w:tcW w:w="924" w:type="pct"/>
            <w:tcBorders>
              <w:top w:val="nil"/>
              <w:left w:val="nil"/>
              <w:bottom w:val="single" w:sz="8" w:space="0" w:color="auto"/>
              <w:right w:val="single" w:sz="8" w:space="0" w:color="auto"/>
            </w:tcBorders>
            <w:shd w:val="clear" w:color="auto" w:fill="auto"/>
            <w:noWrap/>
            <w:vAlign w:val="center"/>
            <w:hideMark/>
          </w:tcPr>
          <w:p w14:paraId="6B926B8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6B3433B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641C727D"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3EA62E1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0843C58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2851 (20.04, 98.58)</w:t>
            </w:r>
          </w:p>
        </w:tc>
        <w:tc>
          <w:tcPr>
            <w:tcW w:w="1027" w:type="pct"/>
            <w:tcBorders>
              <w:top w:val="nil"/>
              <w:left w:val="nil"/>
              <w:bottom w:val="single" w:sz="8" w:space="0" w:color="auto"/>
              <w:right w:val="single" w:sz="8" w:space="0" w:color="auto"/>
            </w:tcBorders>
            <w:shd w:val="clear" w:color="auto" w:fill="auto"/>
            <w:noWrap/>
            <w:vAlign w:val="center"/>
            <w:hideMark/>
          </w:tcPr>
          <w:p w14:paraId="2AFDD8A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41 (13.85, 1.42)</w:t>
            </w:r>
          </w:p>
        </w:tc>
        <w:tc>
          <w:tcPr>
            <w:tcW w:w="924" w:type="pct"/>
            <w:tcBorders>
              <w:top w:val="nil"/>
              <w:left w:val="nil"/>
              <w:bottom w:val="single" w:sz="8" w:space="0" w:color="auto"/>
              <w:right w:val="single" w:sz="8" w:space="0" w:color="auto"/>
            </w:tcBorders>
            <w:shd w:val="clear" w:color="auto" w:fill="auto"/>
            <w:noWrap/>
            <w:vAlign w:val="center"/>
            <w:hideMark/>
          </w:tcPr>
          <w:p w14:paraId="676E891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0.641 (0.46, 0.894)</w:t>
            </w:r>
          </w:p>
        </w:tc>
        <w:tc>
          <w:tcPr>
            <w:tcW w:w="442" w:type="pct"/>
            <w:tcBorders>
              <w:top w:val="nil"/>
              <w:left w:val="nil"/>
              <w:bottom w:val="single" w:sz="8" w:space="0" w:color="auto"/>
              <w:right w:val="single" w:sz="8" w:space="0" w:color="auto"/>
            </w:tcBorders>
            <w:shd w:val="clear" w:color="auto" w:fill="auto"/>
            <w:vAlign w:val="center"/>
            <w:hideMark/>
          </w:tcPr>
          <w:p w14:paraId="168E173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0.008</w:t>
            </w:r>
          </w:p>
        </w:tc>
      </w:tr>
      <w:tr w:rsidR="00470263" w:rsidRPr="008D4BE6" w14:paraId="1ACC0E5C"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32610E6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lastRenderedPageBreak/>
              <w:t>ASA class</w:t>
            </w:r>
          </w:p>
        </w:tc>
        <w:tc>
          <w:tcPr>
            <w:tcW w:w="1026" w:type="pct"/>
            <w:tcBorders>
              <w:top w:val="nil"/>
              <w:left w:val="nil"/>
              <w:bottom w:val="single" w:sz="8" w:space="0" w:color="auto"/>
              <w:right w:val="single" w:sz="8" w:space="0" w:color="auto"/>
            </w:tcBorders>
            <w:shd w:val="clear" w:color="auto" w:fill="auto"/>
            <w:noWrap/>
            <w:vAlign w:val="center"/>
            <w:hideMark/>
          </w:tcPr>
          <w:p w14:paraId="5071B1CC"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34BEC40A"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157380D0"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0B21627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2BD221B1"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214F94B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Class I</w:t>
            </w:r>
          </w:p>
        </w:tc>
        <w:tc>
          <w:tcPr>
            <w:tcW w:w="1026" w:type="pct"/>
            <w:tcBorders>
              <w:top w:val="nil"/>
              <w:left w:val="nil"/>
              <w:bottom w:val="single" w:sz="8" w:space="0" w:color="auto"/>
              <w:right w:val="single" w:sz="8" w:space="0" w:color="auto"/>
            </w:tcBorders>
            <w:shd w:val="clear" w:color="auto" w:fill="auto"/>
            <w:noWrap/>
            <w:vAlign w:val="center"/>
            <w:hideMark/>
          </w:tcPr>
          <w:p w14:paraId="0508502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377 (2.65, 100)</w:t>
            </w:r>
          </w:p>
        </w:tc>
        <w:tc>
          <w:tcPr>
            <w:tcW w:w="1027" w:type="pct"/>
            <w:tcBorders>
              <w:top w:val="nil"/>
              <w:left w:val="nil"/>
              <w:bottom w:val="single" w:sz="8" w:space="0" w:color="auto"/>
              <w:right w:val="single" w:sz="8" w:space="0" w:color="auto"/>
            </w:tcBorders>
            <w:shd w:val="clear" w:color="auto" w:fill="auto"/>
            <w:noWrap/>
            <w:vAlign w:val="center"/>
            <w:hideMark/>
          </w:tcPr>
          <w:p w14:paraId="2AF69ED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 (0, 0)</w:t>
            </w:r>
          </w:p>
        </w:tc>
        <w:tc>
          <w:tcPr>
            <w:tcW w:w="924" w:type="pct"/>
            <w:tcBorders>
              <w:top w:val="nil"/>
              <w:left w:val="nil"/>
              <w:bottom w:val="single" w:sz="8" w:space="0" w:color="auto"/>
              <w:right w:val="single" w:sz="8" w:space="0" w:color="auto"/>
            </w:tcBorders>
            <w:shd w:val="clear" w:color="auto" w:fill="auto"/>
            <w:noWrap/>
            <w:vAlign w:val="center"/>
            <w:hideMark/>
          </w:tcPr>
          <w:p w14:paraId="52384EF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N/A</w:t>
            </w:r>
          </w:p>
        </w:tc>
        <w:tc>
          <w:tcPr>
            <w:tcW w:w="442" w:type="pct"/>
            <w:tcBorders>
              <w:top w:val="nil"/>
              <w:left w:val="nil"/>
              <w:bottom w:val="single" w:sz="8" w:space="0" w:color="auto"/>
              <w:right w:val="single" w:sz="8" w:space="0" w:color="auto"/>
            </w:tcBorders>
            <w:shd w:val="clear" w:color="auto" w:fill="auto"/>
            <w:vAlign w:val="center"/>
            <w:hideMark/>
          </w:tcPr>
          <w:p w14:paraId="5539F75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29ABCA1A"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3763446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Class II</w:t>
            </w:r>
          </w:p>
        </w:tc>
        <w:tc>
          <w:tcPr>
            <w:tcW w:w="1026" w:type="pct"/>
            <w:tcBorders>
              <w:top w:val="nil"/>
              <w:left w:val="nil"/>
              <w:bottom w:val="single" w:sz="8" w:space="0" w:color="auto"/>
              <w:right w:val="single" w:sz="8" w:space="0" w:color="auto"/>
            </w:tcBorders>
            <w:shd w:val="clear" w:color="auto" w:fill="auto"/>
            <w:noWrap/>
            <w:vAlign w:val="center"/>
            <w:hideMark/>
          </w:tcPr>
          <w:p w14:paraId="76446A6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5083 (35.74, 99.16)</w:t>
            </w:r>
          </w:p>
        </w:tc>
        <w:tc>
          <w:tcPr>
            <w:tcW w:w="1027" w:type="pct"/>
            <w:tcBorders>
              <w:top w:val="nil"/>
              <w:left w:val="nil"/>
              <w:bottom w:val="single" w:sz="8" w:space="0" w:color="auto"/>
              <w:right w:val="single" w:sz="8" w:space="0" w:color="auto"/>
            </w:tcBorders>
            <w:shd w:val="clear" w:color="auto" w:fill="auto"/>
            <w:noWrap/>
            <w:vAlign w:val="center"/>
            <w:hideMark/>
          </w:tcPr>
          <w:p w14:paraId="39B3C23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43 (14.53, 0.84)</w:t>
            </w:r>
          </w:p>
        </w:tc>
        <w:tc>
          <w:tcPr>
            <w:tcW w:w="924" w:type="pct"/>
            <w:tcBorders>
              <w:top w:val="nil"/>
              <w:left w:val="nil"/>
              <w:bottom w:val="single" w:sz="8" w:space="0" w:color="auto"/>
              <w:right w:val="single" w:sz="8" w:space="0" w:color="auto"/>
            </w:tcBorders>
            <w:shd w:val="clear" w:color="auto" w:fill="auto"/>
            <w:noWrap/>
            <w:vAlign w:val="center"/>
            <w:hideMark/>
          </w:tcPr>
          <w:p w14:paraId="402ECA7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0.143 (0.094, 0.218)</w:t>
            </w:r>
          </w:p>
        </w:tc>
        <w:tc>
          <w:tcPr>
            <w:tcW w:w="442" w:type="pct"/>
            <w:tcBorders>
              <w:top w:val="nil"/>
              <w:left w:val="nil"/>
              <w:bottom w:val="single" w:sz="8" w:space="0" w:color="auto"/>
              <w:right w:val="single" w:sz="8" w:space="0" w:color="auto"/>
            </w:tcBorders>
            <w:shd w:val="clear" w:color="auto" w:fill="auto"/>
            <w:vAlign w:val="center"/>
            <w:hideMark/>
          </w:tcPr>
          <w:p w14:paraId="5E1A153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28B648A8"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3E74FDF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Class III</w:t>
            </w:r>
          </w:p>
        </w:tc>
        <w:tc>
          <w:tcPr>
            <w:tcW w:w="1026" w:type="pct"/>
            <w:tcBorders>
              <w:top w:val="nil"/>
              <w:left w:val="nil"/>
              <w:bottom w:val="single" w:sz="8" w:space="0" w:color="auto"/>
              <w:right w:val="single" w:sz="8" w:space="0" w:color="auto"/>
            </w:tcBorders>
            <w:shd w:val="clear" w:color="auto" w:fill="auto"/>
            <w:noWrap/>
            <w:vAlign w:val="center"/>
            <w:hideMark/>
          </w:tcPr>
          <w:p w14:paraId="2940DC1B"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7968 (56.02, 97.48)</w:t>
            </w:r>
          </w:p>
        </w:tc>
        <w:tc>
          <w:tcPr>
            <w:tcW w:w="1027" w:type="pct"/>
            <w:tcBorders>
              <w:top w:val="nil"/>
              <w:left w:val="nil"/>
              <w:bottom w:val="single" w:sz="8" w:space="0" w:color="auto"/>
              <w:right w:val="single" w:sz="8" w:space="0" w:color="auto"/>
            </w:tcBorders>
            <w:shd w:val="clear" w:color="auto" w:fill="auto"/>
            <w:noWrap/>
            <w:vAlign w:val="center"/>
            <w:hideMark/>
          </w:tcPr>
          <w:p w14:paraId="3848C1B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206 (69.59, 2.52)</w:t>
            </w:r>
          </w:p>
        </w:tc>
        <w:tc>
          <w:tcPr>
            <w:tcW w:w="924" w:type="pct"/>
            <w:tcBorders>
              <w:top w:val="nil"/>
              <w:left w:val="nil"/>
              <w:bottom w:val="single" w:sz="8" w:space="0" w:color="auto"/>
              <w:right w:val="single" w:sz="8" w:space="0" w:color="auto"/>
            </w:tcBorders>
            <w:shd w:val="clear" w:color="auto" w:fill="auto"/>
            <w:noWrap/>
            <w:vAlign w:val="center"/>
            <w:hideMark/>
          </w:tcPr>
          <w:p w14:paraId="5A3B5A8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0.437 (0.316, 0.605)</w:t>
            </w:r>
          </w:p>
        </w:tc>
        <w:tc>
          <w:tcPr>
            <w:tcW w:w="442" w:type="pct"/>
            <w:tcBorders>
              <w:top w:val="nil"/>
              <w:left w:val="nil"/>
              <w:bottom w:val="single" w:sz="8" w:space="0" w:color="auto"/>
              <w:right w:val="single" w:sz="8" w:space="0" w:color="auto"/>
            </w:tcBorders>
            <w:shd w:val="clear" w:color="auto" w:fill="auto"/>
            <w:vAlign w:val="center"/>
            <w:hideMark/>
          </w:tcPr>
          <w:p w14:paraId="320C9B8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483471AC"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740E0F9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Class IV or V</w:t>
            </w:r>
          </w:p>
        </w:tc>
        <w:tc>
          <w:tcPr>
            <w:tcW w:w="1026" w:type="pct"/>
            <w:tcBorders>
              <w:top w:val="nil"/>
              <w:left w:val="nil"/>
              <w:bottom w:val="single" w:sz="8" w:space="0" w:color="auto"/>
              <w:right w:val="single" w:sz="8" w:space="0" w:color="auto"/>
            </w:tcBorders>
            <w:shd w:val="clear" w:color="auto" w:fill="auto"/>
            <w:noWrap/>
            <w:vAlign w:val="center"/>
            <w:hideMark/>
          </w:tcPr>
          <w:p w14:paraId="5A7A489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795 (5.59, 94.42)</w:t>
            </w:r>
          </w:p>
        </w:tc>
        <w:tc>
          <w:tcPr>
            <w:tcW w:w="1027" w:type="pct"/>
            <w:tcBorders>
              <w:top w:val="nil"/>
              <w:left w:val="nil"/>
              <w:bottom w:val="single" w:sz="8" w:space="0" w:color="auto"/>
              <w:right w:val="single" w:sz="8" w:space="0" w:color="auto"/>
            </w:tcBorders>
            <w:shd w:val="clear" w:color="auto" w:fill="auto"/>
            <w:noWrap/>
            <w:vAlign w:val="center"/>
            <w:hideMark/>
          </w:tcPr>
          <w:p w14:paraId="204080A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47 (15.88, 5.58)</w:t>
            </w:r>
          </w:p>
        </w:tc>
        <w:tc>
          <w:tcPr>
            <w:tcW w:w="924" w:type="pct"/>
            <w:tcBorders>
              <w:top w:val="nil"/>
              <w:left w:val="nil"/>
              <w:bottom w:val="single" w:sz="8" w:space="0" w:color="auto"/>
              <w:right w:val="single" w:sz="8" w:space="0" w:color="auto"/>
            </w:tcBorders>
            <w:shd w:val="clear" w:color="auto" w:fill="auto"/>
            <w:noWrap/>
            <w:vAlign w:val="center"/>
            <w:hideMark/>
          </w:tcPr>
          <w:p w14:paraId="6593994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6A6BE4C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401A0D92"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1EF9A2F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Steroid use for chronic condition</w:t>
            </w:r>
          </w:p>
        </w:tc>
        <w:tc>
          <w:tcPr>
            <w:tcW w:w="1026" w:type="pct"/>
            <w:tcBorders>
              <w:top w:val="nil"/>
              <w:left w:val="nil"/>
              <w:bottom w:val="single" w:sz="8" w:space="0" w:color="auto"/>
              <w:right w:val="single" w:sz="8" w:space="0" w:color="auto"/>
            </w:tcBorders>
            <w:shd w:val="clear" w:color="auto" w:fill="auto"/>
            <w:noWrap/>
            <w:vAlign w:val="center"/>
            <w:hideMark/>
          </w:tcPr>
          <w:p w14:paraId="69EE6CAB"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7ACBD521"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78BC3A3D"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68131BB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7E129D90"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428783B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63D3D51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13555 (95.3, 98)</w:t>
            </w:r>
          </w:p>
        </w:tc>
        <w:tc>
          <w:tcPr>
            <w:tcW w:w="1027" w:type="pct"/>
            <w:tcBorders>
              <w:top w:val="nil"/>
              <w:left w:val="nil"/>
              <w:bottom w:val="single" w:sz="8" w:space="0" w:color="auto"/>
              <w:right w:val="single" w:sz="8" w:space="0" w:color="auto"/>
            </w:tcBorders>
            <w:shd w:val="clear" w:color="auto" w:fill="auto"/>
            <w:noWrap/>
            <w:vAlign w:val="center"/>
            <w:hideMark/>
          </w:tcPr>
          <w:p w14:paraId="50A3EC7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277 (93.58, 2)</w:t>
            </w:r>
          </w:p>
        </w:tc>
        <w:tc>
          <w:tcPr>
            <w:tcW w:w="924" w:type="pct"/>
            <w:tcBorders>
              <w:top w:val="nil"/>
              <w:left w:val="nil"/>
              <w:bottom w:val="single" w:sz="8" w:space="0" w:color="auto"/>
              <w:right w:val="single" w:sz="8" w:space="0" w:color="auto"/>
            </w:tcBorders>
            <w:shd w:val="clear" w:color="auto" w:fill="auto"/>
            <w:noWrap/>
            <w:vAlign w:val="center"/>
            <w:hideMark/>
          </w:tcPr>
          <w:p w14:paraId="3BB361C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6BBAF33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45821617"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2B3389E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733D849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668 (4.7, 97.23)</w:t>
            </w:r>
          </w:p>
        </w:tc>
        <w:tc>
          <w:tcPr>
            <w:tcW w:w="1027" w:type="pct"/>
            <w:tcBorders>
              <w:top w:val="nil"/>
              <w:left w:val="nil"/>
              <w:bottom w:val="single" w:sz="8" w:space="0" w:color="auto"/>
              <w:right w:val="single" w:sz="8" w:space="0" w:color="auto"/>
            </w:tcBorders>
            <w:shd w:val="clear" w:color="auto" w:fill="auto"/>
            <w:noWrap/>
            <w:vAlign w:val="center"/>
            <w:hideMark/>
          </w:tcPr>
          <w:p w14:paraId="1A142E0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19 (6.42, 2.77)</w:t>
            </w:r>
          </w:p>
        </w:tc>
        <w:tc>
          <w:tcPr>
            <w:tcW w:w="924" w:type="pct"/>
            <w:tcBorders>
              <w:top w:val="nil"/>
              <w:left w:val="nil"/>
              <w:bottom w:val="single" w:sz="8" w:space="0" w:color="auto"/>
              <w:right w:val="single" w:sz="8" w:space="0" w:color="auto"/>
            </w:tcBorders>
            <w:shd w:val="clear" w:color="auto" w:fill="auto"/>
            <w:noWrap/>
            <w:vAlign w:val="center"/>
            <w:hideMark/>
          </w:tcPr>
          <w:p w14:paraId="1336C3F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1.392 (0.869, 2.23)</w:t>
            </w:r>
          </w:p>
        </w:tc>
        <w:tc>
          <w:tcPr>
            <w:tcW w:w="442" w:type="pct"/>
            <w:tcBorders>
              <w:top w:val="nil"/>
              <w:left w:val="nil"/>
              <w:bottom w:val="single" w:sz="8" w:space="0" w:color="auto"/>
              <w:right w:val="single" w:sz="8" w:space="0" w:color="auto"/>
            </w:tcBorders>
            <w:shd w:val="clear" w:color="auto" w:fill="auto"/>
            <w:vAlign w:val="center"/>
            <w:hideMark/>
          </w:tcPr>
          <w:p w14:paraId="3707E8F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0.167</w:t>
            </w:r>
          </w:p>
        </w:tc>
      </w:tr>
      <w:tr w:rsidR="00470263" w:rsidRPr="008D4BE6" w14:paraId="1301C350"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2A96449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Bleeding disorders</w:t>
            </w:r>
          </w:p>
        </w:tc>
        <w:tc>
          <w:tcPr>
            <w:tcW w:w="1026" w:type="pct"/>
            <w:tcBorders>
              <w:top w:val="nil"/>
              <w:left w:val="nil"/>
              <w:bottom w:val="single" w:sz="8" w:space="0" w:color="auto"/>
              <w:right w:val="single" w:sz="8" w:space="0" w:color="auto"/>
            </w:tcBorders>
            <w:shd w:val="clear" w:color="auto" w:fill="auto"/>
            <w:noWrap/>
            <w:vAlign w:val="center"/>
            <w:hideMark/>
          </w:tcPr>
          <w:p w14:paraId="61D19B89"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4148B255"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1CEE3F5F"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7B01E6D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0052D2B1"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45AE9B9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5694E82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13830 (97.24, 98.02)</w:t>
            </w:r>
          </w:p>
        </w:tc>
        <w:tc>
          <w:tcPr>
            <w:tcW w:w="1027" w:type="pct"/>
            <w:tcBorders>
              <w:top w:val="nil"/>
              <w:left w:val="nil"/>
              <w:bottom w:val="single" w:sz="8" w:space="0" w:color="auto"/>
              <w:right w:val="single" w:sz="8" w:space="0" w:color="auto"/>
            </w:tcBorders>
            <w:shd w:val="clear" w:color="auto" w:fill="auto"/>
            <w:noWrap/>
            <w:vAlign w:val="center"/>
            <w:hideMark/>
          </w:tcPr>
          <w:p w14:paraId="299AB4E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280 (94.59, 1.98)</w:t>
            </w:r>
          </w:p>
        </w:tc>
        <w:tc>
          <w:tcPr>
            <w:tcW w:w="924" w:type="pct"/>
            <w:tcBorders>
              <w:top w:val="nil"/>
              <w:left w:val="nil"/>
              <w:bottom w:val="single" w:sz="8" w:space="0" w:color="auto"/>
              <w:right w:val="single" w:sz="8" w:space="0" w:color="auto"/>
            </w:tcBorders>
            <w:shd w:val="clear" w:color="auto" w:fill="auto"/>
            <w:noWrap/>
            <w:vAlign w:val="center"/>
            <w:hideMark/>
          </w:tcPr>
          <w:p w14:paraId="2F1BA7A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52FAF34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000FCF8C"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04698E1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607DE91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393 (2.76, 96.09)</w:t>
            </w:r>
          </w:p>
        </w:tc>
        <w:tc>
          <w:tcPr>
            <w:tcW w:w="1027" w:type="pct"/>
            <w:tcBorders>
              <w:top w:val="nil"/>
              <w:left w:val="nil"/>
              <w:bottom w:val="single" w:sz="8" w:space="0" w:color="auto"/>
              <w:right w:val="single" w:sz="8" w:space="0" w:color="auto"/>
            </w:tcBorders>
            <w:shd w:val="clear" w:color="auto" w:fill="auto"/>
            <w:noWrap/>
            <w:vAlign w:val="center"/>
            <w:hideMark/>
          </w:tcPr>
          <w:p w14:paraId="5965126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16 (5.41, 3.91)</w:t>
            </w:r>
          </w:p>
        </w:tc>
        <w:tc>
          <w:tcPr>
            <w:tcW w:w="924" w:type="pct"/>
            <w:tcBorders>
              <w:top w:val="nil"/>
              <w:left w:val="nil"/>
              <w:bottom w:val="single" w:sz="8" w:space="0" w:color="auto"/>
              <w:right w:val="single" w:sz="8" w:space="0" w:color="auto"/>
            </w:tcBorders>
            <w:shd w:val="clear" w:color="auto" w:fill="auto"/>
            <w:noWrap/>
            <w:vAlign w:val="center"/>
            <w:hideMark/>
          </w:tcPr>
          <w:p w14:paraId="157FDFB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2.011 (1.203, 3.361)</w:t>
            </w:r>
          </w:p>
        </w:tc>
        <w:tc>
          <w:tcPr>
            <w:tcW w:w="442" w:type="pct"/>
            <w:tcBorders>
              <w:top w:val="nil"/>
              <w:left w:val="nil"/>
              <w:bottom w:val="single" w:sz="8" w:space="0" w:color="auto"/>
              <w:right w:val="single" w:sz="8" w:space="0" w:color="auto"/>
            </w:tcBorders>
            <w:shd w:val="clear" w:color="auto" w:fill="auto"/>
            <w:vAlign w:val="center"/>
            <w:hideMark/>
          </w:tcPr>
          <w:p w14:paraId="65B5872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0.007</w:t>
            </w:r>
          </w:p>
        </w:tc>
      </w:tr>
      <w:tr w:rsidR="00470263" w:rsidRPr="008D4BE6" w14:paraId="65706838"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7999ED8C" w14:textId="7C46188C"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Transfusion </w:t>
            </w:r>
            <w:r w:rsidR="004F3247" w:rsidRPr="008D4BE6">
              <w:rPr>
                <w:rFonts w:asciiTheme="majorBidi" w:eastAsia="Times New Roman" w:hAnsiTheme="majorBidi" w:cstheme="majorBidi"/>
                <w:color w:val="000000"/>
                <w:sz w:val="20"/>
                <w:szCs w:val="20"/>
                <w:lang w:val="en-US"/>
              </w:rPr>
              <w:t>of</w:t>
            </w:r>
            <w:r w:rsidRPr="008D4BE6">
              <w:rPr>
                <w:rFonts w:asciiTheme="majorBidi" w:eastAsia="Times New Roman" w:hAnsiTheme="majorBidi" w:cstheme="majorBidi"/>
                <w:color w:val="000000"/>
                <w:sz w:val="20"/>
                <w:szCs w:val="20"/>
                <w:lang w:val="en-US"/>
              </w:rPr>
              <w:t xml:space="preserve"> PRBCs in 72 hours before surgery</w:t>
            </w:r>
          </w:p>
        </w:tc>
        <w:tc>
          <w:tcPr>
            <w:tcW w:w="1026" w:type="pct"/>
            <w:tcBorders>
              <w:top w:val="nil"/>
              <w:left w:val="nil"/>
              <w:bottom w:val="single" w:sz="8" w:space="0" w:color="auto"/>
              <w:right w:val="single" w:sz="8" w:space="0" w:color="auto"/>
            </w:tcBorders>
            <w:shd w:val="clear" w:color="auto" w:fill="auto"/>
            <w:noWrap/>
            <w:vAlign w:val="center"/>
            <w:hideMark/>
          </w:tcPr>
          <w:p w14:paraId="213AFCD6"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6F027149"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4BC0EBAA"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431DB33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2B7A7258"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245B0B2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53C6C23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14063 (98.88, 98.01)</w:t>
            </w:r>
          </w:p>
        </w:tc>
        <w:tc>
          <w:tcPr>
            <w:tcW w:w="1027" w:type="pct"/>
            <w:tcBorders>
              <w:top w:val="nil"/>
              <w:left w:val="nil"/>
              <w:bottom w:val="single" w:sz="8" w:space="0" w:color="auto"/>
              <w:right w:val="single" w:sz="8" w:space="0" w:color="auto"/>
            </w:tcBorders>
            <w:shd w:val="clear" w:color="auto" w:fill="auto"/>
            <w:noWrap/>
            <w:vAlign w:val="center"/>
            <w:hideMark/>
          </w:tcPr>
          <w:p w14:paraId="0B15679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286 (96.62, 1.99)</w:t>
            </w:r>
          </w:p>
        </w:tc>
        <w:tc>
          <w:tcPr>
            <w:tcW w:w="924" w:type="pct"/>
            <w:tcBorders>
              <w:top w:val="nil"/>
              <w:left w:val="nil"/>
              <w:bottom w:val="single" w:sz="8" w:space="0" w:color="auto"/>
              <w:right w:val="single" w:sz="8" w:space="0" w:color="auto"/>
            </w:tcBorders>
            <w:shd w:val="clear" w:color="auto" w:fill="auto"/>
            <w:noWrap/>
            <w:vAlign w:val="center"/>
            <w:hideMark/>
          </w:tcPr>
          <w:p w14:paraId="4F32BFE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68F8CA6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4982BC15"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13815D0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64DAC52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160 (1.12, 94.12)</w:t>
            </w:r>
          </w:p>
        </w:tc>
        <w:tc>
          <w:tcPr>
            <w:tcW w:w="1027" w:type="pct"/>
            <w:tcBorders>
              <w:top w:val="nil"/>
              <w:left w:val="nil"/>
              <w:bottom w:val="single" w:sz="8" w:space="0" w:color="auto"/>
              <w:right w:val="single" w:sz="8" w:space="0" w:color="auto"/>
            </w:tcBorders>
            <w:shd w:val="clear" w:color="auto" w:fill="auto"/>
            <w:noWrap/>
            <w:vAlign w:val="center"/>
            <w:hideMark/>
          </w:tcPr>
          <w:p w14:paraId="37CB8EA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 (3.38, 5.88)</w:t>
            </w:r>
          </w:p>
        </w:tc>
        <w:tc>
          <w:tcPr>
            <w:tcW w:w="924" w:type="pct"/>
            <w:tcBorders>
              <w:top w:val="nil"/>
              <w:left w:val="nil"/>
              <w:bottom w:val="single" w:sz="8" w:space="0" w:color="auto"/>
              <w:right w:val="single" w:sz="8" w:space="0" w:color="auto"/>
            </w:tcBorders>
            <w:shd w:val="clear" w:color="auto" w:fill="auto"/>
            <w:noWrap/>
            <w:vAlign w:val="center"/>
            <w:hideMark/>
          </w:tcPr>
          <w:p w14:paraId="172BF90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3.073 (1.605, 5.884)</w:t>
            </w:r>
          </w:p>
        </w:tc>
        <w:tc>
          <w:tcPr>
            <w:tcW w:w="442" w:type="pct"/>
            <w:tcBorders>
              <w:top w:val="nil"/>
              <w:left w:val="nil"/>
              <w:bottom w:val="single" w:sz="8" w:space="0" w:color="auto"/>
              <w:right w:val="single" w:sz="8" w:space="0" w:color="auto"/>
            </w:tcBorders>
            <w:shd w:val="clear" w:color="auto" w:fill="auto"/>
            <w:vAlign w:val="center"/>
            <w:hideMark/>
          </w:tcPr>
          <w:p w14:paraId="0CFC638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0E5D6CD3"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3776588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Diabetes</w:t>
            </w:r>
          </w:p>
        </w:tc>
        <w:tc>
          <w:tcPr>
            <w:tcW w:w="1026" w:type="pct"/>
            <w:tcBorders>
              <w:top w:val="nil"/>
              <w:left w:val="nil"/>
              <w:bottom w:val="single" w:sz="8" w:space="0" w:color="auto"/>
              <w:right w:val="single" w:sz="8" w:space="0" w:color="auto"/>
            </w:tcBorders>
            <w:shd w:val="clear" w:color="auto" w:fill="auto"/>
            <w:noWrap/>
            <w:vAlign w:val="center"/>
            <w:hideMark/>
          </w:tcPr>
          <w:p w14:paraId="522E35C3"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51D15F11"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6838F839"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6C9795D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4E7EE8F9"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312481D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6095EED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11497 (80.83, 98.36)</w:t>
            </w:r>
          </w:p>
        </w:tc>
        <w:tc>
          <w:tcPr>
            <w:tcW w:w="1027" w:type="pct"/>
            <w:tcBorders>
              <w:top w:val="nil"/>
              <w:left w:val="nil"/>
              <w:bottom w:val="single" w:sz="8" w:space="0" w:color="auto"/>
              <w:right w:val="single" w:sz="8" w:space="0" w:color="auto"/>
            </w:tcBorders>
            <w:shd w:val="clear" w:color="auto" w:fill="auto"/>
            <w:noWrap/>
            <w:vAlign w:val="center"/>
            <w:hideMark/>
          </w:tcPr>
          <w:p w14:paraId="72F9ABB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192 (64.86, 1.64)</w:t>
            </w:r>
          </w:p>
        </w:tc>
        <w:tc>
          <w:tcPr>
            <w:tcW w:w="924" w:type="pct"/>
            <w:tcBorders>
              <w:top w:val="nil"/>
              <w:left w:val="nil"/>
              <w:bottom w:val="single" w:sz="8" w:space="0" w:color="auto"/>
              <w:right w:val="single" w:sz="8" w:space="0" w:color="auto"/>
            </w:tcBorders>
            <w:shd w:val="clear" w:color="auto" w:fill="auto"/>
            <w:noWrap/>
            <w:vAlign w:val="center"/>
            <w:hideMark/>
          </w:tcPr>
          <w:p w14:paraId="6F3D68F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21F1A62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00CFB986"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75BC800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5B87A79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2726 (19.17, 96.33)</w:t>
            </w:r>
          </w:p>
        </w:tc>
        <w:tc>
          <w:tcPr>
            <w:tcW w:w="1027" w:type="pct"/>
            <w:tcBorders>
              <w:top w:val="nil"/>
              <w:left w:val="nil"/>
              <w:bottom w:val="single" w:sz="8" w:space="0" w:color="auto"/>
              <w:right w:val="single" w:sz="8" w:space="0" w:color="auto"/>
            </w:tcBorders>
            <w:shd w:val="clear" w:color="auto" w:fill="auto"/>
            <w:noWrap/>
            <w:vAlign w:val="center"/>
            <w:hideMark/>
          </w:tcPr>
          <w:p w14:paraId="7E36189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104 (35.14, 3.67)</w:t>
            </w:r>
          </w:p>
        </w:tc>
        <w:tc>
          <w:tcPr>
            <w:tcW w:w="924" w:type="pct"/>
            <w:tcBorders>
              <w:top w:val="nil"/>
              <w:left w:val="nil"/>
              <w:bottom w:val="single" w:sz="8" w:space="0" w:color="auto"/>
              <w:right w:val="single" w:sz="8" w:space="0" w:color="auto"/>
            </w:tcBorders>
            <w:shd w:val="clear" w:color="auto" w:fill="auto"/>
            <w:noWrap/>
            <w:vAlign w:val="center"/>
            <w:hideMark/>
          </w:tcPr>
          <w:p w14:paraId="7C5B0C0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2.284 (1.793, 2.911)</w:t>
            </w:r>
          </w:p>
        </w:tc>
        <w:tc>
          <w:tcPr>
            <w:tcW w:w="442" w:type="pct"/>
            <w:tcBorders>
              <w:top w:val="nil"/>
              <w:left w:val="nil"/>
              <w:bottom w:val="single" w:sz="8" w:space="0" w:color="auto"/>
              <w:right w:val="single" w:sz="8" w:space="0" w:color="auto"/>
            </w:tcBorders>
            <w:shd w:val="clear" w:color="auto" w:fill="auto"/>
            <w:vAlign w:val="center"/>
            <w:hideMark/>
          </w:tcPr>
          <w:p w14:paraId="4BEA912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73D5990C"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3C0D052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Hypertension </w:t>
            </w:r>
          </w:p>
        </w:tc>
        <w:tc>
          <w:tcPr>
            <w:tcW w:w="1026" w:type="pct"/>
            <w:tcBorders>
              <w:top w:val="nil"/>
              <w:left w:val="nil"/>
              <w:bottom w:val="single" w:sz="8" w:space="0" w:color="auto"/>
              <w:right w:val="single" w:sz="8" w:space="0" w:color="auto"/>
            </w:tcBorders>
            <w:shd w:val="clear" w:color="auto" w:fill="auto"/>
            <w:noWrap/>
            <w:vAlign w:val="center"/>
            <w:hideMark/>
          </w:tcPr>
          <w:p w14:paraId="5A8C4B5D"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5334270B"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12CABF4B"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0719621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0FBCAB31"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645D492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69CB8D3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5405 (38, 99.12)</w:t>
            </w:r>
          </w:p>
        </w:tc>
        <w:tc>
          <w:tcPr>
            <w:tcW w:w="1027" w:type="pct"/>
            <w:tcBorders>
              <w:top w:val="nil"/>
              <w:left w:val="nil"/>
              <w:bottom w:val="single" w:sz="8" w:space="0" w:color="auto"/>
              <w:right w:val="single" w:sz="8" w:space="0" w:color="auto"/>
            </w:tcBorders>
            <w:shd w:val="clear" w:color="auto" w:fill="auto"/>
            <w:noWrap/>
            <w:vAlign w:val="center"/>
            <w:hideMark/>
          </w:tcPr>
          <w:p w14:paraId="40F57E7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48 (16.22, 0.88)</w:t>
            </w:r>
          </w:p>
        </w:tc>
        <w:tc>
          <w:tcPr>
            <w:tcW w:w="924" w:type="pct"/>
            <w:tcBorders>
              <w:top w:val="nil"/>
              <w:left w:val="nil"/>
              <w:bottom w:val="single" w:sz="8" w:space="0" w:color="auto"/>
              <w:right w:val="single" w:sz="8" w:space="0" w:color="auto"/>
            </w:tcBorders>
            <w:shd w:val="clear" w:color="auto" w:fill="auto"/>
            <w:noWrap/>
            <w:vAlign w:val="center"/>
            <w:hideMark/>
          </w:tcPr>
          <w:p w14:paraId="2500EB3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2F4BF32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344DC8B0"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54001FD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23D3297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8818 (62, 97.26)</w:t>
            </w:r>
          </w:p>
        </w:tc>
        <w:tc>
          <w:tcPr>
            <w:tcW w:w="1027" w:type="pct"/>
            <w:tcBorders>
              <w:top w:val="nil"/>
              <w:left w:val="nil"/>
              <w:bottom w:val="single" w:sz="8" w:space="0" w:color="auto"/>
              <w:right w:val="single" w:sz="8" w:space="0" w:color="auto"/>
            </w:tcBorders>
            <w:shd w:val="clear" w:color="auto" w:fill="auto"/>
            <w:noWrap/>
            <w:vAlign w:val="center"/>
            <w:hideMark/>
          </w:tcPr>
          <w:p w14:paraId="76E9AAD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248 (83.78, 2.74)</w:t>
            </w:r>
          </w:p>
        </w:tc>
        <w:tc>
          <w:tcPr>
            <w:tcW w:w="924" w:type="pct"/>
            <w:tcBorders>
              <w:top w:val="nil"/>
              <w:left w:val="nil"/>
              <w:bottom w:val="single" w:sz="8" w:space="0" w:color="auto"/>
              <w:right w:val="single" w:sz="8" w:space="0" w:color="auto"/>
            </w:tcBorders>
            <w:shd w:val="clear" w:color="auto" w:fill="auto"/>
            <w:noWrap/>
            <w:vAlign w:val="center"/>
            <w:hideMark/>
          </w:tcPr>
          <w:p w14:paraId="7D4AFAC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3.167 (2.321, 4.322)</w:t>
            </w:r>
          </w:p>
        </w:tc>
        <w:tc>
          <w:tcPr>
            <w:tcW w:w="442" w:type="pct"/>
            <w:tcBorders>
              <w:top w:val="nil"/>
              <w:left w:val="nil"/>
              <w:bottom w:val="single" w:sz="8" w:space="0" w:color="auto"/>
              <w:right w:val="single" w:sz="8" w:space="0" w:color="auto"/>
            </w:tcBorders>
            <w:shd w:val="clear" w:color="auto" w:fill="auto"/>
            <w:vAlign w:val="center"/>
            <w:hideMark/>
          </w:tcPr>
          <w:p w14:paraId="4084737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09C129EA"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2718CD7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CHF in 30 days before surgery</w:t>
            </w:r>
          </w:p>
        </w:tc>
        <w:tc>
          <w:tcPr>
            <w:tcW w:w="1026" w:type="pct"/>
            <w:tcBorders>
              <w:top w:val="nil"/>
              <w:left w:val="nil"/>
              <w:bottom w:val="single" w:sz="8" w:space="0" w:color="auto"/>
              <w:right w:val="single" w:sz="8" w:space="0" w:color="auto"/>
            </w:tcBorders>
            <w:shd w:val="clear" w:color="auto" w:fill="auto"/>
            <w:noWrap/>
            <w:vAlign w:val="center"/>
            <w:hideMark/>
          </w:tcPr>
          <w:p w14:paraId="7D8F6402"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00FCA4C1"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774935AF"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4E9D75E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23BF5884"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5271A74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6D2C6F7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14134 (99.37, 98)</w:t>
            </w:r>
          </w:p>
        </w:tc>
        <w:tc>
          <w:tcPr>
            <w:tcW w:w="1027" w:type="pct"/>
            <w:tcBorders>
              <w:top w:val="nil"/>
              <w:left w:val="nil"/>
              <w:bottom w:val="single" w:sz="8" w:space="0" w:color="auto"/>
              <w:right w:val="single" w:sz="8" w:space="0" w:color="auto"/>
            </w:tcBorders>
            <w:shd w:val="clear" w:color="auto" w:fill="auto"/>
            <w:noWrap/>
            <w:vAlign w:val="center"/>
            <w:hideMark/>
          </w:tcPr>
          <w:p w14:paraId="5CBD2C6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288 (97.3, 2)</w:t>
            </w:r>
          </w:p>
        </w:tc>
        <w:tc>
          <w:tcPr>
            <w:tcW w:w="924" w:type="pct"/>
            <w:tcBorders>
              <w:top w:val="nil"/>
              <w:left w:val="nil"/>
              <w:bottom w:val="single" w:sz="8" w:space="0" w:color="auto"/>
              <w:right w:val="single" w:sz="8" w:space="0" w:color="auto"/>
            </w:tcBorders>
            <w:shd w:val="clear" w:color="auto" w:fill="auto"/>
            <w:noWrap/>
            <w:vAlign w:val="center"/>
            <w:hideMark/>
          </w:tcPr>
          <w:p w14:paraId="605D552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77982B3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426992FA"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7EB390F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49CCA1A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89 (0.63, 91.75)</w:t>
            </w:r>
          </w:p>
        </w:tc>
        <w:tc>
          <w:tcPr>
            <w:tcW w:w="1027" w:type="pct"/>
            <w:tcBorders>
              <w:top w:val="nil"/>
              <w:left w:val="nil"/>
              <w:bottom w:val="single" w:sz="8" w:space="0" w:color="auto"/>
              <w:right w:val="single" w:sz="8" w:space="0" w:color="auto"/>
            </w:tcBorders>
            <w:shd w:val="clear" w:color="auto" w:fill="auto"/>
            <w:noWrap/>
            <w:vAlign w:val="center"/>
            <w:hideMark/>
          </w:tcPr>
          <w:p w14:paraId="4A635D2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8 (2.7, 8.25)</w:t>
            </w:r>
          </w:p>
        </w:tc>
        <w:tc>
          <w:tcPr>
            <w:tcW w:w="924" w:type="pct"/>
            <w:tcBorders>
              <w:top w:val="nil"/>
              <w:left w:val="nil"/>
              <w:bottom w:val="single" w:sz="8" w:space="0" w:color="auto"/>
              <w:right w:val="single" w:sz="8" w:space="0" w:color="auto"/>
            </w:tcBorders>
            <w:shd w:val="clear" w:color="auto" w:fill="auto"/>
            <w:noWrap/>
            <w:vAlign w:val="center"/>
            <w:hideMark/>
          </w:tcPr>
          <w:p w14:paraId="60F9DCA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4.411 (2.12, 9.179)</w:t>
            </w:r>
          </w:p>
        </w:tc>
        <w:tc>
          <w:tcPr>
            <w:tcW w:w="442" w:type="pct"/>
            <w:tcBorders>
              <w:top w:val="nil"/>
              <w:left w:val="nil"/>
              <w:bottom w:val="single" w:sz="8" w:space="0" w:color="auto"/>
              <w:right w:val="single" w:sz="8" w:space="0" w:color="auto"/>
            </w:tcBorders>
            <w:shd w:val="clear" w:color="auto" w:fill="auto"/>
            <w:vAlign w:val="center"/>
            <w:hideMark/>
          </w:tcPr>
          <w:p w14:paraId="6C9244E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5B8BBD03"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67386AD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Previous cardiac surgery</w:t>
            </w:r>
          </w:p>
        </w:tc>
        <w:tc>
          <w:tcPr>
            <w:tcW w:w="1026" w:type="pct"/>
            <w:tcBorders>
              <w:top w:val="nil"/>
              <w:left w:val="nil"/>
              <w:bottom w:val="single" w:sz="8" w:space="0" w:color="auto"/>
              <w:right w:val="single" w:sz="8" w:space="0" w:color="auto"/>
            </w:tcBorders>
            <w:shd w:val="clear" w:color="auto" w:fill="auto"/>
            <w:noWrap/>
            <w:vAlign w:val="center"/>
            <w:hideMark/>
          </w:tcPr>
          <w:p w14:paraId="7A67BB21"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7882D8F2"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4EC9B4C6"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2B28E95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1FD781EC"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1ADF0E3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7A30D33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13987 (98.34, 98)</w:t>
            </w:r>
          </w:p>
        </w:tc>
        <w:tc>
          <w:tcPr>
            <w:tcW w:w="1027" w:type="pct"/>
            <w:tcBorders>
              <w:top w:val="nil"/>
              <w:left w:val="nil"/>
              <w:bottom w:val="single" w:sz="8" w:space="0" w:color="auto"/>
              <w:right w:val="single" w:sz="8" w:space="0" w:color="auto"/>
            </w:tcBorders>
            <w:shd w:val="clear" w:color="auto" w:fill="auto"/>
            <w:noWrap/>
            <w:vAlign w:val="center"/>
            <w:hideMark/>
          </w:tcPr>
          <w:p w14:paraId="3E245F5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286 (96.62, 2)</w:t>
            </w:r>
          </w:p>
        </w:tc>
        <w:tc>
          <w:tcPr>
            <w:tcW w:w="924" w:type="pct"/>
            <w:tcBorders>
              <w:top w:val="nil"/>
              <w:left w:val="nil"/>
              <w:bottom w:val="single" w:sz="8" w:space="0" w:color="auto"/>
              <w:right w:val="single" w:sz="8" w:space="0" w:color="auto"/>
            </w:tcBorders>
            <w:shd w:val="clear" w:color="auto" w:fill="auto"/>
            <w:noWrap/>
            <w:vAlign w:val="center"/>
            <w:hideMark/>
          </w:tcPr>
          <w:p w14:paraId="14697B0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2DA14B6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72DAF957"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299FEEB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77967E6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236 (1.66, 95.93)</w:t>
            </w:r>
          </w:p>
        </w:tc>
        <w:tc>
          <w:tcPr>
            <w:tcW w:w="1027" w:type="pct"/>
            <w:tcBorders>
              <w:top w:val="nil"/>
              <w:left w:val="nil"/>
              <w:bottom w:val="single" w:sz="8" w:space="0" w:color="auto"/>
              <w:right w:val="single" w:sz="8" w:space="0" w:color="auto"/>
            </w:tcBorders>
            <w:shd w:val="clear" w:color="auto" w:fill="auto"/>
            <w:noWrap/>
            <w:vAlign w:val="center"/>
            <w:hideMark/>
          </w:tcPr>
          <w:p w14:paraId="637B588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 (3.38, 4.07)</w:t>
            </w:r>
          </w:p>
        </w:tc>
        <w:tc>
          <w:tcPr>
            <w:tcW w:w="924" w:type="pct"/>
            <w:tcBorders>
              <w:top w:val="nil"/>
              <w:left w:val="nil"/>
              <w:bottom w:val="single" w:sz="8" w:space="0" w:color="auto"/>
              <w:right w:val="single" w:sz="8" w:space="0" w:color="auto"/>
            </w:tcBorders>
            <w:shd w:val="clear" w:color="auto" w:fill="auto"/>
            <w:noWrap/>
            <w:vAlign w:val="center"/>
            <w:hideMark/>
          </w:tcPr>
          <w:p w14:paraId="0DFF441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2.072 (1.089, 3.944)</w:t>
            </w:r>
          </w:p>
        </w:tc>
        <w:tc>
          <w:tcPr>
            <w:tcW w:w="442" w:type="pct"/>
            <w:tcBorders>
              <w:top w:val="nil"/>
              <w:left w:val="nil"/>
              <w:bottom w:val="single" w:sz="8" w:space="0" w:color="auto"/>
              <w:right w:val="single" w:sz="8" w:space="0" w:color="auto"/>
            </w:tcBorders>
            <w:shd w:val="clear" w:color="auto" w:fill="auto"/>
            <w:vAlign w:val="center"/>
            <w:hideMark/>
          </w:tcPr>
          <w:p w14:paraId="14E3665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0.023</w:t>
            </w:r>
          </w:p>
        </w:tc>
      </w:tr>
      <w:tr w:rsidR="00470263" w:rsidRPr="008D4BE6" w14:paraId="6F8AB028"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559C6C9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History of CAD</w:t>
            </w:r>
          </w:p>
        </w:tc>
        <w:tc>
          <w:tcPr>
            <w:tcW w:w="1026" w:type="pct"/>
            <w:tcBorders>
              <w:top w:val="nil"/>
              <w:left w:val="nil"/>
              <w:bottom w:val="single" w:sz="8" w:space="0" w:color="auto"/>
              <w:right w:val="single" w:sz="8" w:space="0" w:color="auto"/>
            </w:tcBorders>
            <w:shd w:val="clear" w:color="auto" w:fill="auto"/>
            <w:noWrap/>
            <w:vAlign w:val="center"/>
            <w:hideMark/>
          </w:tcPr>
          <w:p w14:paraId="6CFF1C4B"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11ED6CF9"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5C7A4C85"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5AD66FC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64EC6FC4"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3694D55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06C8FFD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13900 (97.73, 98)</w:t>
            </w:r>
          </w:p>
        </w:tc>
        <w:tc>
          <w:tcPr>
            <w:tcW w:w="1027" w:type="pct"/>
            <w:tcBorders>
              <w:top w:val="nil"/>
              <w:left w:val="nil"/>
              <w:bottom w:val="single" w:sz="8" w:space="0" w:color="auto"/>
              <w:right w:val="single" w:sz="8" w:space="0" w:color="auto"/>
            </w:tcBorders>
            <w:shd w:val="clear" w:color="auto" w:fill="auto"/>
            <w:noWrap/>
            <w:vAlign w:val="center"/>
            <w:hideMark/>
          </w:tcPr>
          <w:p w14:paraId="680A918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283 (95.61, 2)</w:t>
            </w:r>
          </w:p>
        </w:tc>
        <w:tc>
          <w:tcPr>
            <w:tcW w:w="924" w:type="pct"/>
            <w:tcBorders>
              <w:top w:val="nil"/>
              <w:left w:val="nil"/>
              <w:bottom w:val="single" w:sz="8" w:space="0" w:color="auto"/>
              <w:right w:val="single" w:sz="8" w:space="0" w:color="auto"/>
            </w:tcBorders>
            <w:shd w:val="clear" w:color="auto" w:fill="auto"/>
            <w:noWrap/>
            <w:vAlign w:val="center"/>
            <w:hideMark/>
          </w:tcPr>
          <w:p w14:paraId="787E908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2A7BA81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0F20F9EB"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5D88A43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5E11C9E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323 (2.27, 96.13)</w:t>
            </w:r>
          </w:p>
        </w:tc>
        <w:tc>
          <w:tcPr>
            <w:tcW w:w="1027" w:type="pct"/>
            <w:tcBorders>
              <w:top w:val="nil"/>
              <w:left w:val="nil"/>
              <w:bottom w:val="single" w:sz="8" w:space="0" w:color="auto"/>
              <w:right w:val="single" w:sz="8" w:space="0" w:color="auto"/>
            </w:tcBorders>
            <w:shd w:val="clear" w:color="auto" w:fill="auto"/>
            <w:noWrap/>
            <w:vAlign w:val="center"/>
            <w:hideMark/>
          </w:tcPr>
          <w:p w14:paraId="6B7B3B3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13 (4.39, 3.87)</w:t>
            </w:r>
          </w:p>
        </w:tc>
        <w:tc>
          <w:tcPr>
            <w:tcW w:w="924" w:type="pct"/>
            <w:tcBorders>
              <w:top w:val="nil"/>
              <w:left w:val="nil"/>
              <w:bottom w:val="single" w:sz="8" w:space="0" w:color="auto"/>
              <w:right w:val="single" w:sz="8" w:space="0" w:color="auto"/>
            </w:tcBorders>
            <w:shd w:val="clear" w:color="auto" w:fill="auto"/>
            <w:noWrap/>
            <w:vAlign w:val="center"/>
            <w:hideMark/>
          </w:tcPr>
          <w:p w14:paraId="719AC14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1.977 (1.122, 3.484)</w:t>
            </w:r>
          </w:p>
        </w:tc>
        <w:tc>
          <w:tcPr>
            <w:tcW w:w="442" w:type="pct"/>
            <w:tcBorders>
              <w:top w:val="nil"/>
              <w:left w:val="nil"/>
              <w:bottom w:val="single" w:sz="8" w:space="0" w:color="auto"/>
              <w:right w:val="single" w:sz="8" w:space="0" w:color="auto"/>
            </w:tcBorders>
            <w:shd w:val="clear" w:color="auto" w:fill="auto"/>
            <w:vAlign w:val="center"/>
            <w:hideMark/>
          </w:tcPr>
          <w:p w14:paraId="58F6CCF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0.016</w:t>
            </w:r>
          </w:p>
        </w:tc>
      </w:tr>
      <w:tr w:rsidR="00470263" w:rsidRPr="008D4BE6" w14:paraId="548048C6"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7F2060F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History of CVA</w:t>
            </w:r>
          </w:p>
        </w:tc>
        <w:tc>
          <w:tcPr>
            <w:tcW w:w="1026" w:type="pct"/>
            <w:tcBorders>
              <w:top w:val="nil"/>
              <w:left w:val="nil"/>
              <w:bottom w:val="single" w:sz="8" w:space="0" w:color="auto"/>
              <w:right w:val="single" w:sz="8" w:space="0" w:color="auto"/>
            </w:tcBorders>
            <w:shd w:val="clear" w:color="auto" w:fill="auto"/>
            <w:noWrap/>
            <w:vAlign w:val="center"/>
            <w:hideMark/>
          </w:tcPr>
          <w:p w14:paraId="1834F791"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430A37B0"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7A0735BF"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01A5E64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6137008F"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5874ADF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0F43DB5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14068 (98.91, 98.02)</w:t>
            </w:r>
          </w:p>
        </w:tc>
        <w:tc>
          <w:tcPr>
            <w:tcW w:w="1027" w:type="pct"/>
            <w:tcBorders>
              <w:top w:val="nil"/>
              <w:left w:val="nil"/>
              <w:bottom w:val="single" w:sz="8" w:space="0" w:color="auto"/>
              <w:right w:val="single" w:sz="8" w:space="0" w:color="auto"/>
            </w:tcBorders>
            <w:shd w:val="clear" w:color="auto" w:fill="auto"/>
            <w:noWrap/>
            <w:vAlign w:val="center"/>
            <w:hideMark/>
          </w:tcPr>
          <w:p w14:paraId="3941776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284 (95.95, 1.98)</w:t>
            </w:r>
          </w:p>
        </w:tc>
        <w:tc>
          <w:tcPr>
            <w:tcW w:w="924" w:type="pct"/>
            <w:tcBorders>
              <w:top w:val="nil"/>
              <w:left w:val="nil"/>
              <w:bottom w:val="single" w:sz="8" w:space="0" w:color="auto"/>
              <w:right w:val="single" w:sz="8" w:space="0" w:color="auto"/>
            </w:tcBorders>
            <w:shd w:val="clear" w:color="auto" w:fill="auto"/>
            <w:noWrap/>
            <w:vAlign w:val="center"/>
            <w:hideMark/>
          </w:tcPr>
          <w:p w14:paraId="1F8FC25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691EE4A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69ED6F79"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161D4DA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7D3817F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155 (1.09, 92.81)</w:t>
            </w:r>
          </w:p>
        </w:tc>
        <w:tc>
          <w:tcPr>
            <w:tcW w:w="1027" w:type="pct"/>
            <w:tcBorders>
              <w:top w:val="nil"/>
              <w:left w:val="nil"/>
              <w:bottom w:val="single" w:sz="8" w:space="0" w:color="auto"/>
              <w:right w:val="single" w:sz="8" w:space="0" w:color="auto"/>
            </w:tcBorders>
            <w:shd w:val="clear" w:color="auto" w:fill="auto"/>
            <w:noWrap/>
            <w:vAlign w:val="center"/>
            <w:hideMark/>
          </w:tcPr>
          <w:p w14:paraId="6BFC4FF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12 (4.05, 7.19)</w:t>
            </w:r>
          </w:p>
        </w:tc>
        <w:tc>
          <w:tcPr>
            <w:tcW w:w="924" w:type="pct"/>
            <w:tcBorders>
              <w:top w:val="nil"/>
              <w:left w:val="nil"/>
              <w:bottom w:val="single" w:sz="8" w:space="0" w:color="auto"/>
              <w:right w:val="single" w:sz="8" w:space="0" w:color="auto"/>
            </w:tcBorders>
            <w:shd w:val="clear" w:color="auto" w:fill="auto"/>
            <w:noWrap/>
            <w:vAlign w:val="center"/>
            <w:hideMark/>
          </w:tcPr>
          <w:p w14:paraId="4993E27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3.835 (2.107, 6.98)</w:t>
            </w:r>
          </w:p>
        </w:tc>
        <w:tc>
          <w:tcPr>
            <w:tcW w:w="442" w:type="pct"/>
            <w:tcBorders>
              <w:top w:val="nil"/>
              <w:left w:val="nil"/>
              <w:bottom w:val="single" w:sz="8" w:space="0" w:color="auto"/>
              <w:right w:val="single" w:sz="8" w:space="0" w:color="auto"/>
            </w:tcBorders>
            <w:shd w:val="clear" w:color="auto" w:fill="auto"/>
            <w:vAlign w:val="center"/>
            <w:hideMark/>
          </w:tcPr>
          <w:p w14:paraId="4962AF5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1EF06B17"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54DA711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History of TIA</w:t>
            </w:r>
          </w:p>
        </w:tc>
        <w:tc>
          <w:tcPr>
            <w:tcW w:w="1026" w:type="pct"/>
            <w:tcBorders>
              <w:top w:val="nil"/>
              <w:left w:val="nil"/>
              <w:bottom w:val="single" w:sz="8" w:space="0" w:color="auto"/>
              <w:right w:val="single" w:sz="8" w:space="0" w:color="auto"/>
            </w:tcBorders>
            <w:shd w:val="clear" w:color="auto" w:fill="auto"/>
            <w:noWrap/>
            <w:vAlign w:val="center"/>
            <w:hideMark/>
          </w:tcPr>
          <w:p w14:paraId="5B323E8C"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319678F8"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74ABA273"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7784063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39F40319"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084920D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787E40A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14111 (99.21, 97.97)</w:t>
            </w:r>
          </w:p>
        </w:tc>
        <w:tc>
          <w:tcPr>
            <w:tcW w:w="1027" w:type="pct"/>
            <w:tcBorders>
              <w:top w:val="nil"/>
              <w:left w:val="nil"/>
              <w:bottom w:val="single" w:sz="8" w:space="0" w:color="auto"/>
              <w:right w:val="single" w:sz="8" w:space="0" w:color="auto"/>
            </w:tcBorders>
            <w:shd w:val="clear" w:color="auto" w:fill="auto"/>
            <w:noWrap/>
            <w:vAlign w:val="center"/>
            <w:hideMark/>
          </w:tcPr>
          <w:p w14:paraId="1E844C3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292 (98.65, 2.03)</w:t>
            </w:r>
          </w:p>
        </w:tc>
        <w:tc>
          <w:tcPr>
            <w:tcW w:w="924" w:type="pct"/>
            <w:tcBorders>
              <w:top w:val="nil"/>
              <w:left w:val="nil"/>
              <w:bottom w:val="single" w:sz="8" w:space="0" w:color="auto"/>
              <w:right w:val="single" w:sz="8" w:space="0" w:color="auto"/>
            </w:tcBorders>
            <w:shd w:val="clear" w:color="auto" w:fill="auto"/>
            <w:noWrap/>
            <w:vAlign w:val="center"/>
            <w:hideMark/>
          </w:tcPr>
          <w:p w14:paraId="546CE7AB"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7100777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53A67A7F"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61279B1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lastRenderedPageBreak/>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4775A65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112 (0.79, 96.55)</w:t>
            </w:r>
          </w:p>
        </w:tc>
        <w:tc>
          <w:tcPr>
            <w:tcW w:w="1027" w:type="pct"/>
            <w:tcBorders>
              <w:top w:val="nil"/>
              <w:left w:val="nil"/>
              <w:bottom w:val="single" w:sz="8" w:space="0" w:color="auto"/>
              <w:right w:val="single" w:sz="8" w:space="0" w:color="auto"/>
            </w:tcBorders>
            <w:shd w:val="clear" w:color="auto" w:fill="auto"/>
            <w:noWrap/>
            <w:vAlign w:val="center"/>
            <w:hideMark/>
          </w:tcPr>
          <w:p w14:paraId="077BEB9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4 (1.35, 3.45)</w:t>
            </w:r>
          </w:p>
        </w:tc>
        <w:tc>
          <w:tcPr>
            <w:tcW w:w="924" w:type="pct"/>
            <w:tcBorders>
              <w:top w:val="nil"/>
              <w:left w:val="nil"/>
              <w:bottom w:val="single" w:sz="8" w:space="0" w:color="auto"/>
              <w:right w:val="single" w:sz="8" w:space="0" w:color="auto"/>
            </w:tcBorders>
            <w:shd w:val="clear" w:color="auto" w:fill="auto"/>
            <w:noWrap/>
            <w:vAlign w:val="center"/>
            <w:hideMark/>
          </w:tcPr>
          <w:p w14:paraId="3808F2D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1.726 (0.632, 4.71)</w:t>
            </w:r>
          </w:p>
        </w:tc>
        <w:tc>
          <w:tcPr>
            <w:tcW w:w="442" w:type="pct"/>
            <w:tcBorders>
              <w:top w:val="nil"/>
              <w:left w:val="nil"/>
              <w:bottom w:val="single" w:sz="8" w:space="0" w:color="auto"/>
              <w:right w:val="single" w:sz="8" w:space="0" w:color="auto"/>
            </w:tcBorders>
            <w:shd w:val="clear" w:color="auto" w:fill="auto"/>
            <w:vAlign w:val="center"/>
            <w:hideMark/>
          </w:tcPr>
          <w:p w14:paraId="4A5901C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0.281</w:t>
            </w:r>
          </w:p>
        </w:tc>
      </w:tr>
      <w:tr w:rsidR="00470263" w:rsidRPr="008D4BE6" w14:paraId="02C33643"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34B64B5B"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History of PAD</w:t>
            </w:r>
          </w:p>
        </w:tc>
        <w:tc>
          <w:tcPr>
            <w:tcW w:w="1026" w:type="pct"/>
            <w:tcBorders>
              <w:top w:val="nil"/>
              <w:left w:val="nil"/>
              <w:bottom w:val="single" w:sz="8" w:space="0" w:color="auto"/>
              <w:right w:val="single" w:sz="8" w:space="0" w:color="auto"/>
            </w:tcBorders>
            <w:shd w:val="clear" w:color="auto" w:fill="auto"/>
            <w:noWrap/>
            <w:vAlign w:val="center"/>
            <w:hideMark/>
          </w:tcPr>
          <w:p w14:paraId="5075A724"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4C99FC0D"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4A674EBF"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7844CEE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339A1389"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16056C0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690D16A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14175 (99.66, 97.97)</w:t>
            </w:r>
          </w:p>
        </w:tc>
        <w:tc>
          <w:tcPr>
            <w:tcW w:w="1027" w:type="pct"/>
            <w:tcBorders>
              <w:top w:val="nil"/>
              <w:left w:val="nil"/>
              <w:bottom w:val="single" w:sz="8" w:space="0" w:color="auto"/>
              <w:right w:val="single" w:sz="8" w:space="0" w:color="auto"/>
            </w:tcBorders>
            <w:shd w:val="clear" w:color="auto" w:fill="auto"/>
            <w:noWrap/>
            <w:vAlign w:val="center"/>
            <w:hideMark/>
          </w:tcPr>
          <w:p w14:paraId="362B605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293 (98.99, 2.03)</w:t>
            </w:r>
          </w:p>
        </w:tc>
        <w:tc>
          <w:tcPr>
            <w:tcW w:w="924" w:type="pct"/>
            <w:tcBorders>
              <w:top w:val="nil"/>
              <w:left w:val="nil"/>
              <w:bottom w:val="single" w:sz="8" w:space="0" w:color="auto"/>
              <w:right w:val="single" w:sz="8" w:space="0" w:color="auto"/>
            </w:tcBorders>
            <w:shd w:val="clear" w:color="auto" w:fill="auto"/>
            <w:noWrap/>
            <w:vAlign w:val="center"/>
            <w:hideMark/>
          </w:tcPr>
          <w:p w14:paraId="391C72C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136C0F7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372F5E0A"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38EC374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5912583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48 (0.34, 94.12)</w:t>
            </w:r>
          </w:p>
        </w:tc>
        <w:tc>
          <w:tcPr>
            <w:tcW w:w="1027" w:type="pct"/>
            <w:tcBorders>
              <w:top w:val="nil"/>
              <w:left w:val="nil"/>
              <w:bottom w:val="single" w:sz="8" w:space="0" w:color="auto"/>
              <w:right w:val="single" w:sz="8" w:space="0" w:color="auto"/>
            </w:tcBorders>
            <w:shd w:val="clear" w:color="auto" w:fill="auto"/>
            <w:noWrap/>
            <w:vAlign w:val="center"/>
            <w:hideMark/>
          </w:tcPr>
          <w:p w14:paraId="2FCF2E9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3 (1.01, 5.88)</w:t>
            </w:r>
          </w:p>
        </w:tc>
        <w:tc>
          <w:tcPr>
            <w:tcW w:w="924" w:type="pct"/>
            <w:tcBorders>
              <w:top w:val="nil"/>
              <w:left w:val="nil"/>
              <w:bottom w:val="single" w:sz="8" w:space="0" w:color="auto"/>
              <w:right w:val="single" w:sz="8" w:space="0" w:color="auto"/>
            </w:tcBorders>
            <w:shd w:val="clear" w:color="auto" w:fill="auto"/>
            <w:noWrap/>
            <w:vAlign w:val="center"/>
            <w:hideMark/>
          </w:tcPr>
          <w:p w14:paraId="3A3C27C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3.024 (0.936, 9.763)</w:t>
            </w:r>
          </w:p>
        </w:tc>
        <w:tc>
          <w:tcPr>
            <w:tcW w:w="442" w:type="pct"/>
            <w:tcBorders>
              <w:top w:val="nil"/>
              <w:left w:val="nil"/>
              <w:bottom w:val="single" w:sz="8" w:space="0" w:color="auto"/>
              <w:right w:val="single" w:sz="8" w:space="0" w:color="auto"/>
            </w:tcBorders>
            <w:shd w:val="clear" w:color="auto" w:fill="auto"/>
            <w:vAlign w:val="center"/>
            <w:hideMark/>
          </w:tcPr>
          <w:p w14:paraId="30D003D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0.052</w:t>
            </w:r>
          </w:p>
        </w:tc>
      </w:tr>
      <w:tr w:rsidR="00470263" w:rsidRPr="008D4BE6" w14:paraId="5705059C"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2F377BC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History of severe COPD</w:t>
            </w:r>
          </w:p>
        </w:tc>
        <w:tc>
          <w:tcPr>
            <w:tcW w:w="1026" w:type="pct"/>
            <w:tcBorders>
              <w:top w:val="nil"/>
              <w:left w:val="nil"/>
              <w:bottom w:val="single" w:sz="8" w:space="0" w:color="auto"/>
              <w:right w:val="single" w:sz="8" w:space="0" w:color="auto"/>
            </w:tcBorders>
            <w:shd w:val="clear" w:color="auto" w:fill="auto"/>
            <w:noWrap/>
            <w:vAlign w:val="center"/>
            <w:hideMark/>
          </w:tcPr>
          <w:p w14:paraId="7E953CF6"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3E50B33C"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38F8E707"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3FC3D66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0E042A80"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76B5037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1953E01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13465 (94.67, 98.01)</w:t>
            </w:r>
          </w:p>
        </w:tc>
        <w:tc>
          <w:tcPr>
            <w:tcW w:w="1027" w:type="pct"/>
            <w:tcBorders>
              <w:top w:val="nil"/>
              <w:left w:val="nil"/>
              <w:bottom w:val="single" w:sz="8" w:space="0" w:color="auto"/>
              <w:right w:val="single" w:sz="8" w:space="0" w:color="auto"/>
            </w:tcBorders>
            <w:shd w:val="clear" w:color="auto" w:fill="auto"/>
            <w:noWrap/>
            <w:vAlign w:val="center"/>
            <w:hideMark/>
          </w:tcPr>
          <w:p w14:paraId="41C90B8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273 (92.23, 1.99)</w:t>
            </w:r>
          </w:p>
        </w:tc>
        <w:tc>
          <w:tcPr>
            <w:tcW w:w="924" w:type="pct"/>
            <w:tcBorders>
              <w:top w:val="nil"/>
              <w:left w:val="nil"/>
              <w:bottom w:val="single" w:sz="8" w:space="0" w:color="auto"/>
              <w:right w:val="single" w:sz="8" w:space="0" w:color="auto"/>
            </w:tcBorders>
            <w:shd w:val="clear" w:color="auto" w:fill="auto"/>
            <w:noWrap/>
            <w:vAlign w:val="center"/>
            <w:hideMark/>
          </w:tcPr>
          <w:p w14:paraId="58CB275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04B0CF0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4D1E2147"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50DF1EE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1AB0884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758 (5.33, 97.06)</w:t>
            </w:r>
          </w:p>
        </w:tc>
        <w:tc>
          <w:tcPr>
            <w:tcW w:w="1027" w:type="pct"/>
            <w:tcBorders>
              <w:top w:val="nil"/>
              <w:left w:val="nil"/>
              <w:bottom w:val="single" w:sz="8" w:space="0" w:color="auto"/>
              <w:right w:val="single" w:sz="8" w:space="0" w:color="auto"/>
            </w:tcBorders>
            <w:shd w:val="clear" w:color="auto" w:fill="auto"/>
            <w:noWrap/>
            <w:vAlign w:val="center"/>
            <w:hideMark/>
          </w:tcPr>
          <w:p w14:paraId="01693D9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23 (7.77, 2.94)</w:t>
            </w:r>
          </w:p>
        </w:tc>
        <w:tc>
          <w:tcPr>
            <w:tcW w:w="924" w:type="pct"/>
            <w:tcBorders>
              <w:top w:val="nil"/>
              <w:left w:val="nil"/>
              <w:bottom w:val="single" w:sz="8" w:space="0" w:color="auto"/>
              <w:right w:val="single" w:sz="8" w:space="0" w:color="auto"/>
            </w:tcBorders>
            <w:shd w:val="clear" w:color="auto" w:fill="auto"/>
            <w:noWrap/>
            <w:vAlign w:val="center"/>
            <w:hideMark/>
          </w:tcPr>
          <w:p w14:paraId="3D6CF1B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1.497 (0.972, 2.305)</w:t>
            </w:r>
          </w:p>
        </w:tc>
        <w:tc>
          <w:tcPr>
            <w:tcW w:w="442" w:type="pct"/>
            <w:tcBorders>
              <w:top w:val="nil"/>
              <w:left w:val="nil"/>
              <w:bottom w:val="single" w:sz="8" w:space="0" w:color="auto"/>
              <w:right w:val="single" w:sz="8" w:space="0" w:color="auto"/>
            </w:tcBorders>
            <w:shd w:val="clear" w:color="auto" w:fill="auto"/>
            <w:vAlign w:val="center"/>
            <w:hideMark/>
          </w:tcPr>
          <w:p w14:paraId="17810EB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0.065</w:t>
            </w:r>
          </w:p>
        </w:tc>
      </w:tr>
      <w:tr w:rsidR="00470263" w:rsidRPr="008D4BE6" w14:paraId="5187328A"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17EF6D5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History of ascites</w:t>
            </w:r>
          </w:p>
        </w:tc>
        <w:tc>
          <w:tcPr>
            <w:tcW w:w="1026" w:type="pct"/>
            <w:tcBorders>
              <w:top w:val="nil"/>
              <w:left w:val="nil"/>
              <w:bottom w:val="single" w:sz="8" w:space="0" w:color="auto"/>
              <w:right w:val="single" w:sz="8" w:space="0" w:color="auto"/>
            </w:tcBorders>
            <w:shd w:val="clear" w:color="auto" w:fill="auto"/>
            <w:noWrap/>
            <w:vAlign w:val="center"/>
            <w:hideMark/>
          </w:tcPr>
          <w:p w14:paraId="5743A16A"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5894396C"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496BBCE0"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4539B2A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5EFCD97A"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4AAAC6B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1496AB4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14205 (99.87, 97.98)</w:t>
            </w:r>
          </w:p>
        </w:tc>
        <w:tc>
          <w:tcPr>
            <w:tcW w:w="1027" w:type="pct"/>
            <w:tcBorders>
              <w:top w:val="nil"/>
              <w:left w:val="nil"/>
              <w:bottom w:val="single" w:sz="8" w:space="0" w:color="auto"/>
              <w:right w:val="single" w:sz="8" w:space="0" w:color="auto"/>
            </w:tcBorders>
            <w:shd w:val="clear" w:color="auto" w:fill="auto"/>
            <w:noWrap/>
            <w:vAlign w:val="center"/>
            <w:hideMark/>
          </w:tcPr>
          <w:p w14:paraId="7336B21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293 (98.99, 2.02)</w:t>
            </w:r>
          </w:p>
        </w:tc>
        <w:tc>
          <w:tcPr>
            <w:tcW w:w="924" w:type="pct"/>
            <w:tcBorders>
              <w:top w:val="nil"/>
              <w:left w:val="nil"/>
              <w:bottom w:val="single" w:sz="8" w:space="0" w:color="auto"/>
              <w:right w:val="single" w:sz="8" w:space="0" w:color="auto"/>
            </w:tcBorders>
            <w:shd w:val="clear" w:color="auto" w:fill="auto"/>
            <w:noWrap/>
            <w:vAlign w:val="center"/>
            <w:hideMark/>
          </w:tcPr>
          <w:p w14:paraId="145B05A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02F3D34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790EA76D"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25300E3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3F9F20B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18 (0.13, 85.71)</w:t>
            </w:r>
          </w:p>
        </w:tc>
        <w:tc>
          <w:tcPr>
            <w:tcW w:w="1027" w:type="pct"/>
            <w:tcBorders>
              <w:top w:val="nil"/>
              <w:left w:val="nil"/>
              <w:bottom w:val="single" w:sz="8" w:space="0" w:color="auto"/>
              <w:right w:val="single" w:sz="8" w:space="0" w:color="auto"/>
            </w:tcBorders>
            <w:shd w:val="clear" w:color="auto" w:fill="auto"/>
            <w:noWrap/>
            <w:vAlign w:val="center"/>
            <w:hideMark/>
          </w:tcPr>
          <w:p w14:paraId="56B7BFA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3 (1.01, 14.29)</w:t>
            </w:r>
          </w:p>
        </w:tc>
        <w:tc>
          <w:tcPr>
            <w:tcW w:w="924" w:type="pct"/>
            <w:tcBorders>
              <w:top w:val="nil"/>
              <w:left w:val="nil"/>
              <w:bottom w:val="single" w:sz="8" w:space="0" w:color="auto"/>
              <w:right w:val="single" w:sz="8" w:space="0" w:color="auto"/>
            </w:tcBorders>
            <w:shd w:val="clear" w:color="auto" w:fill="auto"/>
            <w:noWrap/>
            <w:vAlign w:val="center"/>
            <w:hideMark/>
          </w:tcPr>
          <w:p w14:paraId="6241924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8.08 (2.367, 27.581)</w:t>
            </w:r>
          </w:p>
        </w:tc>
        <w:tc>
          <w:tcPr>
            <w:tcW w:w="442" w:type="pct"/>
            <w:tcBorders>
              <w:top w:val="nil"/>
              <w:left w:val="nil"/>
              <w:bottom w:val="single" w:sz="8" w:space="0" w:color="auto"/>
              <w:right w:val="single" w:sz="8" w:space="0" w:color="auto"/>
            </w:tcBorders>
            <w:shd w:val="clear" w:color="auto" w:fill="auto"/>
            <w:vAlign w:val="center"/>
            <w:hideMark/>
          </w:tcPr>
          <w:p w14:paraId="0895E21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r w:rsidR="00470263" w:rsidRPr="008D4BE6" w14:paraId="5CF7A558"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4239E71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&gt;10% unintentional loss of body weight in last 6 months</w:t>
            </w:r>
          </w:p>
        </w:tc>
        <w:tc>
          <w:tcPr>
            <w:tcW w:w="1026" w:type="pct"/>
            <w:tcBorders>
              <w:top w:val="nil"/>
              <w:left w:val="nil"/>
              <w:bottom w:val="single" w:sz="8" w:space="0" w:color="auto"/>
              <w:right w:val="single" w:sz="8" w:space="0" w:color="auto"/>
            </w:tcBorders>
            <w:shd w:val="clear" w:color="auto" w:fill="auto"/>
            <w:noWrap/>
            <w:vAlign w:val="center"/>
            <w:hideMark/>
          </w:tcPr>
          <w:p w14:paraId="42639681"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0191A656"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4BA6F20E"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5EA0E17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1EF27BCA"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238F038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No</w:t>
            </w:r>
          </w:p>
        </w:tc>
        <w:tc>
          <w:tcPr>
            <w:tcW w:w="1026" w:type="pct"/>
            <w:tcBorders>
              <w:top w:val="nil"/>
              <w:left w:val="nil"/>
              <w:bottom w:val="single" w:sz="8" w:space="0" w:color="auto"/>
              <w:right w:val="single" w:sz="8" w:space="0" w:color="auto"/>
            </w:tcBorders>
            <w:shd w:val="clear" w:color="auto" w:fill="auto"/>
            <w:noWrap/>
            <w:vAlign w:val="center"/>
            <w:hideMark/>
          </w:tcPr>
          <w:p w14:paraId="408619D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13875 (97.55, 97.99)</w:t>
            </w:r>
          </w:p>
        </w:tc>
        <w:tc>
          <w:tcPr>
            <w:tcW w:w="1027" w:type="pct"/>
            <w:tcBorders>
              <w:top w:val="nil"/>
              <w:left w:val="nil"/>
              <w:bottom w:val="single" w:sz="8" w:space="0" w:color="auto"/>
              <w:right w:val="single" w:sz="8" w:space="0" w:color="auto"/>
            </w:tcBorders>
            <w:shd w:val="clear" w:color="auto" w:fill="auto"/>
            <w:noWrap/>
            <w:vAlign w:val="center"/>
            <w:hideMark/>
          </w:tcPr>
          <w:p w14:paraId="739B47B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284 (95.95, 2.01)</w:t>
            </w:r>
          </w:p>
        </w:tc>
        <w:tc>
          <w:tcPr>
            <w:tcW w:w="924" w:type="pct"/>
            <w:tcBorders>
              <w:top w:val="nil"/>
              <w:left w:val="nil"/>
              <w:bottom w:val="single" w:sz="8" w:space="0" w:color="auto"/>
              <w:right w:val="single" w:sz="8" w:space="0" w:color="auto"/>
            </w:tcBorders>
            <w:shd w:val="clear" w:color="auto" w:fill="auto"/>
            <w:noWrap/>
            <w:vAlign w:val="center"/>
            <w:hideMark/>
          </w:tcPr>
          <w:p w14:paraId="271B312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5939F17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30AFC2F7"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5783C86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Yes</w:t>
            </w:r>
          </w:p>
        </w:tc>
        <w:tc>
          <w:tcPr>
            <w:tcW w:w="1026" w:type="pct"/>
            <w:tcBorders>
              <w:top w:val="nil"/>
              <w:left w:val="nil"/>
              <w:bottom w:val="single" w:sz="8" w:space="0" w:color="auto"/>
              <w:right w:val="single" w:sz="8" w:space="0" w:color="auto"/>
            </w:tcBorders>
            <w:shd w:val="clear" w:color="auto" w:fill="auto"/>
            <w:noWrap/>
            <w:vAlign w:val="center"/>
            <w:hideMark/>
          </w:tcPr>
          <w:p w14:paraId="75AAFC7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348 (2.45, 96.67)</w:t>
            </w:r>
          </w:p>
        </w:tc>
        <w:tc>
          <w:tcPr>
            <w:tcW w:w="1027" w:type="pct"/>
            <w:tcBorders>
              <w:top w:val="nil"/>
              <w:left w:val="nil"/>
              <w:bottom w:val="single" w:sz="8" w:space="0" w:color="auto"/>
              <w:right w:val="single" w:sz="8" w:space="0" w:color="auto"/>
            </w:tcBorders>
            <w:shd w:val="clear" w:color="auto" w:fill="auto"/>
            <w:noWrap/>
            <w:vAlign w:val="center"/>
            <w:hideMark/>
          </w:tcPr>
          <w:p w14:paraId="3BA4492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12 (4.05, 3.33)</w:t>
            </w:r>
          </w:p>
        </w:tc>
        <w:tc>
          <w:tcPr>
            <w:tcW w:w="924" w:type="pct"/>
            <w:tcBorders>
              <w:top w:val="nil"/>
              <w:left w:val="nil"/>
              <w:bottom w:val="single" w:sz="8" w:space="0" w:color="auto"/>
              <w:right w:val="single" w:sz="8" w:space="0" w:color="auto"/>
            </w:tcBorders>
            <w:shd w:val="clear" w:color="auto" w:fill="auto"/>
            <w:noWrap/>
            <w:vAlign w:val="center"/>
            <w:hideMark/>
          </w:tcPr>
          <w:p w14:paraId="28975AF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1.685 (0.936, 3.031)</w:t>
            </w:r>
          </w:p>
        </w:tc>
        <w:tc>
          <w:tcPr>
            <w:tcW w:w="442" w:type="pct"/>
            <w:tcBorders>
              <w:top w:val="nil"/>
              <w:left w:val="nil"/>
              <w:bottom w:val="single" w:sz="8" w:space="0" w:color="auto"/>
              <w:right w:val="single" w:sz="8" w:space="0" w:color="auto"/>
            </w:tcBorders>
            <w:shd w:val="clear" w:color="auto" w:fill="auto"/>
            <w:vAlign w:val="center"/>
            <w:hideMark/>
          </w:tcPr>
          <w:p w14:paraId="5189DB5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0.078</w:t>
            </w:r>
          </w:p>
        </w:tc>
      </w:tr>
      <w:tr w:rsidR="00470263" w:rsidRPr="008D4BE6" w14:paraId="176EEBA5" w14:textId="77777777" w:rsidTr="00A54D78">
        <w:trPr>
          <w:trHeight w:val="335"/>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61D73FF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Surgical Approach</w:t>
            </w:r>
          </w:p>
        </w:tc>
        <w:tc>
          <w:tcPr>
            <w:tcW w:w="1026" w:type="pct"/>
            <w:tcBorders>
              <w:top w:val="nil"/>
              <w:left w:val="nil"/>
              <w:bottom w:val="single" w:sz="8" w:space="0" w:color="auto"/>
              <w:right w:val="single" w:sz="8" w:space="0" w:color="auto"/>
            </w:tcBorders>
            <w:shd w:val="clear" w:color="auto" w:fill="auto"/>
            <w:noWrap/>
            <w:vAlign w:val="center"/>
            <w:hideMark/>
          </w:tcPr>
          <w:p w14:paraId="19BDD674"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1027" w:type="pct"/>
            <w:tcBorders>
              <w:top w:val="nil"/>
              <w:left w:val="nil"/>
              <w:bottom w:val="single" w:sz="8" w:space="0" w:color="auto"/>
              <w:right w:val="single" w:sz="8" w:space="0" w:color="auto"/>
            </w:tcBorders>
            <w:shd w:val="clear" w:color="auto" w:fill="auto"/>
            <w:noWrap/>
            <w:vAlign w:val="center"/>
            <w:hideMark/>
          </w:tcPr>
          <w:p w14:paraId="22D8CCF3"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924" w:type="pct"/>
            <w:tcBorders>
              <w:top w:val="nil"/>
              <w:left w:val="nil"/>
              <w:bottom w:val="single" w:sz="8" w:space="0" w:color="auto"/>
              <w:right w:val="single" w:sz="8" w:space="0" w:color="auto"/>
            </w:tcBorders>
            <w:shd w:val="clear" w:color="auto" w:fill="auto"/>
            <w:noWrap/>
            <w:vAlign w:val="center"/>
            <w:hideMark/>
          </w:tcPr>
          <w:p w14:paraId="723B5194" w14:textId="77777777" w:rsidR="00470263" w:rsidRPr="008D4BE6" w:rsidRDefault="00470263" w:rsidP="005B68AC">
            <w:pPr>
              <w:spacing w:line="240" w:lineRule="auto"/>
              <w:rPr>
                <w:rFonts w:asciiTheme="majorBidi" w:eastAsia="Times New Roman" w:hAnsiTheme="majorBidi" w:cstheme="majorBidi"/>
                <w:color w:val="000000"/>
                <w:lang w:val="en-US"/>
              </w:rPr>
            </w:pPr>
            <w:r w:rsidRPr="008D4BE6">
              <w:rPr>
                <w:rFonts w:asciiTheme="majorBidi" w:eastAsia="Times New Roman" w:hAnsiTheme="majorBidi" w:cstheme="majorBidi"/>
                <w:color w:val="000000"/>
                <w:lang w:val="en-US"/>
              </w:rPr>
              <w:t> </w:t>
            </w:r>
          </w:p>
        </w:tc>
        <w:tc>
          <w:tcPr>
            <w:tcW w:w="442" w:type="pct"/>
            <w:tcBorders>
              <w:top w:val="nil"/>
              <w:left w:val="nil"/>
              <w:bottom w:val="single" w:sz="8" w:space="0" w:color="auto"/>
              <w:right w:val="single" w:sz="8" w:space="0" w:color="auto"/>
            </w:tcBorders>
            <w:shd w:val="clear" w:color="auto" w:fill="auto"/>
            <w:vAlign w:val="center"/>
            <w:hideMark/>
          </w:tcPr>
          <w:p w14:paraId="68B589A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74836283"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1552C4D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Laparoscopic</w:t>
            </w:r>
          </w:p>
        </w:tc>
        <w:tc>
          <w:tcPr>
            <w:tcW w:w="1026" w:type="pct"/>
            <w:tcBorders>
              <w:top w:val="nil"/>
              <w:left w:val="nil"/>
              <w:bottom w:val="single" w:sz="8" w:space="0" w:color="auto"/>
              <w:right w:val="single" w:sz="8" w:space="0" w:color="auto"/>
            </w:tcBorders>
            <w:shd w:val="clear" w:color="auto" w:fill="auto"/>
            <w:noWrap/>
            <w:vAlign w:val="center"/>
            <w:hideMark/>
          </w:tcPr>
          <w:p w14:paraId="2356A39B"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9121 (64.1, 98.59)</w:t>
            </w:r>
          </w:p>
        </w:tc>
        <w:tc>
          <w:tcPr>
            <w:tcW w:w="1027" w:type="pct"/>
            <w:tcBorders>
              <w:top w:val="nil"/>
              <w:left w:val="nil"/>
              <w:bottom w:val="single" w:sz="8" w:space="0" w:color="auto"/>
              <w:right w:val="single" w:sz="8" w:space="0" w:color="auto"/>
            </w:tcBorders>
            <w:shd w:val="clear" w:color="auto" w:fill="auto"/>
            <w:noWrap/>
            <w:vAlign w:val="center"/>
            <w:hideMark/>
          </w:tcPr>
          <w:p w14:paraId="4DCF44E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130 (43.9, 1.41)</w:t>
            </w:r>
          </w:p>
        </w:tc>
        <w:tc>
          <w:tcPr>
            <w:tcW w:w="924" w:type="pct"/>
            <w:tcBorders>
              <w:top w:val="nil"/>
              <w:left w:val="nil"/>
              <w:bottom w:val="single" w:sz="8" w:space="0" w:color="auto"/>
              <w:right w:val="single" w:sz="8" w:space="0" w:color="auto"/>
            </w:tcBorders>
            <w:shd w:val="clear" w:color="auto" w:fill="auto"/>
            <w:noWrap/>
            <w:vAlign w:val="center"/>
            <w:hideMark/>
          </w:tcPr>
          <w:p w14:paraId="23942D3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442" w:type="pct"/>
            <w:tcBorders>
              <w:top w:val="nil"/>
              <w:left w:val="nil"/>
              <w:bottom w:val="single" w:sz="8" w:space="0" w:color="auto"/>
              <w:right w:val="single" w:sz="8" w:space="0" w:color="auto"/>
            </w:tcBorders>
            <w:shd w:val="clear" w:color="auto" w:fill="auto"/>
            <w:vAlign w:val="center"/>
            <w:hideMark/>
          </w:tcPr>
          <w:p w14:paraId="069746C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w:t>
            </w:r>
          </w:p>
        </w:tc>
      </w:tr>
      <w:tr w:rsidR="00470263" w:rsidRPr="008D4BE6" w14:paraId="311F9AFA" w14:textId="77777777" w:rsidTr="00A54D78">
        <w:trPr>
          <w:trHeight w:val="310"/>
        </w:trPr>
        <w:tc>
          <w:tcPr>
            <w:tcW w:w="1580" w:type="pct"/>
            <w:tcBorders>
              <w:top w:val="nil"/>
              <w:left w:val="single" w:sz="8" w:space="0" w:color="auto"/>
              <w:bottom w:val="single" w:sz="8" w:space="0" w:color="auto"/>
              <w:right w:val="single" w:sz="8" w:space="0" w:color="auto"/>
            </w:tcBorders>
            <w:shd w:val="clear" w:color="auto" w:fill="auto"/>
            <w:noWrap/>
            <w:vAlign w:val="center"/>
            <w:hideMark/>
          </w:tcPr>
          <w:p w14:paraId="6F671F1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 xml:space="preserve">      Open</w:t>
            </w:r>
          </w:p>
        </w:tc>
        <w:tc>
          <w:tcPr>
            <w:tcW w:w="1026" w:type="pct"/>
            <w:tcBorders>
              <w:top w:val="nil"/>
              <w:left w:val="nil"/>
              <w:bottom w:val="single" w:sz="8" w:space="0" w:color="auto"/>
              <w:right w:val="single" w:sz="8" w:space="0" w:color="auto"/>
            </w:tcBorders>
            <w:shd w:val="clear" w:color="auto" w:fill="auto"/>
            <w:noWrap/>
            <w:vAlign w:val="center"/>
            <w:hideMark/>
          </w:tcPr>
          <w:p w14:paraId="6220BDF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5102 (35.9, 96.85)</w:t>
            </w:r>
          </w:p>
        </w:tc>
        <w:tc>
          <w:tcPr>
            <w:tcW w:w="1027" w:type="pct"/>
            <w:tcBorders>
              <w:top w:val="nil"/>
              <w:left w:val="nil"/>
              <w:bottom w:val="single" w:sz="8" w:space="0" w:color="auto"/>
              <w:right w:val="single" w:sz="8" w:space="0" w:color="auto"/>
            </w:tcBorders>
            <w:shd w:val="clear" w:color="auto" w:fill="auto"/>
            <w:noWrap/>
            <w:vAlign w:val="center"/>
            <w:hideMark/>
          </w:tcPr>
          <w:p w14:paraId="1D23F23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166 (56.1, 3.15)</w:t>
            </w:r>
          </w:p>
        </w:tc>
        <w:tc>
          <w:tcPr>
            <w:tcW w:w="924" w:type="pct"/>
            <w:tcBorders>
              <w:top w:val="nil"/>
              <w:left w:val="nil"/>
              <w:bottom w:val="single" w:sz="8" w:space="0" w:color="auto"/>
              <w:right w:val="single" w:sz="8" w:space="0" w:color="auto"/>
            </w:tcBorders>
            <w:shd w:val="clear" w:color="auto" w:fill="auto"/>
            <w:noWrap/>
            <w:vAlign w:val="center"/>
            <w:hideMark/>
          </w:tcPr>
          <w:p w14:paraId="070FE0C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2.283 (1.81, 2.879)</w:t>
            </w:r>
          </w:p>
        </w:tc>
        <w:tc>
          <w:tcPr>
            <w:tcW w:w="442" w:type="pct"/>
            <w:tcBorders>
              <w:top w:val="nil"/>
              <w:left w:val="nil"/>
              <w:bottom w:val="single" w:sz="8" w:space="0" w:color="auto"/>
              <w:right w:val="single" w:sz="8" w:space="0" w:color="auto"/>
            </w:tcBorders>
            <w:shd w:val="clear" w:color="auto" w:fill="auto"/>
            <w:vAlign w:val="center"/>
            <w:hideMark/>
          </w:tcPr>
          <w:p w14:paraId="072EFFF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&lt;0.001</w:t>
            </w:r>
          </w:p>
        </w:tc>
      </w:tr>
    </w:tbl>
    <w:p w14:paraId="24892B49" w14:textId="77777777" w:rsidR="00470263" w:rsidRPr="008D4BE6" w:rsidRDefault="00470263" w:rsidP="00470263">
      <w:pPr>
        <w:spacing w:before="240" w:after="240" w:line="240" w:lineRule="auto"/>
        <w:rPr>
          <w:rFonts w:asciiTheme="majorBidi" w:hAnsiTheme="majorBidi" w:cstheme="majorBidi"/>
          <w:b/>
          <w:u w:val="single"/>
        </w:rPr>
      </w:pPr>
    </w:p>
    <w:p w14:paraId="3D4E476B" w14:textId="77777777" w:rsidR="00470263" w:rsidRPr="008D4BE6" w:rsidRDefault="00470263" w:rsidP="00470263">
      <w:pPr>
        <w:rPr>
          <w:rFonts w:asciiTheme="majorBidi" w:hAnsiTheme="majorBidi" w:cstheme="majorBidi"/>
          <w:b/>
          <w:u w:val="single"/>
        </w:rPr>
      </w:pPr>
      <w:r w:rsidRPr="008D4BE6">
        <w:rPr>
          <w:rFonts w:asciiTheme="majorBidi" w:hAnsiTheme="majorBidi" w:cstheme="majorBidi"/>
          <w:b/>
          <w:u w:val="single"/>
        </w:rPr>
        <w:br w:type="page"/>
      </w:r>
    </w:p>
    <w:p w14:paraId="7F169AAD" w14:textId="3B8F6066" w:rsidR="00470263" w:rsidRPr="008D4BE6" w:rsidRDefault="00581D8C" w:rsidP="00470263">
      <w:pPr>
        <w:spacing w:before="240" w:after="240" w:line="240" w:lineRule="auto"/>
        <w:rPr>
          <w:rFonts w:asciiTheme="majorBidi" w:hAnsiTheme="majorBidi" w:cstheme="majorBidi"/>
          <w:b/>
          <w:u w:val="single"/>
        </w:rPr>
      </w:pPr>
      <w:r w:rsidRPr="008D4BE6">
        <w:rPr>
          <w:rFonts w:asciiTheme="majorBidi" w:hAnsiTheme="majorBidi" w:cstheme="majorBidi"/>
          <w:b/>
          <w:u w:val="single"/>
        </w:rPr>
        <w:lastRenderedPageBreak/>
        <w:t>Table</w:t>
      </w:r>
      <w:r w:rsidR="00470263" w:rsidRPr="008D4BE6">
        <w:rPr>
          <w:rFonts w:asciiTheme="majorBidi" w:hAnsiTheme="majorBidi" w:cstheme="majorBidi"/>
          <w:b/>
          <w:u w:val="single"/>
        </w:rPr>
        <w:t xml:space="preserve"> </w:t>
      </w:r>
      <w:r w:rsidRPr="008D4BE6">
        <w:rPr>
          <w:rFonts w:asciiTheme="majorBidi" w:hAnsiTheme="majorBidi" w:cstheme="majorBidi"/>
          <w:b/>
          <w:u w:val="single"/>
        </w:rPr>
        <w:t>S</w:t>
      </w:r>
      <w:r w:rsidR="00470263" w:rsidRPr="008D4BE6">
        <w:rPr>
          <w:rFonts w:asciiTheme="majorBidi" w:hAnsiTheme="majorBidi" w:cstheme="majorBidi"/>
          <w:b/>
          <w:u w:val="single"/>
        </w:rPr>
        <w:t>3: Result of backwards-stepwise multivariable logistic regression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1171"/>
        <w:gridCol w:w="1294"/>
        <w:gridCol w:w="1214"/>
        <w:gridCol w:w="1186"/>
      </w:tblGrid>
      <w:tr w:rsidR="00470263" w:rsidRPr="008D4BE6" w14:paraId="1F2A0C57" w14:textId="77777777" w:rsidTr="005B68AC">
        <w:trPr>
          <w:trHeight w:val="295"/>
        </w:trPr>
        <w:tc>
          <w:tcPr>
            <w:tcW w:w="2399" w:type="pct"/>
            <w:shd w:val="clear" w:color="auto" w:fill="auto"/>
            <w:noWrap/>
            <w:vAlign w:val="bottom"/>
            <w:hideMark/>
          </w:tcPr>
          <w:p w14:paraId="2138D1A4" w14:textId="77777777" w:rsidR="00470263" w:rsidRPr="008D4BE6" w:rsidRDefault="00470263" w:rsidP="005B68AC">
            <w:pPr>
              <w:spacing w:line="240" w:lineRule="auto"/>
              <w:rPr>
                <w:rFonts w:asciiTheme="majorBidi" w:eastAsia="Times New Roman" w:hAnsiTheme="majorBidi" w:cstheme="majorBidi"/>
                <w:lang w:val="en-US"/>
              </w:rPr>
            </w:pPr>
            <w:r w:rsidRPr="008D4BE6">
              <w:rPr>
                <w:rFonts w:asciiTheme="majorBidi" w:eastAsia="Times New Roman" w:hAnsiTheme="majorBidi" w:cstheme="majorBidi"/>
                <w:lang w:val="en-US"/>
              </w:rPr>
              <w:t>Step 12*</w:t>
            </w:r>
          </w:p>
        </w:tc>
        <w:tc>
          <w:tcPr>
            <w:tcW w:w="626" w:type="pct"/>
            <w:shd w:val="clear" w:color="auto" w:fill="auto"/>
            <w:noWrap/>
            <w:vAlign w:val="bottom"/>
            <w:hideMark/>
          </w:tcPr>
          <w:p w14:paraId="1BCF3E8C" w14:textId="729CF752" w:rsidR="00470263" w:rsidRPr="008D4BE6" w:rsidRDefault="00A61DF8"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P-Value</w:t>
            </w:r>
          </w:p>
        </w:tc>
        <w:tc>
          <w:tcPr>
            <w:tcW w:w="692" w:type="pct"/>
            <w:shd w:val="clear" w:color="auto" w:fill="auto"/>
            <w:noWrap/>
            <w:vAlign w:val="bottom"/>
            <w:hideMark/>
          </w:tcPr>
          <w:p w14:paraId="789F3CA6" w14:textId="342EBD48" w:rsidR="00470263" w:rsidRPr="008D4BE6" w:rsidRDefault="00A61DF8"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Odds Ratio</w:t>
            </w:r>
          </w:p>
        </w:tc>
        <w:tc>
          <w:tcPr>
            <w:tcW w:w="1283" w:type="pct"/>
            <w:gridSpan w:val="2"/>
            <w:shd w:val="clear" w:color="auto" w:fill="auto"/>
            <w:noWrap/>
            <w:vAlign w:val="bottom"/>
            <w:hideMark/>
          </w:tcPr>
          <w:p w14:paraId="0FE6AA90" w14:textId="51004B5E"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95% C.I.</w:t>
            </w:r>
            <w:r w:rsidR="003058E7" w:rsidRPr="008D4BE6">
              <w:rPr>
                <w:rFonts w:asciiTheme="majorBidi" w:eastAsia="Times New Roman" w:hAnsiTheme="majorBidi" w:cstheme="majorBidi"/>
                <w:color w:val="000000"/>
                <w:sz w:val="20"/>
                <w:szCs w:val="20"/>
                <w:lang w:val="en-US"/>
              </w:rPr>
              <w:t xml:space="preserve"> </w:t>
            </w:r>
            <w:r w:rsidRPr="008D4BE6">
              <w:rPr>
                <w:rFonts w:asciiTheme="majorBidi" w:eastAsia="Times New Roman" w:hAnsiTheme="majorBidi" w:cstheme="majorBidi"/>
                <w:color w:val="000000"/>
                <w:sz w:val="20"/>
                <w:szCs w:val="20"/>
                <w:lang w:val="en-US"/>
              </w:rPr>
              <w:t xml:space="preserve">for </w:t>
            </w:r>
            <w:r w:rsidR="00A61DF8" w:rsidRPr="008D4BE6">
              <w:rPr>
                <w:rFonts w:asciiTheme="majorBidi" w:eastAsia="Times New Roman" w:hAnsiTheme="majorBidi" w:cstheme="majorBidi"/>
                <w:color w:val="000000"/>
                <w:sz w:val="20"/>
                <w:szCs w:val="20"/>
                <w:lang w:val="en-US"/>
              </w:rPr>
              <w:t>Odds Ratio</w:t>
            </w:r>
          </w:p>
        </w:tc>
      </w:tr>
      <w:tr w:rsidR="00470263" w:rsidRPr="008D4BE6" w14:paraId="4595A239" w14:textId="77777777" w:rsidTr="005B68AC">
        <w:trPr>
          <w:trHeight w:val="295"/>
        </w:trPr>
        <w:tc>
          <w:tcPr>
            <w:tcW w:w="2399" w:type="pct"/>
            <w:shd w:val="clear" w:color="auto" w:fill="auto"/>
            <w:noWrap/>
            <w:vAlign w:val="bottom"/>
            <w:hideMark/>
          </w:tcPr>
          <w:p w14:paraId="2B2817A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p>
        </w:tc>
        <w:tc>
          <w:tcPr>
            <w:tcW w:w="626" w:type="pct"/>
            <w:shd w:val="clear" w:color="auto" w:fill="auto"/>
            <w:noWrap/>
            <w:vAlign w:val="bottom"/>
            <w:hideMark/>
          </w:tcPr>
          <w:p w14:paraId="3C206EC2" w14:textId="77777777" w:rsidR="00470263" w:rsidRPr="008D4BE6" w:rsidRDefault="00470263" w:rsidP="005B68AC">
            <w:pPr>
              <w:spacing w:line="240" w:lineRule="auto"/>
              <w:rPr>
                <w:rFonts w:asciiTheme="majorBidi" w:eastAsia="Times New Roman" w:hAnsiTheme="majorBidi" w:cstheme="majorBidi"/>
                <w:sz w:val="18"/>
                <w:szCs w:val="18"/>
                <w:lang w:val="en-US"/>
              </w:rPr>
            </w:pPr>
          </w:p>
        </w:tc>
        <w:tc>
          <w:tcPr>
            <w:tcW w:w="692" w:type="pct"/>
            <w:shd w:val="clear" w:color="auto" w:fill="auto"/>
            <w:noWrap/>
            <w:vAlign w:val="bottom"/>
            <w:hideMark/>
          </w:tcPr>
          <w:p w14:paraId="4345E371" w14:textId="77777777" w:rsidR="00470263" w:rsidRPr="008D4BE6" w:rsidRDefault="00470263" w:rsidP="005B68AC">
            <w:pPr>
              <w:spacing w:line="240" w:lineRule="auto"/>
              <w:rPr>
                <w:rFonts w:asciiTheme="majorBidi" w:eastAsia="Times New Roman" w:hAnsiTheme="majorBidi" w:cstheme="majorBidi"/>
                <w:sz w:val="18"/>
                <w:szCs w:val="18"/>
                <w:lang w:val="en-US"/>
              </w:rPr>
            </w:pPr>
          </w:p>
        </w:tc>
        <w:tc>
          <w:tcPr>
            <w:tcW w:w="649" w:type="pct"/>
            <w:shd w:val="clear" w:color="auto" w:fill="auto"/>
            <w:noWrap/>
            <w:vAlign w:val="bottom"/>
            <w:hideMark/>
          </w:tcPr>
          <w:p w14:paraId="6B332D2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Lower</w:t>
            </w:r>
          </w:p>
        </w:tc>
        <w:tc>
          <w:tcPr>
            <w:tcW w:w="635" w:type="pct"/>
            <w:shd w:val="clear" w:color="auto" w:fill="auto"/>
            <w:noWrap/>
            <w:vAlign w:val="bottom"/>
            <w:hideMark/>
          </w:tcPr>
          <w:p w14:paraId="25583FD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Upper</w:t>
            </w:r>
          </w:p>
        </w:tc>
      </w:tr>
      <w:tr w:rsidR="00470263" w:rsidRPr="008D4BE6" w14:paraId="1EB9E983" w14:textId="77777777" w:rsidTr="005B68AC">
        <w:trPr>
          <w:trHeight w:val="295"/>
        </w:trPr>
        <w:tc>
          <w:tcPr>
            <w:tcW w:w="2399" w:type="pct"/>
            <w:shd w:val="clear" w:color="auto" w:fill="auto"/>
            <w:noWrap/>
            <w:vAlign w:val="bottom"/>
            <w:hideMark/>
          </w:tcPr>
          <w:p w14:paraId="187D485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Age</w:t>
            </w:r>
          </w:p>
        </w:tc>
        <w:tc>
          <w:tcPr>
            <w:tcW w:w="626" w:type="pct"/>
            <w:shd w:val="clear" w:color="auto" w:fill="auto"/>
            <w:noWrap/>
            <w:vAlign w:val="bottom"/>
            <w:hideMark/>
          </w:tcPr>
          <w:p w14:paraId="194DE19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0.053</w:t>
            </w:r>
          </w:p>
        </w:tc>
        <w:tc>
          <w:tcPr>
            <w:tcW w:w="692" w:type="pct"/>
            <w:shd w:val="clear" w:color="auto" w:fill="auto"/>
            <w:noWrap/>
            <w:vAlign w:val="bottom"/>
            <w:hideMark/>
          </w:tcPr>
          <w:p w14:paraId="5BD4347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1.011</w:t>
            </w:r>
          </w:p>
        </w:tc>
        <w:tc>
          <w:tcPr>
            <w:tcW w:w="649" w:type="pct"/>
            <w:shd w:val="clear" w:color="auto" w:fill="auto"/>
            <w:noWrap/>
            <w:vAlign w:val="bottom"/>
            <w:hideMark/>
          </w:tcPr>
          <w:p w14:paraId="76EDDEE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w:t>
            </w:r>
          </w:p>
        </w:tc>
        <w:tc>
          <w:tcPr>
            <w:tcW w:w="635" w:type="pct"/>
            <w:shd w:val="clear" w:color="auto" w:fill="auto"/>
            <w:noWrap/>
            <w:vAlign w:val="bottom"/>
            <w:hideMark/>
          </w:tcPr>
          <w:p w14:paraId="1E8CE85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1.021</w:t>
            </w:r>
          </w:p>
        </w:tc>
      </w:tr>
      <w:tr w:rsidR="00470263" w:rsidRPr="008D4BE6" w14:paraId="42335E75" w14:textId="77777777" w:rsidTr="005B68AC">
        <w:trPr>
          <w:trHeight w:val="295"/>
        </w:trPr>
        <w:tc>
          <w:tcPr>
            <w:tcW w:w="2399" w:type="pct"/>
            <w:shd w:val="clear" w:color="auto" w:fill="auto"/>
            <w:noWrap/>
            <w:vAlign w:val="bottom"/>
            <w:hideMark/>
          </w:tcPr>
          <w:p w14:paraId="5D3FF7E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BMI</w:t>
            </w:r>
          </w:p>
        </w:tc>
        <w:tc>
          <w:tcPr>
            <w:tcW w:w="626" w:type="pct"/>
            <w:shd w:val="clear" w:color="auto" w:fill="auto"/>
            <w:noWrap/>
            <w:vAlign w:val="bottom"/>
            <w:hideMark/>
          </w:tcPr>
          <w:p w14:paraId="7A15D39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0.001</w:t>
            </w:r>
          </w:p>
        </w:tc>
        <w:tc>
          <w:tcPr>
            <w:tcW w:w="692" w:type="pct"/>
            <w:shd w:val="clear" w:color="auto" w:fill="auto"/>
            <w:noWrap/>
            <w:vAlign w:val="bottom"/>
            <w:hideMark/>
          </w:tcPr>
          <w:p w14:paraId="3263726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1.028</w:t>
            </w:r>
          </w:p>
        </w:tc>
        <w:tc>
          <w:tcPr>
            <w:tcW w:w="649" w:type="pct"/>
            <w:shd w:val="clear" w:color="auto" w:fill="auto"/>
            <w:noWrap/>
            <w:vAlign w:val="bottom"/>
            <w:hideMark/>
          </w:tcPr>
          <w:p w14:paraId="2C28500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1.012</w:t>
            </w:r>
          </w:p>
        </w:tc>
        <w:tc>
          <w:tcPr>
            <w:tcW w:w="635" w:type="pct"/>
            <w:shd w:val="clear" w:color="auto" w:fill="auto"/>
            <w:noWrap/>
            <w:vAlign w:val="bottom"/>
            <w:hideMark/>
          </w:tcPr>
          <w:p w14:paraId="2193E7E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1.046</w:t>
            </w:r>
          </w:p>
        </w:tc>
      </w:tr>
      <w:tr w:rsidR="00470263" w:rsidRPr="008D4BE6" w14:paraId="36ED8864" w14:textId="77777777" w:rsidTr="005B68AC">
        <w:trPr>
          <w:trHeight w:val="295"/>
        </w:trPr>
        <w:tc>
          <w:tcPr>
            <w:tcW w:w="2399" w:type="pct"/>
            <w:shd w:val="clear" w:color="auto" w:fill="auto"/>
            <w:noWrap/>
            <w:vAlign w:val="bottom"/>
            <w:hideMark/>
          </w:tcPr>
          <w:p w14:paraId="47BB7F6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Pre-Op Creatinine</w:t>
            </w:r>
          </w:p>
        </w:tc>
        <w:tc>
          <w:tcPr>
            <w:tcW w:w="626" w:type="pct"/>
            <w:shd w:val="clear" w:color="auto" w:fill="auto"/>
            <w:noWrap/>
            <w:vAlign w:val="bottom"/>
            <w:hideMark/>
          </w:tcPr>
          <w:p w14:paraId="7F14590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w:t>
            </w:r>
          </w:p>
        </w:tc>
        <w:tc>
          <w:tcPr>
            <w:tcW w:w="692" w:type="pct"/>
            <w:shd w:val="clear" w:color="auto" w:fill="auto"/>
            <w:noWrap/>
            <w:vAlign w:val="bottom"/>
            <w:hideMark/>
          </w:tcPr>
          <w:p w14:paraId="4AA858F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1.313</w:t>
            </w:r>
          </w:p>
        </w:tc>
        <w:tc>
          <w:tcPr>
            <w:tcW w:w="649" w:type="pct"/>
            <w:shd w:val="clear" w:color="auto" w:fill="auto"/>
            <w:noWrap/>
            <w:vAlign w:val="bottom"/>
            <w:hideMark/>
          </w:tcPr>
          <w:p w14:paraId="376A5D5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1.198</w:t>
            </w:r>
          </w:p>
        </w:tc>
        <w:tc>
          <w:tcPr>
            <w:tcW w:w="635" w:type="pct"/>
            <w:shd w:val="clear" w:color="auto" w:fill="auto"/>
            <w:noWrap/>
            <w:vAlign w:val="bottom"/>
            <w:hideMark/>
          </w:tcPr>
          <w:p w14:paraId="068BA96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1.439</w:t>
            </w:r>
          </w:p>
        </w:tc>
      </w:tr>
      <w:tr w:rsidR="00470263" w:rsidRPr="008D4BE6" w14:paraId="7319CEE8" w14:textId="77777777" w:rsidTr="005B68AC">
        <w:trPr>
          <w:trHeight w:val="295"/>
        </w:trPr>
        <w:tc>
          <w:tcPr>
            <w:tcW w:w="2399" w:type="pct"/>
            <w:shd w:val="clear" w:color="auto" w:fill="auto"/>
            <w:noWrap/>
            <w:vAlign w:val="bottom"/>
            <w:hideMark/>
          </w:tcPr>
          <w:p w14:paraId="519626D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Pre-Op BUN</w:t>
            </w:r>
          </w:p>
        </w:tc>
        <w:tc>
          <w:tcPr>
            <w:tcW w:w="626" w:type="pct"/>
            <w:shd w:val="clear" w:color="auto" w:fill="auto"/>
            <w:noWrap/>
            <w:vAlign w:val="bottom"/>
            <w:hideMark/>
          </w:tcPr>
          <w:p w14:paraId="085DD18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w:t>
            </w:r>
          </w:p>
        </w:tc>
        <w:tc>
          <w:tcPr>
            <w:tcW w:w="692" w:type="pct"/>
            <w:shd w:val="clear" w:color="auto" w:fill="auto"/>
            <w:noWrap/>
            <w:vAlign w:val="bottom"/>
            <w:hideMark/>
          </w:tcPr>
          <w:p w14:paraId="123B77A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1.035</w:t>
            </w:r>
          </w:p>
        </w:tc>
        <w:tc>
          <w:tcPr>
            <w:tcW w:w="649" w:type="pct"/>
            <w:shd w:val="clear" w:color="auto" w:fill="auto"/>
            <w:noWrap/>
            <w:vAlign w:val="bottom"/>
            <w:hideMark/>
          </w:tcPr>
          <w:p w14:paraId="0E699B6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1.026</w:t>
            </w:r>
          </w:p>
        </w:tc>
        <w:tc>
          <w:tcPr>
            <w:tcW w:w="635" w:type="pct"/>
            <w:shd w:val="clear" w:color="auto" w:fill="auto"/>
            <w:noWrap/>
            <w:vAlign w:val="bottom"/>
            <w:hideMark/>
          </w:tcPr>
          <w:p w14:paraId="047AB90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1.043</w:t>
            </w:r>
          </w:p>
        </w:tc>
      </w:tr>
      <w:tr w:rsidR="00470263" w:rsidRPr="008D4BE6" w14:paraId="24E875A3" w14:textId="77777777" w:rsidTr="005B68AC">
        <w:trPr>
          <w:trHeight w:val="295"/>
        </w:trPr>
        <w:tc>
          <w:tcPr>
            <w:tcW w:w="2399" w:type="pct"/>
            <w:shd w:val="clear" w:color="auto" w:fill="auto"/>
            <w:noWrap/>
            <w:vAlign w:val="bottom"/>
            <w:hideMark/>
          </w:tcPr>
          <w:p w14:paraId="40239A6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Pre-Op HCT</w:t>
            </w:r>
          </w:p>
        </w:tc>
        <w:tc>
          <w:tcPr>
            <w:tcW w:w="626" w:type="pct"/>
            <w:shd w:val="clear" w:color="auto" w:fill="auto"/>
            <w:noWrap/>
            <w:vAlign w:val="bottom"/>
            <w:hideMark/>
          </w:tcPr>
          <w:p w14:paraId="30E7790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w:t>
            </w:r>
          </w:p>
        </w:tc>
        <w:tc>
          <w:tcPr>
            <w:tcW w:w="692" w:type="pct"/>
            <w:shd w:val="clear" w:color="auto" w:fill="auto"/>
            <w:noWrap/>
            <w:vAlign w:val="bottom"/>
            <w:hideMark/>
          </w:tcPr>
          <w:p w14:paraId="3B19BA1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0.96</w:t>
            </w:r>
          </w:p>
        </w:tc>
        <w:tc>
          <w:tcPr>
            <w:tcW w:w="649" w:type="pct"/>
            <w:shd w:val="clear" w:color="auto" w:fill="auto"/>
            <w:noWrap/>
            <w:vAlign w:val="bottom"/>
            <w:hideMark/>
          </w:tcPr>
          <w:p w14:paraId="6504A39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0.939</w:t>
            </w:r>
          </w:p>
        </w:tc>
        <w:tc>
          <w:tcPr>
            <w:tcW w:w="635" w:type="pct"/>
            <w:shd w:val="clear" w:color="auto" w:fill="auto"/>
            <w:noWrap/>
            <w:vAlign w:val="bottom"/>
            <w:hideMark/>
          </w:tcPr>
          <w:p w14:paraId="7E051AF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0.982</w:t>
            </w:r>
          </w:p>
        </w:tc>
      </w:tr>
      <w:tr w:rsidR="00470263" w:rsidRPr="008D4BE6" w14:paraId="3B96FEE0" w14:textId="77777777" w:rsidTr="005B68AC">
        <w:trPr>
          <w:trHeight w:val="295"/>
        </w:trPr>
        <w:tc>
          <w:tcPr>
            <w:tcW w:w="2399" w:type="pct"/>
            <w:shd w:val="clear" w:color="auto" w:fill="auto"/>
            <w:noWrap/>
            <w:vAlign w:val="bottom"/>
            <w:hideMark/>
          </w:tcPr>
          <w:p w14:paraId="04F5A41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Pre-Op Platelets</w:t>
            </w:r>
          </w:p>
        </w:tc>
        <w:tc>
          <w:tcPr>
            <w:tcW w:w="626" w:type="pct"/>
            <w:shd w:val="clear" w:color="auto" w:fill="auto"/>
            <w:noWrap/>
            <w:vAlign w:val="bottom"/>
            <w:hideMark/>
          </w:tcPr>
          <w:p w14:paraId="5EA4D0D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0.002</w:t>
            </w:r>
          </w:p>
        </w:tc>
        <w:tc>
          <w:tcPr>
            <w:tcW w:w="692" w:type="pct"/>
            <w:shd w:val="clear" w:color="auto" w:fill="auto"/>
            <w:noWrap/>
            <w:vAlign w:val="bottom"/>
            <w:hideMark/>
          </w:tcPr>
          <w:p w14:paraId="73EC6A5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0.998</w:t>
            </w:r>
          </w:p>
        </w:tc>
        <w:tc>
          <w:tcPr>
            <w:tcW w:w="649" w:type="pct"/>
            <w:shd w:val="clear" w:color="auto" w:fill="auto"/>
            <w:noWrap/>
            <w:vAlign w:val="bottom"/>
            <w:hideMark/>
          </w:tcPr>
          <w:p w14:paraId="4FB8B28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0.996</w:t>
            </w:r>
          </w:p>
        </w:tc>
        <w:tc>
          <w:tcPr>
            <w:tcW w:w="635" w:type="pct"/>
            <w:shd w:val="clear" w:color="auto" w:fill="auto"/>
            <w:noWrap/>
            <w:vAlign w:val="bottom"/>
            <w:hideMark/>
          </w:tcPr>
          <w:p w14:paraId="7BA6730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0.999</w:t>
            </w:r>
          </w:p>
        </w:tc>
      </w:tr>
      <w:tr w:rsidR="00470263" w:rsidRPr="008D4BE6" w14:paraId="3770F4E6" w14:textId="77777777" w:rsidTr="005B68AC">
        <w:trPr>
          <w:trHeight w:val="295"/>
        </w:trPr>
        <w:tc>
          <w:tcPr>
            <w:tcW w:w="2399" w:type="pct"/>
            <w:shd w:val="clear" w:color="auto" w:fill="auto"/>
            <w:noWrap/>
            <w:vAlign w:val="bottom"/>
            <w:hideMark/>
          </w:tcPr>
          <w:p w14:paraId="2ABCA7A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Gender (Ref = Male)</w:t>
            </w:r>
          </w:p>
        </w:tc>
        <w:tc>
          <w:tcPr>
            <w:tcW w:w="626" w:type="pct"/>
            <w:shd w:val="clear" w:color="auto" w:fill="auto"/>
            <w:noWrap/>
            <w:vAlign w:val="bottom"/>
            <w:hideMark/>
          </w:tcPr>
          <w:p w14:paraId="22776D3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0.007</w:t>
            </w:r>
          </w:p>
        </w:tc>
        <w:tc>
          <w:tcPr>
            <w:tcW w:w="692" w:type="pct"/>
            <w:shd w:val="clear" w:color="auto" w:fill="auto"/>
            <w:noWrap/>
            <w:vAlign w:val="bottom"/>
            <w:hideMark/>
          </w:tcPr>
          <w:p w14:paraId="5AA55A0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0.69</w:t>
            </w:r>
          </w:p>
        </w:tc>
        <w:tc>
          <w:tcPr>
            <w:tcW w:w="649" w:type="pct"/>
            <w:shd w:val="clear" w:color="auto" w:fill="auto"/>
            <w:noWrap/>
            <w:vAlign w:val="bottom"/>
            <w:hideMark/>
          </w:tcPr>
          <w:p w14:paraId="147C8FB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0.528</w:t>
            </w:r>
          </w:p>
        </w:tc>
        <w:tc>
          <w:tcPr>
            <w:tcW w:w="635" w:type="pct"/>
            <w:shd w:val="clear" w:color="auto" w:fill="auto"/>
            <w:noWrap/>
            <w:vAlign w:val="bottom"/>
            <w:hideMark/>
          </w:tcPr>
          <w:p w14:paraId="09A26E5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0.903</w:t>
            </w:r>
          </w:p>
        </w:tc>
      </w:tr>
      <w:tr w:rsidR="00470263" w:rsidRPr="008D4BE6" w14:paraId="048FD6BC" w14:textId="77777777" w:rsidTr="005B68AC">
        <w:trPr>
          <w:trHeight w:val="295"/>
        </w:trPr>
        <w:tc>
          <w:tcPr>
            <w:tcW w:w="2399" w:type="pct"/>
            <w:shd w:val="clear" w:color="auto" w:fill="auto"/>
            <w:noWrap/>
            <w:vAlign w:val="bottom"/>
            <w:hideMark/>
          </w:tcPr>
          <w:p w14:paraId="036FF2D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ASA Class (Ref =IV/V)</w:t>
            </w:r>
          </w:p>
        </w:tc>
        <w:tc>
          <w:tcPr>
            <w:tcW w:w="626" w:type="pct"/>
            <w:shd w:val="clear" w:color="auto" w:fill="auto"/>
            <w:noWrap/>
            <w:vAlign w:val="bottom"/>
            <w:hideMark/>
          </w:tcPr>
          <w:p w14:paraId="78C439C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0.009</w:t>
            </w:r>
          </w:p>
        </w:tc>
        <w:tc>
          <w:tcPr>
            <w:tcW w:w="692" w:type="pct"/>
            <w:shd w:val="clear" w:color="auto" w:fill="auto"/>
            <w:noWrap/>
            <w:vAlign w:val="bottom"/>
            <w:hideMark/>
          </w:tcPr>
          <w:p w14:paraId="1AE8B9E5"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p>
        </w:tc>
        <w:tc>
          <w:tcPr>
            <w:tcW w:w="649" w:type="pct"/>
            <w:shd w:val="clear" w:color="auto" w:fill="auto"/>
            <w:noWrap/>
            <w:vAlign w:val="bottom"/>
            <w:hideMark/>
          </w:tcPr>
          <w:p w14:paraId="6D3047C0" w14:textId="77777777" w:rsidR="00470263" w:rsidRPr="008D4BE6" w:rsidRDefault="00470263" w:rsidP="005B68AC">
            <w:pPr>
              <w:spacing w:line="240" w:lineRule="auto"/>
              <w:rPr>
                <w:rFonts w:asciiTheme="majorBidi" w:eastAsia="Times New Roman" w:hAnsiTheme="majorBidi" w:cstheme="majorBidi"/>
                <w:sz w:val="18"/>
                <w:szCs w:val="18"/>
                <w:lang w:val="en-US"/>
              </w:rPr>
            </w:pPr>
          </w:p>
        </w:tc>
        <w:tc>
          <w:tcPr>
            <w:tcW w:w="635" w:type="pct"/>
            <w:shd w:val="clear" w:color="auto" w:fill="auto"/>
            <w:noWrap/>
            <w:vAlign w:val="bottom"/>
            <w:hideMark/>
          </w:tcPr>
          <w:p w14:paraId="703D8E7A" w14:textId="77777777" w:rsidR="00470263" w:rsidRPr="008D4BE6" w:rsidRDefault="00470263" w:rsidP="005B68AC">
            <w:pPr>
              <w:spacing w:line="240" w:lineRule="auto"/>
              <w:rPr>
                <w:rFonts w:asciiTheme="majorBidi" w:eastAsia="Times New Roman" w:hAnsiTheme="majorBidi" w:cstheme="majorBidi"/>
                <w:sz w:val="18"/>
                <w:szCs w:val="18"/>
                <w:lang w:val="en-US"/>
              </w:rPr>
            </w:pPr>
          </w:p>
        </w:tc>
      </w:tr>
      <w:tr w:rsidR="00470263" w:rsidRPr="008D4BE6" w14:paraId="1C894011" w14:textId="77777777" w:rsidTr="005B68AC">
        <w:trPr>
          <w:trHeight w:val="295"/>
        </w:trPr>
        <w:tc>
          <w:tcPr>
            <w:tcW w:w="2399" w:type="pct"/>
            <w:shd w:val="clear" w:color="auto" w:fill="auto"/>
            <w:noWrap/>
            <w:vAlign w:val="bottom"/>
            <w:hideMark/>
          </w:tcPr>
          <w:p w14:paraId="1D2D99E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ASA Class (I)</w:t>
            </w:r>
          </w:p>
        </w:tc>
        <w:tc>
          <w:tcPr>
            <w:tcW w:w="626" w:type="pct"/>
            <w:shd w:val="clear" w:color="auto" w:fill="auto"/>
            <w:noWrap/>
            <w:vAlign w:val="bottom"/>
            <w:hideMark/>
          </w:tcPr>
          <w:p w14:paraId="79750D5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0.994</w:t>
            </w:r>
          </w:p>
        </w:tc>
        <w:tc>
          <w:tcPr>
            <w:tcW w:w="692" w:type="pct"/>
            <w:shd w:val="clear" w:color="auto" w:fill="auto"/>
            <w:noWrap/>
            <w:vAlign w:val="bottom"/>
            <w:hideMark/>
          </w:tcPr>
          <w:p w14:paraId="1A8D1906"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w:t>
            </w:r>
          </w:p>
        </w:tc>
        <w:tc>
          <w:tcPr>
            <w:tcW w:w="649" w:type="pct"/>
            <w:shd w:val="clear" w:color="auto" w:fill="auto"/>
            <w:noWrap/>
            <w:vAlign w:val="bottom"/>
            <w:hideMark/>
          </w:tcPr>
          <w:p w14:paraId="3205B60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w:t>
            </w:r>
          </w:p>
        </w:tc>
        <w:tc>
          <w:tcPr>
            <w:tcW w:w="635" w:type="pct"/>
            <w:shd w:val="clear" w:color="auto" w:fill="auto"/>
            <w:noWrap/>
            <w:vAlign w:val="bottom"/>
            <w:hideMark/>
          </w:tcPr>
          <w:p w14:paraId="2023E80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w:t>
            </w:r>
          </w:p>
        </w:tc>
      </w:tr>
      <w:tr w:rsidR="00470263" w:rsidRPr="008D4BE6" w14:paraId="12F63424" w14:textId="77777777" w:rsidTr="005B68AC">
        <w:trPr>
          <w:trHeight w:val="295"/>
        </w:trPr>
        <w:tc>
          <w:tcPr>
            <w:tcW w:w="2399" w:type="pct"/>
            <w:shd w:val="clear" w:color="auto" w:fill="auto"/>
            <w:noWrap/>
            <w:vAlign w:val="bottom"/>
            <w:hideMark/>
          </w:tcPr>
          <w:p w14:paraId="586B98C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ASA Class (II)</w:t>
            </w:r>
          </w:p>
        </w:tc>
        <w:tc>
          <w:tcPr>
            <w:tcW w:w="626" w:type="pct"/>
            <w:shd w:val="clear" w:color="auto" w:fill="auto"/>
            <w:noWrap/>
            <w:vAlign w:val="bottom"/>
            <w:hideMark/>
          </w:tcPr>
          <w:p w14:paraId="32CFF00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0.001</w:t>
            </w:r>
          </w:p>
        </w:tc>
        <w:tc>
          <w:tcPr>
            <w:tcW w:w="692" w:type="pct"/>
            <w:shd w:val="clear" w:color="auto" w:fill="auto"/>
            <w:noWrap/>
            <w:vAlign w:val="bottom"/>
            <w:hideMark/>
          </w:tcPr>
          <w:p w14:paraId="6E37A35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0.462</w:t>
            </w:r>
          </w:p>
        </w:tc>
        <w:tc>
          <w:tcPr>
            <w:tcW w:w="649" w:type="pct"/>
            <w:shd w:val="clear" w:color="auto" w:fill="auto"/>
            <w:noWrap/>
            <w:vAlign w:val="bottom"/>
            <w:hideMark/>
          </w:tcPr>
          <w:p w14:paraId="678325C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0.289</w:t>
            </w:r>
          </w:p>
        </w:tc>
        <w:tc>
          <w:tcPr>
            <w:tcW w:w="635" w:type="pct"/>
            <w:shd w:val="clear" w:color="auto" w:fill="auto"/>
            <w:noWrap/>
            <w:vAlign w:val="bottom"/>
            <w:hideMark/>
          </w:tcPr>
          <w:p w14:paraId="2D4D8BB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0.738</w:t>
            </w:r>
          </w:p>
        </w:tc>
      </w:tr>
      <w:tr w:rsidR="00470263" w:rsidRPr="008D4BE6" w14:paraId="26A211B3" w14:textId="77777777" w:rsidTr="005B68AC">
        <w:trPr>
          <w:trHeight w:val="295"/>
        </w:trPr>
        <w:tc>
          <w:tcPr>
            <w:tcW w:w="2399" w:type="pct"/>
            <w:shd w:val="clear" w:color="auto" w:fill="auto"/>
            <w:noWrap/>
            <w:vAlign w:val="bottom"/>
            <w:hideMark/>
          </w:tcPr>
          <w:p w14:paraId="0A3B0D3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ASA Class (III)</w:t>
            </w:r>
          </w:p>
        </w:tc>
        <w:tc>
          <w:tcPr>
            <w:tcW w:w="626" w:type="pct"/>
            <w:shd w:val="clear" w:color="auto" w:fill="auto"/>
            <w:noWrap/>
            <w:vAlign w:val="bottom"/>
            <w:hideMark/>
          </w:tcPr>
          <w:p w14:paraId="1675C88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0.184</w:t>
            </w:r>
          </w:p>
        </w:tc>
        <w:tc>
          <w:tcPr>
            <w:tcW w:w="692" w:type="pct"/>
            <w:shd w:val="clear" w:color="auto" w:fill="auto"/>
            <w:noWrap/>
            <w:vAlign w:val="bottom"/>
            <w:hideMark/>
          </w:tcPr>
          <w:p w14:paraId="3F9B821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0.786</w:t>
            </w:r>
          </w:p>
        </w:tc>
        <w:tc>
          <w:tcPr>
            <w:tcW w:w="649" w:type="pct"/>
            <w:shd w:val="clear" w:color="auto" w:fill="auto"/>
            <w:noWrap/>
            <w:vAlign w:val="bottom"/>
            <w:hideMark/>
          </w:tcPr>
          <w:p w14:paraId="4BDAA76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0.552</w:t>
            </w:r>
          </w:p>
        </w:tc>
        <w:tc>
          <w:tcPr>
            <w:tcW w:w="635" w:type="pct"/>
            <w:shd w:val="clear" w:color="auto" w:fill="auto"/>
            <w:noWrap/>
            <w:vAlign w:val="bottom"/>
            <w:hideMark/>
          </w:tcPr>
          <w:p w14:paraId="1E54648C"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1.121</w:t>
            </w:r>
          </w:p>
        </w:tc>
      </w:tr>
      <w:tr w:rsidR="00470263" w:rsidRPr="008D4BE6" w14:paraId="638ECE85" w14:textId="77777777" w:rsidTr="005B68AC">
        <w:trPr>
          <w:trHeight w:val="295"/>
        </w:trPr>
        <w:tc>
          <w:tcPr>
            <w:tcW w:w="2399" w:type="pct"/>
            <w:shd w:val="clear" w:color="auto" w:fill="auto"/>
            <w:noWrap/>
            <w:vAlign w:val="bottom"/>
            <w:hideMark/>
          </w:tcPr>
          <w:p w14:paraId="328DB46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Diabetes (Ref = No)</w:t>
            </w:r>
          </w:p>
        </w:tc>
        <w:tc>
          <w:tcPr>
            <w:tcW w:w="626" w:type="pct"/>
            <w:shd w:val="clear" w:color="auto" w:fill="auto"/>
            <w:noWrap/>
            <w:vAlign w:val="bottom"/>
            <w:hideMark/>
          </w:tcPr>
          <w:p w14:paraId="014EABFD"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0.066</w:t>
            </w:r>
          </w:p>
        </w:tc>
        <w:tc>
          <w:tcPr>
            <w:tcW w:w="692" w:type="pct"/>
            <w:shd w:val="clear" w:color="auto" w:fill="auto"/>
            <w:noWrap/>
            <w:vAlign w:val="bottom"/>
            <w:hideMark/>
          </w:tcPr>
          <w:p w14:paraId="4228B0D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1.282</w:t>
            </w:r>
          </w:p>
        </w:tc>
        <w:tc>
          <w:tcPr>
            <w:tcW w:w="649" w:type="pct"/>
            <w:shd w:val="clear" w:color="auto" w:fill="auto"/>
            <w:noWrap/>
            <w:vAlign w:val="bottom"/>
            <w:hideMark/>
          </w:tcPr>
          <w:p w14:paraId="2E15478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0.983</w:t>
            </w:r>
          </w:p>
        </w:tc>
        <w:tc>
          <w:tcPr>
            <w:tcW w:w="635" w:type="pct"/>
            <w:shd w:val="clear" w:color="auto" w:fill="auto"/>
            <w:noWrap/>
            <w:vAlign w:val="bottom"/>
            <w:hideMark/>
          </w:tcPr>
          <w:p w14:paraId="0166E5E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1.671</w:t>
            </w:r>
          </w:p>
        </w:tc>
      </w:tr>
      <w:tr w:rsidR="00470263" w:rsidRPr="008D4BE6" w14:paraId="604288B7" w14:textId="77777777" w:rsidTr="005B68AC">
        <w:trPr>
          <w:trHeight w:val="295"/>
        </w:trPr>
        <w:tc>
          <w:tcPr>
            <w:tcW w:w="2399" w:type="pct"/>
            <w:shd w:val="clear" w:color="auto" w:fill="auto"/>
            <w:noWrap/>
            <w:vAlign w:val="bottom"/>
            <w:hideMark/>
          </w:tcPr>
          <w:p w14:paraId="7895AAF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Hypertension requiring medication (Ref = No)</w:t>
            </w:r>
          </w:p>
        </w:tc>
        <w:tc>
          <w:tcPr>
            <w:tcW w:w="626" w:type="pct"/>
            <w:shd w:val="clear" w:color="auto" w:fill="auto"/>
            <w:noWrap/>
            <w:vAlign w:val="bottom"/>
            <w:hideMark/>
          </w:tcPr>
          <w:p w14:paraId="20CCCB8E"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0.012</w:t>
            </w:r>
          </w:p>
        </w:tc>
        <w:tc>
          <w:tcPr>
            <w:tcW w:w="692" w:type="pct"/>
            <w:shd w:val="clear" w:color="auto" w:fill="auto"/>
            <w:noWrap/>
            <w:vAlign w:val="bottom"/>
            <w:hideMark/>
          </w:tcPr>
          <w:p w14:paraId="6BA9C9F2"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1.541</w:t>
            </w:r>
          </w:p>
        </w:tc>
        <w:tc>
          <w:tcPr>
            <w:tcW w:w="649" w:type="pct"/>
            <w:shd w:val="clear" w:color="auto" w:fill="auto"/>
            <w:noWrap/>
            <w:vAlign w:val="bottom"/>
            <w:hideMark/>
          </w:tcPr>
          <w:p w14:paraId="6BB52E1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1.098</w:t>
            </w:r>
          </w:p>
        </w:tc>
        <w:tc>
          <w:tcPr>
            <w:tcW w:w="635" w:type="pct"/>
            <w:shd w:val="clear" w:color="auto" w:fill="auto"/>
            <w:noWrap/>
            <w:vAlign w:val="bottom"/>
            <w:hideMark/>
          </w:tcPr>
          <w:p w14:paraId="20B52469"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2.163</w:t>
            </w:r>
          </w:p>
        </w:tc>
      </w:tr>
      <w:tr w:rsidR="00470263" w:rsidRPr="008D4BE6" w14:paraId="67AD6D7A" w14:textId="77777777" w:rsidTr="005B68AC">
        <w:trPr>
          <w:trHeight w:val="295"/>
        </w:trPr>
        <w:tc>
          <w:tcPr>
            <w:tcW w:w="2399" w:type="pct"/>
            <w:shd w:val="clear" w:color="auto" w:fill="auto"/>
            <w:noWrap/>
            <w:vAlign w:val="bottom"/>
            <w:hideMark/>
          </w:tcPr>
          <w:p w14:paraId="7383B3A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History of Stroke (Ref = No)</w:t>
            </w:r>
          </w:p>
        </w:tc>
        <w:tc>
          <w:tcPr>
            <w:tcW w:w="626" w:type="pct"/>
            <w:shd w:val="clear" w:color="auto" w:fill="auto"/>
            <w:noWrap/>
            <w:vAlign w:val="bottom"/>
            <w:hideMark/>
          </w:tcPr>
          <w:p w14:paraId="1E8F684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0.004</w:t>
            </w:r>
          </w:p>
        </w:tc>
        <w:tc>
          <w:tcPr>
            <w:tcW w:w="692" w:type="pct"/>
            <w:shd w:val="clear" w:color="auto" w:fill="auto"/>
            <w:noWrap/>
            <w:vAlign w:val="bottom"/>
            <w:hideMark/>
          </w:tcPr>
          <w:p w14:paraId="7EA05391"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2.509</w:t>
            </w:r>
          </w:p>
        </w:tc>
        <w:tc>
          <w:tcPr>
            <w:tcW w:w="649" w:type="pct"/>
            <w:shd w:val="clear" w:color="auto" w:fill="auto"/>
            <w:noWrap/>
            <w:vAlign w:val="bottom"/>
            <w:hideMark/>
          </w:tcPr>
          <w:p w14:paraId="67B2D177"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1.338</w:t>
            </w:r>
          </w:p>
        </w:tc>
        <w:tc>
          <w:tcPr>
            <w:tcW w:w="635" w:type="pct"/>
            <w:shd w:val="clear" w:color="auto" w:fill="auto"/>
            <w:noWrap/>
            <w:vAlign w:val="bottom"/>
            <w:hideMark/>
          </w:tcPr>
          <w:p w14:paraId="521AC2BB"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4.702</w:t>
            </w:r>
          </w:p>
        </w:tc>
      </w:tr>
      <w:tr w:rsidR="00470263" w:rsidRPr="008D4BE6" w14:paraId="4154F195" w14:textId="77777777" w:rsidTr="005B68AC">
        <w:trPr>
          <w:trHeight w:val="295"/>
        </w:trPr>
        <w:tc>
          <w:tcPr>
            <w:tcW w:w="2399" w:type="pct"/>
            <w:shd w:val="clear" w:color="auto" w:fill="auto"/>
            <w:noWrap/>
            <w:vAlign w:val="bottom"/>
            <w:hideMark/>
          </w:tcPr>
          <w:p w14:paraId="034DD09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Surgical Approach (Ref = MIS)</w:t>
            </w:r>
          </w:p>
        </w:tc>
        <w:tc>
          <w:tcPr>
            <w:tcW w:w="626" w:type="pct"/>
            <w:shd w:val="clear" w:color="auto" w:fill="auto"/>
            <w:noWrap/>
            <w:vAlign w:val="bottom"/>
            <w:hideMark/>
          </w:tcPr>
          <w:p w14:paraId="5B48009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w:t>
            </w:r>
          </w:p>
        </w:tc>
        <w:tc>
          <w:tcPr>
            <w:tcW w:w="692" w:type="pct"/>
            <w:shd w:val="clear" w:color="auto" w:fill="auto"/>
            <w:noWrap/>
            <w:vAlign w:val="bottom"/>
            <w:hideMark/>
          </w:tcPr>
          <w:p w14:paraId="744B11CB"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2.148</w:t>
            </w:r>
          </w:p>
        </w:tc>
        <w:tc>
          <w:tcPr>
            <w:tcW w:w="649" w:type="pct"/>
            <w:shd w:val="clear" w:color="auto" w:fill="auto"/>
            <w:noWrap/>
            <w:vAlign w:val="bottom"/>
            <w:hideMark/>
          </w:tcPr>
          <w:p w14:paraId="7EF69C64"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1.685</w:t>
            </w:r>
          </w:p>
        </w:tc>
        <w:tc>
          <w:tcPr>
            <w:tcW w:w="635" w:type="pct"/>
            <w:shd w:val="clear" w:color="auto" w:fill="auto"/>
            <w:noWrap/>
            <w:vAlign w:val="bottom"/>
            <w:hideMark/>
          </w:tcPr>
          <w:p w14:paraId="55DAAE13"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2.739</w:t>
            </w:r>
          </w:p>
        </w:tc>
      </w:tr>
      <w:tr w:rsidR="00470263" w:rsidRPr="008D4BE6" w14:paraId="1D84417E" w14:textId="77777777" w:rsidTr="005B68AC">
        <w:trPr>
          <w:trHeight w:val="295"/>
        </w:trPr>
        <w:tc>
          <w:tcPr>
            <w:tcW w:w="2399" w:type="pct"/>
            <w:shd w:val="clear" w:color="auto" w:fill="auto"/>
            <w:noWrap/>
            <w:vAlign w:val="bottom"/>
            <w:hideMark/>
          </w:tcPr>
          <w:p w14:paraId="72C4C36F"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Constant</w:t>
            </w:r>
          </w:p>
        </w:tc>
        <w:tc>
          <w:tcPr>
            <w:tcW w:w="626" w:type="pct"/>
            <w:shd w:val="clear" w:color="auto" w:fill="auto"/>
            <w:noWrap/>
            <w:vAlign w:val="bottom"/>
            <w:hideMark/>
          </w:tcPr>
          <w:p w14:paraId="018A5F28"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w:t>
            </w:r>
          </w:p>
        </w:tc>
        <w:tc>
          <w:tcPr>
            <w:tcW w:w="692" w:type="pct"/>
            <w:shd w:val="clear" w:color="auto" w:fill="auto"/>
            <w:noWrap/>
            <w:vAlign w:val="bottom"/>
            <w:hideMark/>
          </w:tcPr>
          <w:p w14:paraId="34712F50"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r w:rsidRPr="008D4BE6">
              <w:rPr>
                <w:rFonts w:asciiTheme="majorBidi" w:eastAsia="Times New Roman" w:hAnsiTheme="majorBidi" w:cstheme="majorBidi"/>
                <w:color w:val="000000"/>
                <w:sz w:val="20"/>
                <w:szCs w:val="20"/>
                <w:lang w:val="en-US"/>
              </w:rPr>
              <w:t>0.009</w:t>
            </w:r>
          </w:p>
        </w:tc>
        <w:tc>
          <w:tcPr>
            <w:tcW w:w="649" w:type="pct"/>
            <w:shd w:val="clear" w:color="auto" w:fill="auto"/>
            <w:noWrap/>
            <w:vAlign w:val="bottom"/>
            <w:hideMark/>
          </w:tcPr>
          <w:p w14:paraId="7530E93A" w14:textId="77777777" w:rsidR="00470263" w:rsidRPr="008D4BE6" w:rsidRDefault="00470263" w:rsidP="005B68AC">
            <w:pPr>
              <w:spacing w:line="240" w:lineRule="auto"/>
              <w:rPr>
                <w:rFonts w:asciiTheme="majorBidi" w:eastAsia="Times New Roman" w:hAnsiTheme="majorBidi" w:cstheme="majorBidi"/>
                <w:color w:val="000000"/>
                <w:sz w:val="20"/>
                <w:szCs w:val="20"/>
                <w:lang w:val="en-US"/>
              </w:rPr>
            </w:pPr>
          </w:p>
        </w:tc>
        <w:tc>
          <w:tcPr>
            <w:tcW w:w="635" w:type="pct"/>
            <w:shd w:val="clear" w:color="auto" w:fill="auto"/>
            <w:noWrap/>
            <w:vAlign w:val="bottom"/>
            <w:hideMark/>
          </w:tcPr>
          <w:p w14:paraId="70704141" w14:textId="77777777" w:rsidR="00470263" w:rsidRPr="008D4BE6" w:rsidRDefault="00470263" w:rsidP="005B68AC">
            <w:pPr>
              <w:spacing w:line="240" w:lineRule="auto"/>
              <w:rPr>
                <w:rFonts w:asciiTheme="majorBidi" w:eastAsia="Times New Roman" w:hAnsiTheme="majorBidi" w:cstheme="majorBidi"/>
                <w:sz w:val="18"/>
                <w:szCs w:val="18"/>
                <w:lang w:val="en-US"/>
              </w:rPr>
            </w:pPr>
          </w:p>
        </w:tc>
      </w:tr>
    </w:tbl>
    <w:p w14:paraId="75D14162" w14:textId="77777777" w:rsidR="00470263" w:rsidRPr="008D4BE6" w:rsidRDefault="00470263" w:rsidP="00470263">
      <w:pPr>
        <w:spacing w:after="240" w:line="240" w:lineRule="auto"/>
        <w:rPr>
          <w:rFonts w:asciiTheme="majorBidi" w:hAnsiTheme="majorBidi" w:cstheme="majorBidi"/>
          <w:bCs/>
          <w:sz w:val="14"/>
          <w:szCs w:val="14"/>
          <w:lang w:val="en-US"/>
        </w:rPr>
      </w:pPr>
      <w:r w:rsidRPr="008D4BE6">
        <w:rPr>
          <w:rFonts w:asciiTheme="majorBidi" w:hAnsiTheme="majorBidi" w:cstheme="majorBidi"/>
          <w:bCs/>
          <w:sz w:val="14"/>
          <w:szCs w:val="14"/>
          <w:lang w:val="en-US"/>
        </w:rPr>
        <w:t>*:Variable(s) entered on step 1: Age, BMI, Pre-Op Creatinine, Pre-Op BUN, Pre-Op HCT, Pre-Op Platelets, Pre-Op WBC, Gender, Race, ASA Class Combines, Bleeding disorders, Transfusion &gt;4 units PRBCs in 72 hours before surgery, Diabetes YN, Hypertension requiring medication YN, Congestive heart failure (CHF) in 30 days before surgery YN, Previous cardiac surgery YN, CAD Hx, CVA Hx, PAD Hx, COPD Hx, ASCITES Hx, &gt;10% loss body weight in last 6 months, Open vs Laparoscopic.</w:t>
      </w:r>
    </w:p>
    <w:p w14:paraId="2AC728CD" w14:textId="77777777" w:rsidR="00553580" w:rsidRDefault="00553580" w:rsidP="00470263">
      <w:pPr>
        <w:rPr>
          <w:rFonts w:asciiTheme="majorBidi" w:hAnsiTheme="majorBidi" w:cstheme="majorBidi"/>
          <w:b/>
          <w:u w:val="single"/>
        </w:rPr>
      </w:pPr>
    </w:p>
    <w:p w14:paraId="053C54C6" w14:textId="77777777" w:rsidR="00553580" w:rsidRPr="00553580" w:rsidRDefault="00553580" w:rsidP="00553580">
      <w:pPr>
        <w:spacing w:after="160" w:line="259" w:lineRule="auto"/>
        <w:rPr>
          <w:rFonts w:asciiTheme="minorHAnsi" w:eastAsiaTheme="minorHAnsi" w:hAnsiTheme="minorHAnsi" w:cstheme="minorBidi"/>
          <w:lang w:val="en-US"/>
        </w:rPr>
      </w:pPr>
    </w:p>
    <w:p w14:paraId="77C638CC" w14:textId="35750256" w:rsidR="00470263" w:rsidRPr="008D4BE6" w:rsidRDefault="00470263" w:rsidP="00470263">
      <w:pPr>
        <w:rPr>
          <w:rFonts w:asciiTheme="majorBidi" w:hAnsiTheme="majorBidi" w:cstheme="majorBidi"/>
          <w:b/>
          <w:u w:val="single"/>
        </w:rPr>
      </w:pPr>
      <w:r w:rsidRPr="008D4BE6">
        <w:rPr>
          <w:rFonts w:asciiTheme="majorBidi" w:hAnsiTheme="majorBidi" w:cstheme="majorBidi"/>
          <w:b/>
          <w:u w:val="single"/>
        </w:rPr>
        <w:br w:type="page"/>
      </w:r>
    </w:p>
    <w:p w14:paraId="0A7DCF0B" w14:textId="29382F67" w:rsidR="00470263" w:rsidRPr="008D4BE6" w:rsidRDefault="00581D8C" w:rsidP="00470263">
      <w:pPr>
        <w:rPr>
          <w:rFonts w:asciiTheme="majorBidi" w:hAnsiTheme="majorBidi" w:cstheme="majorBidi"/>
          <w:b/>
          <w:u w:val="single"/>
        </w:rPr>
      </w:pPr>
      <w:r w:rsidRPr="008D4BE6">
        <w:rPr>
          <w:rFonts w:asciiTheme="majorBidi" w:hAnsiTheme="majorBidi" w:cstheme="majorBidi"/>
          <w:b/>
          <w:u w:val="single"/>
        </w:rPr>
        <w:lastRenderedPageBreak/>
        <w:t>Figure</w:t>
      </w:r>
      <w:r w:rsidR="00470263" w:rsidRPr="008D4BE6">
        <w:rPr>
          <w:rFonts w:asciiTheme="majorBidi" w:hAnsiTheme="majorBidi" w:cstheme="majorBidi"/>
          <w:b/>
          <w:u w:val="single"/>
        </w:rPr>
        <w:t xml:space="preserve"> </w:t>
      </w:r>
      <w:r w:rsidRPr="008D4BE6">
        <w:rPr>
          <w:rFonts w:asciiTheme="majorBidi" w:hAnsiTheme="majorBidi" w:cstheme="majorBidi"/>
          <w:b/>
          <w:u w:val="single"/>
        </w:rPr>
        <w:t>S1</w:t>
      </w:r>
      <w:r w:rsidR="00470263" w:rsidRPr="008D4BE6">
        <w:rPr>
          <w:rFonts w:asciiTheme="majorBidi" w:hAnsiTheme="majorBidi" w:cstheme="majorBidi"/>
          <w:b/>
          <w:u w:val="single"/>
        </w:rPr>
        <w:t>: Comparison of the ROC-AUC graphs of the backwards-stepwise and final regression models</w:t>
      </w:r>
    </w:p>
    <w:p w14:paraId="177C7FE3" w14:textId="77777777" w:rsidR="00470263" w:rsidRPr="008D4BE6" w:rsidRDefault="00470263" w:rsidP="00470263">
      <w:pPr>
        <w:rPr>
          <w:rFonts w:asciiTheme="majorBidi" w:hAnsiTheme="majorBidi" w:cstheme="majorBidi"/>
          <w:b/>
          <w:u w:val="single"/>
        </w:rPr>
      </w:pPr>
    </w:p>
    <w:p w14:paraId="1E42E55C" w14:textId="77777777" w:rsidR="00470263" w:rsidRPr="008D4BE6" w:rsidRDefault="00470263" w:rsidP="0042384C">
      <w:pPr>
        <w:autoSpaceDE w:val="0"/>
        <w:autoSpaceDN w:val="0"/>
        <w:adjustRightInd w:val="0"/>
        <w:spacing w:line="240" w:lineRule="auto"/>
        <w:jc w:val="center"/>
        <w:rPr>
          <w:rFonts w:asciiTheme="majorBidi" w:hAnsiTheme="majorBidi" w:cstheme="majorBidi"/>
          <w:lang w:val="en-US"/>
        </w:rPr>
      </w:pPr>
      <w:r w:rsidRPr="008D4BE6">
        <w:rPr>
          <w:rFonts w:asciiTheme="majorBidi" w:hAnsiTheme="majorBidi" w:cstheme="majorBidi"/>
          <w:noProof/>
          <w:lang w:val="en-US"/>
        </w:rPr>
        <w:drawing>
          <wp:inline distT="0" distB="0" distL="0" distR="0" wp14:anchorId="67784D77" wp14:editId="0D40B9E8">
            <wp:extent cx="5165124" cy="3350447"/>
            <wp:effectExtent l="19050" t="19050" r="16510" b="215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0990" t="1918" r="2102" b="2282"/>
                    <a:stretch/>
                  </pic:blipFill>
                  <pic:spPr bwMode="auto">
                    <a:xfrm>
                      <a:off x="0" y="0"/>
                      <a:ext cx="5165470" cy="3350672"/>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14:paraId="0765AF40" w14:textId="77777777" w:rsidR="00470263" w:rsidRPr="008D4BE6" w:rsidRDefault="00470263" w:rsidP="00470263">
      <w:pPr>
        <w:autoSpaceDE w:val="0"/>
        <w:autoSpaceDN w:val="0"/>
        <w:adjustRightInd w:val="0"/>
        <w:spacing w:line="400" w:lineRule="atLeast"/>
        <w:rPr>
          <w:rFonts w:asciiTheme="majorBidi" w:hAnsiTheme="majorBidi" w:cstheme="majorBidi"/>
          <w:lang w:val="en-US"/>
        </w:rPr>
      </w:pPr>
    </w:p>
    <w:p w14:paraId="6300DFE6" w14:textId="77777777" w:rsidR="00470263" w:rsidRPr="008D4BE6" w:rsidRDefault="00470263" w:rsidP="00470263">
      <w:pPr>
        <w:autoSpaceDE w:val="0"/>
        <w:autoSpaceDN w:val="0"/>
        <w:adjustRightInd w:val="0"/>
        <w:spacing w:line="400" w:lineRule="atLeast"/>
        <w:rPr>
          <w:rFonts w:asciiTheme="majorBidi" w:hAnsiTheme="majorBidi" w:cstheme="majorBidi"/>
          <w:lang w:val="en-US"/>
        </w:rPr>
      </w:pPr>
    </w:p>
    <w:p w14:paraId="339A567E" w14:textId="77777777" w:rsidR="00470263" w:rsidRPr="008D4BE6" w:rsidRDefault="00470263" w:rsidP="00470263">
      <w:pPr>
        <w:rPr>
          <w:rFonts w:asciiTheme="majorBidi" w:hAnsiTheme="majorBidi" w:cstheme="majorBidi"/>
          <w:b/>
          <w:u w:val="single"/>
        </w:rPr>
      </w:pPr>
      <w:r w:rsidRPr="008D4BE6">
        <w:rPr>
          <w:rFonts w:asciiTheme="majorBidi" w:hAnsiTheme="majorBidi" w:cstheme="majorBidi"/>
          <w:b/>
          <w:u w:val="single"/>
        </w:rPr>
        <w:br w:type="page"/>
      </w:r>
    </w:p>
    <w:p w14:paraId="583C19D5" w14:textId="3F33727A" w:rsidR="00470263" w:rsidRPr="008D4BE6" w:rsidRDefault="008D0958" w:rsidP="00470263">
      <w:pPr>
        <w:spacing w:before="240" w:after="240" w:line="240" w:lineRule="auto"/>
        <w:rPr>
          <w:rFonts w:asciiTheme="majorBidi" w:eastAsia="Calibri" w:hAnsiTheme="majorBidi" w:cstheme="majorBidi"/>
          <w:b/>
          <w:u w:val="single"/>
        </w:rPr>
      </w:pPr>
      <w:r w:rsidRPr="008D4BE6">
        <w:rPr>
          <w:rFonts w:asciiTheme="majorBidi" w:eastAsia="Calibri" w:hAnsiTheme="majorBidi" w:cstheme="majorBidi"/>
          <w:b/>
          <w:u w:val="single"/>
        </w:rPr>
        <w:lastRenderedPageBreak/>
        <w:t>Figure S</w:t>
      </w:r>
      <w:r w:rsidR="00096D35">
        <w:rPr>
          <w:rFonts w:asciiTheme="majorBidi" w:eastAsia="Calibri" w:hAnsiTheme="majorBidi" w:cstheme="majorBidi"/>
          <w:b/>
          <w:u w:val="single"/>
        </w:rPr>
        <w:t>2</w:t>
      </w:r>
      <w:r w:rsidR="00470263" w:rsidRPr="008D4BE6">
        <w:rPr>
          <w:rFonts w:asciiTheme="majorBidi" w:eastAsia="Calibri" w:hAnsiTheme="majorBidi" w:cstheme="majorBidi"/>
          <w:b/>
          <w:u w:val="single"/>
        </w:rPr>
        <w:t>:  Sample patient case using risk prediction calculator</w:t>
      </w:r>
    </w:p>
    <w:p w14:paraId="14B7D86C" w14:textId="77777777" w:rsidR="00470263" w:rsidRPr="008D4BE6" w:rsidRDefault="00470263" w:rsidP="00470263">
      <w:pPr>
        <w:spacing w:before="240" w:after="240" w:line="240" w:lineRule="auto"/>
        <w:rPr>
          <w:rFonts w:asciiTheme="majorBidi" w:eastAsia="Calibri" w:hAnsiTheme="majorBidi" w:cstheme="majorBidi"/>
          <w:b/>
          <w:u w:val="single"/>
        </w:rPr>
      </w:pPr>
      <w:r w:rsidRPr="008D4BE6">
        <w:rPr>
          <w:rFonts w:asciiTheme="majorBidi" w:hAnsiTheme="majorBidi" w:cstheme="majorBidi"/>
          <w:noProof/>
          <w:sz w:val="20"/>
          <w:szCs w:val="20"/>
          <w:lang w:val="en-US"/>
        </w:rPr>
        <w:drawing>
          <wp:inline distT="0" distB="0" distL="0" distR="0" wp14:anchorId="3AF2F967" wp14:editId="1656B6C4">
            <wp:extent cx="5943600" cy="14662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66215"/>
                    </a:xfrm>
                    <a:prstGeom prst="rect">
                      <a:avLst/>
                    </a:prstGeom>
                  </pic:spPr>
                </pic:pic>
              </a:graphicData>
            </a:graphic>
          </wp:inline>
        </w:drawing>
      </w:r>
    </w:p>
    <w:p w14:paraId="6BF66B1E" w14:textId="77777777" w:rsidR="00470263" w:rsidRPr="008D4BE6" w:rsidRDefault="00470263" w:rsidP="00470263">
      <w:pPr>
        <w:spacing w:before="240" w:after="240" w:line="240" w:lineRule="auto"/>
        <w:rPr>
          <w:rFonts w:asciiTheme="majorBidi" w:eastAsia="Times New Roman" w:hAnsiTheme="majorBidi" w:cstheme="majorBidi"/>
          <w:bCs/>
        </w:rPr>
      </w:pPr>
      <w:r w:rsidRPr="008D4BE6">
        <w:rPr>
          <w:rFonts w:asciiTheme="majorBidi" w:hAnsiTheme="majorBidi" w:cstheme="majorBidi"/>
          <w:noProof/>
          <w:sz w:val="20"/>
          <w:szCs w:val="20"/>
          <w:lang w:val="en-US"/>
        </w:rPr>
        <w:drawing>
          <wp:inline distT="0" distB="0" distL="0" distR="0" wp14:anchorId="17AE4895" wp14:editId="14234BA1">
            <wp:extent cx="5943600" cy="14992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99235"/>
                    </a:xfrm>
                    <a:prstGeom prst="rect">
                      <a:avLst/>
                    </a:prstGeom>
                  </pic:spPr>
                </pic:pic>
              </a:graphicData>
            </a:graphic>
          </wp:inline>
        </w:drawing>
      </w:r>
    </w:p>
    <w:p w14:paraId="1714B631" w14:textId="77777777" w:rsidR="0071347B" w:rsidRPr="008D4BE6" w:rsidRDefault="0071347B">
      <w:pPr>
        <w:rPr>
          <w:sz w:val="20"/>
          <w:szCs w:val="20"/>
        </w:rPr>
      </w:pPr>
    </w:p>
    <w:sectPr w:rsidR="0071347B" w:rsidRPr="008D4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9EA"/>
    <w:multiLevelType w:val="multilevel"/>
    <w:tmpl w:val="B4D62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547ED"/>
    <w:multiLevelType w:val="multilevel"/>
    <w:tmpl w:val="15DABA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46327B2"/>
    <w:multiLevelType w:val="multilevel"/>
    <w:tmpl w:val="3ECC8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236F16"/>
    <w:multiLevelType w:val="hybridMultilevel"/>
    <w:tmpl w:val="F2E86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C56BA"/>
    <w:multiLevelType w:val="multilevel"/>
    <w:tmpl w:val="C36A458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64A14D08"/>
    <w:multiLevelType w:val="multilevel"/>
    <w:tmpl w:val="EA28A38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691B06A8"/>
    <w:multiLevelType w:val="multilevel"/>
    <w:tmpl w:val="1CC2C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AD6582"/>
    <w:multiLevelType w:val="multilevel"/>
    <w:tmpl w:val="FA80A77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63"/>
    <w:rsid w:val="00046376"/>
    <w:rsid w:val="00074F3E"/>
    <w:rsid w:val="00096D35"/>
    <w:rsid w:val="0011046B"/>
    <w:rsid w:val="00124114"/>
    <w:rsid w:val="00161372"/>
    <w:rsid w:val="00257951"/>
    <w:rsid w:val="002D3B28"/>
    <w:rsid w:val="003058E7"/>
    <w:rsid w:val="00316601"/>
    <w:rsid w:val="00331134"/>
    <w:rsid w:val="00382771"/>
    <w:rsid w:val="003A51F9"/>
    <w:rsid w:val="0040592E"/>
    <w:rsid w:val="0042384C"/>
    <w:rsid w:val="00427196"/>
    <w:rsid w:val="00464E4D"/>
    <w:rsid w:val="00470263"/>
    <w:rsid w:val="004B3782"/>
    <w:rsid w:val="004F3247"/>
    <w:rsid w:val="00553580"/>
    <w:rsid w:val="00554976"/>
    <w:rsid w:val="00581D8C"/>
    <w:rsid w:val="005A316C"/>
    <w:rsid w:val="005B68AC"/>
    <w:rsid w:val="005C01CA"/>
    <w:rsid w:val="005D73BF"/>
    <w:rsid w:val="006C3D71"/>
    <w:rsid w:val="006F52D9"/>
    <w:rsid w:val="0071347B"/>
    <w:rsid w:val="00733A6B"/>
    <w:rsid w:val="00785932"/>
    <w:rsid w:val="007C6E1F"/>
    <w:rsid w:val="0083123F"/>
    <w:rsid w:val="008C0CF6"/>
    <w:rsid w:val="008D0958"/>
    <w:rsid w:val="008D4BE6"/>
    <w:rsid w:val="00917EAF"/>
    <w:rsid w:val="009457CD"/>
    <w:rsid w:val="009B0E23"/>
    <w:rsid w:val="009F3391"/>
    <w:rsid w:val="00A54D78"/>
    <w:rsid w:val="00A575E1"/>
    <w:rsid w:val="00A61DF8"/>
    <w:rsid w:val="00AC0593"/>
    <w:rsid w:val="00B43727"/>
    <w:rsid w:val="00BC6E4F"/>
    <w:rsid w:val="00BE55AC"/>
    <w:rsid w:val="00D3724F"/>
    <w:rsid w:val="00D90C95"/>
    <w:rsid w:val="00DD5965"/>
    <w:rsid w:val="00EF22B2"/>
    <w:rsid w:val="00F01EB1"/>
    <w:rsid w:val="00F136D4"/>
    <w:rsid w:val="00F81A6B"/>
    <w:rsid w:val="00FD1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10E6"/>
  <w15:chartTrackingRefBased/>
  <w15:docId w15:val="{C7F9EE06-0A57-4BB6-8EAD-876E8437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70263"/>
    <w:pPr>
      <w:spacing w:after="0" w:line="276" w:lineRule="auto"/>
    </w:pPr>
    <w:rPr>
      <w:rFonts w:ascii="Arial" w:eastAsia="Arial" w:hAnsi="Arial" w:cs="Arial"/>
      <w:lang w:val="e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68AC"/>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B68AC"/>
    <w:rPr>
      <w:rFonts w:ascii="Times New Roman" w:eastAsia="Arial" w:hAnsi="Times New Roman" w:cs="Times New Roman"/>
      <w:sz w:val="18"/>
      <w:szCs w:val="18"/>
      <w:lang w:val="en"/>
    </w:rPr>
  </w:style>
  <w:style w:type="character" w:styleId="Kommentarzeichen">
    <w:name w:val="annotation reference"/>
    <w:basedOn w:val="Absatz-Standardschriftart"/>
    <w:uiPriority w:val="99"/>
    <w:semiHidden/>
    <w:unhideWhenUsed/>
    <w:rsid w:val="005B68AC"/>
    <w:rPr>
      <w:sz w:val="16"/>
      <w:szCs w:val="16"/>
    </w:rPr>
  </w:style>
  <w:style w:type="paragraph" w:styleId="Kommentartext">
    <w:name w:val="annotation text"/>
    <w:basedOn w:val="Standard"/>
    <w:link w:val="KommentartextZchn"/>
    <w:uiPriority w:val="99"/>
    <w:semiHidden/>
    <w:unhideWhenUsed/>
    <w:rsid w:val="005B68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68AC"/>
    <w:rPr>
      <w:rFonts w:ascii="Arial" w:eastAsia="Arial" w:hAnsi="Arial" w:cs="Arial"/>
      <w:sz w:val="20"/>
      <w:szCs w:val="20"/>
      <w:lang w:val="en"/>
    </w:rPr>
  </w:style>
  <w:style w:type="paragraph" w:styleId="Kommentarthema">
    <w:name w:val="annotation subject"/>
    <w:basedOn w:val="Kommentartext"/>
    <w:next w:val="Kommentartext"/>
    <w:link w:val="KommentarthemaZchn"/>
    <w:uiPriority w:val="99"/>
    <w:semiHidden/>
    <w:unhideWhenUsed/>
    <w:rsid w:val="005B68AC"/>
    <w:rPr>
      <w:b/>
      <w:bCs/>
    </w:rPr>
  </w:style>
  <w:style w:type="character" w:customStyle="1" w:styleId="KommentarthemaZchn">
    <w:name w:val="Kommentarthema Zchn"/>
    <w:basedOn w:val="KommentartextZchn"/>
    <w:link w:val="Kommentarthema"/>
    <w:uiPriority w:val="99"/>
    <w:semiHidden/>
    <w:rsid w:val="005B68AC"/>
    <w:rPr>
      <w:rFonts w:ascii="Arial" w:eastAsia="Arial" w:hAnsi="Arial" w:cs="Arial"/>
      <w:b/>
      <w:bCs/>
      <w:sz w:val="20"/>
      <w:szCs w:val="20"/>
      <w:lang w:val="en"/>
    </w:rPr>
  </w:style>
  <w:style w:type="table" w:styleId="Tabellenraster">
    <w:name w:val="Table Grid"/>
    <w:basedOn w:val="NormaleTabelle"/>
    <w:uiPriority w:val="39"/>
    <w:rsid w:val="0058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3391"/>
    <w:pPr>
      <w:ind w:left="720"/>
      <w:contextualSpacing/>
    </w:pPr>
  </w:style>
  <w:style w:type="character" w:styleId="Hyperlink">
    <w:name w:val="Hyperlink"/>
    <w:basedOn w:val="Absatz-Standardschriftart"/>
    <w:uiPriority w:val="99"/>
    <w:unhideWhenUsed/>
    <w:rsid w:val="00AC0593"/>
    <w:rPr>
      <w:color w:val="0563C1" w:themeColor="hyperlink"/>
      <w:u w:val="single"/>
    </w:rPr>
  </w:style>
  <w:style w:type="character" w:styleId="NichtaufgelsteErwhnung">
    <w:name w:val="Unresolved Mention"/>
    <w:basedOn w:val="Absatz-Standardschriftart"/>
    <w:uiPriority w:val="99"/>
    <w:semiHidden/>
    <w:unhideWhenUsed/>
    <w:rsid w:val="00AC0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e67@aub.edu.l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1737</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dc:creator>
  <cp:keywords/>
  <dc:description/>
  <cp:lastModifiedBy>Angela Hefti</cp:lastModifiedBy>
  <cp:revision>2</cp:revision>
  <dcterms:created xsi:type="dcterms:W3CDTF">2021-09-08T07:39:00Z</dcterms:created>
  <dcterms:modified xsi:type="dcterms:W3CDTF">2021-09-08T07:39:00Z</dcterms:modified>
</cp:coreProperties>
</file>