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8AB6" w14:textId="77777777" w:rsidR="00E55803" w:rsidRPr="006E04E7" w:rsidRDefault="00E55803" w:rsidP="00E5580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04E7">
        <w:rPr>
          <w:rFonts w:asciiTheme="majorBidi" w:hAnsiTheme="majorBidi" w:cstheme="majorBidi"/>
          <w:b/>
          <w:bCs/>
          <w:sz w:val="24"/>
          <w:szCs w:val="24"/>
        </w:rPr>
        <w:t>Supplementary Table A. Distribution of migraine by country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759"/>
        <w:gridCol w:w="4040"/>
        <w:gridCol w:w="2268"/>
      </w:tblGrid>
      <w:tr w:rsidR="00E55803" w:rsidRPr="006E04E7" w14:paraId="5B3DF8B4" w14:textId="77777777" w:rsidTr="003F7B2E">
        <w:tc>
          <w:tcPr>
            <w:tcW w:w="2759" w:type="dxa"/>
          </w:tcPr>
          <w:p w14:paraId="39CD3A50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49344067"/>
            <w:r w:rsidRPr="006E04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4040" w:type="dxa"/>
          </w:tcPr>
          <w:p w14:paraId="1142F2DF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N, % (95% CI)</w:t>
            </w:r>
          </w:p>
        </w:tc>
        <w:tc>
          <w:tcPr>
            <w:tcW w:w="2268" w:type="dxa"/>
          </w:tcPr>
          <w:p w14:paraId="506C0664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 of all headaches</w:t>
            </w:r>
          </w:p>
        </w:tc>
      </w:tr>
      <w:tr w:rsidR="00E55803" w:rsidRPr="006E04E7" w14:paraId="3E624B59" w14:textId="77777777" w:rsidTr="003F7B2E">
        <w:tc>
          <w:tcPr>
            <w:tcW w:w="2759" w:type="dxa"/>
          </w:tcPr>
          <w:p w14:paraId="737AEB14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Australia</w:t>
            </w:r>
          </w:p>
        </w:tc>
        <w:tc>
          <w:tcPr>
            <w:tcW w:w="4040" w:type="dxa"/>
          </w:tcPr>
          <w:p w14:paraId="4D99485D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572, 52.0% (49.0%–54.9%)</w:t>
            </w:r>
          </w:p>
        </w:tc>
        <w:tc>
          <w:tcPr>
            <w:tcW w:w="2268" w:type="dxa"/>
          </w:tcPr>
          <w:p w14:paraId="0C79F96C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32.2%</w:t>
            </w:r>
          </w:p>
        </w:tc>
      </w:tr>
      <w:tr w:rsidR="00E55803" w:rsidRPr="006E04E7" w14:paraId="3BFD5466" w14:textId="77777777" w:rsidTr="003F7B2E">
        <w:tc>
          <w:tcPr>
            <w:tcW w:w="2759" w:type="dxa"/>
          </w:tcPr>
          <w:p w14:paraId="5BF16820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Turkey</w:t>
            </w:r>
          </w:p>
        </w:tc>
        <w:tc>
          <w:tcPr>
            <w:tcW w:w="4040" w:type="dxa"/>
          </w:tcPr>
          <w:p w14:paraId="573488D0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177, 16.1% (14.0%–18.4%)</w:t>
            </w:r>
          </w:p>
        </w:tc>
        <w:tc>
          <w:tcPr>
            <w:tcW w:w="2268" w:type="dxa"/>
          </w:tcPr>
          <w:p w14:paraId="157170B4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18.0%</w:t>
            </w:r>
          </w:p>
        </w:tc>
      </w:tr>
      <w:tr w:rsidR="00E55803" w:rsidRPr="006E04E7" w14:paraId="784B6CDB" w14:textId="77777777" w:rsidTr="003F7B2E">
        <w:tc>
          <w:tcPr>
            <w:tcW w:w="2759" w:type="dxa"/>
          </w:tcPr>
          <w:p w14:paraId="009BB0F0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New Zealand</w:t>
            </w:r>
          </w:p>
        </w:tc>
        <w:tc>
          <w:tcPr>
            <w:tcW w:w="4040" w:type="dxa"/>
          </w:tcPr>
          <w:p w14:paraId="6FDF9F88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108, 9.8% (8.2%–11.7%)</w:t>
            </w:r>
          </w:p>
        </w:tc>
        <w:tc>
          <w:tcPr>
            <w:tcW w:w="2268" w:type="dxa"/>
          </w:tcPr>
          <w:p w14:paraId="70F81506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18.2%</w:t>
            </w:r>
          </w:p>
        </w:tc>
      </w:tr>
      <w:tr w:rsidR="00E55803" w:rsidRPr="006E04E7" w14:paraId="4DDF38B7" w14:textId="77777777" w:rsidTr="003F7B2E">
        <w:tc>
          <w:tcPr>
            <w:tcW w:w="2759" w:type="dxa"/>
          </w:tcPr>
          <w:p w14:paraId="009BFA22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Singapore</w:t>
            </w:r>
          </w:p>
        </w:tc>
        <w:tc>
          <w:tcPr>
            <w:tcW w:w="4040" w:type="dxa"/>
          </w:tcPr>
          <w:p w14:paraId="7AD7A577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106, 9.6% (8.0%–11.5%)</w:t>
            </w:r>
          </w:p>
        </w:tc>
        <w:tc>
          <w:tcPr>
            <w:tcW w:w="2268" w:type="dxa"/>
          </w:tcPr>
          <w:p w14:paraId="3DF3D27F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18.3%</w:t>
            </w:r>
          </w:p>
        </w:tc>
      </w:tr>
      <w:tr w:rsidR="00E55803" w:rsidRPr="006E04E7" w14:paraId="5147D087" w14:textId="77777777" w:rsidTr="003F7B2E">
        <w:tc>
          <w:tcPr>
            <w:tcW w:w="2759" w:type="dxa"/>
          </w:tcPr>
          <w:p w14:paraId="078F9183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United Kingdom</w:t>
            </w:r>
          </w:p>
        </w:tc>
        <w:tc>
          <w:tcPr>
            <w:tcW w:w="4040" w:type="dxa"/>
          </w:tcPr>
          <w:p w14:paraId="29CDF794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86, 7.8% (6.4%–9.6%)</w:t>
            </w:r>
          </w:p>
        </w:tc>
        <w:tc>
          <w:tcPr>
            <w:tcW w:w="2268" w:type="dxa"/>
          </w:tcPr>
          <w:p w14:paraId="5D9FA9F4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31.2%</w:t>
            </w:r>
          </w:p>
        </w:tc>
      </w:tr>
      <w:tr w:rsidR="00E55803" w:rsidRPr="006E04E7" w14:paraId="721AF647" w14:textId="77777777" w:rsidTr="003F7B2E">
        <w:tc>
          <w:tcPr>
            <w:tcW w:w="2759" w:type="dxa"/>
          </w:tcPr>
          <w:p w14:paraId="4B17B18B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France</w:t>
            </w:r>
          </w:p>
        </w:tc>
        <w:tc>
          <w:tcPr>
            <w:tcW w:w="4040" w:type="dxa"/>
          </w:tcPr>
          <w:p w14:paraId="67030DEA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34, 3.1% (2.2%–4.3%)</w:t>
            </w:r>
          </w:p>
        </w:tc>
        <w:tc>
          <w:tcPr>
            <w:tcW w:w="2268" w:type="dxa"/>
          </w:tcPr>
          <w:p w14:paraId="7B39C3D7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29.6%</w:t>
            </w:r>
          </w:p>
        </w:tc>
      </w:tr>
      <w:tr w:rsidR="00E55803" w:rsidRPr="006E04E7" w14:paraId="70AE540A" w14:textId="77777777" w:rsidTr="003F7B2E">
        <w:tc>
          <w:tcPr>
            <w:tcW w:w="2759" w:type="dxa"/>
          </w:tcPr>
          <w:p w14:paraId="0F6706A5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Belgium</w:t>
            </w:r>
          </w:p>
        </w:tc>
        <w:tc>
          <w:tcPr>
            <w:tcW w:w="4040" w:type="dxa"/>
          </w:tcPr>
          <w:p w14:paraId="7E769D5D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13, 1.2% (0.7%–2.0%)</w:t>
            </w:r>
          </w:p>
        </w:tc>
        <w:tc>
          <w:tcPr>
            <w:tcW w:w="2268" w:type="dxa"/>
          </w:tcPr>
          <w:p w14:paraId="277FE62F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18.6%</w:t>
            </w:r>
          </w:p>
        </w:tc>
      </w:tr>
      <w:tr w:rsidR="00E55803" w:rsidRPr="006E04E7" w14:paraId="42F15D70" w14:textId="77777777" w:rsidTr="003F7B2E">
        <w:tc>
          <w:tcPr>
            <w:tcW w:w="2759" w:type="dxa"/>
          </w:tcPr>
          <w:p w14:paraId="6ADB01F6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Romania</w:t>
            </w:r>
          </w:p>
        </w:tc>
        <w:tc>
          <w:tcPr>
            <w:tcW w:w="4040" w:type="dxa"/>
          </w:tcPr>
          <w:p w14:paraId="6EE71DCB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2, 0.2% (0.05%–0.7%)</w:t>
            </w:r>
          </w:p>
        </w:tc>
        <w:tc>
          <w:tcPr>
            <w:tcW w:w="2268" w:type="dxa"/>
          </w:tcPr>
          <w:p w14:paraId="336EF673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2.9%</w:t>
            </w:r>
          </w:p>
        </w:tc>
      </w:tr>
      <w:tr w:rsidR="00E55803" w:rsidRPr="006E04E7" w14:paraId="55BF3F77" w14:textId="77777777" w:rsidTr="003F7B2E">
        <w:tc>
          <w:tcPr>
            <w:tcW w:w="2759" w:type="dxa"/>
          </w:tcPr>
          <w:p w14:paraId="409A6C5A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Hong Kong</w:t>
            </w:r>
          </w:p>
        </w:tc>
        <w:tc>
          <w:tcPr>
            <w:tcW w:w="4040" w:type="dxa"/>
          </w:tcPr>
          <w:p w14:paraId="7F3B8A4A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2, 0.2% (0.05%–0.7%)</w:t>
            </w:r>
          </w:p>
        </w:tc>
        <w:tc>
          <w:tcPr>
            <w:tcW w:w="2268" w:type="dxa"/>
          </w:tcPr>
          <w:p w14:paraId="2A3531AB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3.1%</w:t>
            </w:r>
          </w:p>
        </w:tc>
      </w:tr>
      <w:tr w:rsidR="00E55803" w:rsidRPr="006E04E7" w14:paraId="69F616A2" w14:textId="77777777" w:rsidTr="003F7B2E">
        <w:tc>
          <w:tcPr>
            <w:tcW w:w="2759" w:type="dxa"/>
          </w:tcPr>
          <w:p w14:paraId="24F2A9F9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4040" w:type="dxa"/>
          </w:tcPr>
          <w:p w14:paraId="0C6F84F6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1, 0.1% (0.01%–0.6%)</w:t>
            </w:r>
          </w:p>
        </w:tc>
        <w:tc>
          <w:tcPr>
            <w:tcW w:w="2268" w:type="dxa"/>
          </w:tcPr>
          <w:p w14:paraId="2D4C7A21" w14:textId="77777777" w:rsidR="00E55803" w:rsidRPr="006E04E7" w:rsidRDefault="00E55803" w:rsidP="003F7B2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04E7">
              <w:rPr>
                <w:rFonts w:asciiTheme="majorBidi" w:hAnsiTheme="majorBidi" w:cstheme="majorBidi"/>
                <w:sz w:val="24"/>
                <w:szCs w:val="24"/>
              </w:rPr>
              <w:t>8.3%</w:t>
            </w:r>
          </w:p>
        </w:tc>
      </w:tr>
      <w:bookmarkEnd w:id="0"/>
    </w:tbl>
    <w:p w14:paraId="208F3611" w14:textId="77777777" w:rsidR="001A20AF" w:rsidRDefault="001A20AF"/>
    <w:sectPr w:rsidR="001A2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03"/>
    <w:rsid w:val="001A20AF"/>
    <w:rsid w:val="00E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B498"/>
  <w15:chartTrackingRefBased/>
  <w15:docId w15:val="{C6639710-4382-40B7-B0BE-188375D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03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Feigin</dc:creator>
  <cp:keywords/>
  <dc:description/>
  <cp:lastModifiedBy>Svetlana Feigin</cp:lastModifiedBy>
  <cp:revision>1</cp:revision>
  <dcterms:created xsi:type="dcterms:W3CDTF">2021-10-28T23:48:00Z</dcterms:created>
  <dcterms:modified xsi:type="dcterms:W3CDTF">2021-10-28T23:48:00Z</dcterms:modified>
</cp:coreProperties>
</file>