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584"/>
        <w:gridCol w:w="1584"/>
        <w:gridCol w:w="1584"/>
        <w:gridCol w:w="1080"/>
      </w:tblGrid>
      <w:tr w:rsidR="005152C8" w:rsidRPr="00AF6CC6" w14:paraId="78417F79" w14:textId="77777777" w:rsidTr="00092D3D">
        <w:trPr>
          <w:trHeight w:val="340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24AEF" w14:textId="37D5ADD1" w:rsidR="005152C8" w:rsidRPr="00AF6CC6" w:rsidRDefault="00F05AA4" w:rsidP="00092D3D">
            <w:pPr>
              <w:spacing w:line="240" w:lineRule="auto"/>
              <w:jc w:val="center"/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  <w:t>Online Supplements</w:t>
            </w:r>
            <w:r w:rsidR="006E2E75" w:rsidRPr="00AF6CC6"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  <w:t xml:space="preserve"> Table</w:t>
            </w:r>
            <w:r w:rsidR="005152C8" w:rsidRPr="00AF6CC6"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  <w:t xml:space="preserve"> 1</w:t>
            </w:r>
            <w:r w:rsidR="006E2E75" w:rsidRPr="00AF6CC6"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  <w:t>.</w:t>
            </w:r>
            <w:r w:rsidR="005152C8" w:rsidRPr="00AF6CC6">
              <w:rPr>
                <w:rFonts w:ascii="Helv" w:hAnsi="Helv" w:cs="Arial"/>
                <w:b/>
                <w:color w:val="000000"/>
                <w:sz w:val="14"/>
                <w:szCs w:val="14"/>
                <w:lang w:val="en-US"/>
              </w:rPr>
              <w:t xml:space="preserve"> Baseline characteristic of patients with and without failure to cure in 2015-2018.</w:t>
            </w:r>
          </w:p>
        </w:tc>
      </w:tr>
      <w:tr w:rsidR="005152C8" w:rsidRPr="00AF6CC6" w14:paraId="27D37867" w14:textId="77777777" w:rsidTr="00092D3D">
        <w:trPr>
          <w:trHeight w:val="34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43E32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92B3B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All patients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br/>
              <w:t>(N=3,239)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666F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No failure to cure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br/>
              <w:t>(N=2,753)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94E5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failure to cure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br/>
              <w:t>(N=486)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EA74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P-value (</w:t>
            </w:r>
            <w:r w:rsidRPr="00AF6CC6">
              <w:rPr>
                <w:rFonts w:ascii="Helv" w:eastAsia="Gulim" w:hAnsi="Helv" w:cstheme="minorHAnsi"/>
                <w:color w:val="000000"/>
                <w:sz w:val="14"/>
                <w:szCs w:val="14"/>
                <w:lang w:val="en-US"/>
              </w:rPr>
              <w:t>χ</w:t>
            </w:r>
            <w:r w:rsidRPr="00AF6CC6">
              <w:rPr>
                <w:rFonts w:ascii="Helv" w:eastAsia="Gulim" w:hAnsi="Helv" w:cstheme="minorHAnsi"/>
                <w:color w:val="000000"/>
                <w:sz w:val="14"/>
                <w:szCs w:val="14"/>
                <w:vertAlign w:val="superscript"/>
                <w:lang w:val="en-US"/>
              </w:rPr>
              <w:t>2</w:t>
            </w:r>
            <w:r w:rsidRPr="00AF6CC6">
              <w:rPr>
                <w:rFonts w:ascii="Helv" w:eastAsia="Gulim" w:hAnsi="Helv" w:cstheme="minorHAnsi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5152C8" w:rsidRPr="00AF6CC6" w14:paraId="595F84FC" w14:textId="77777777" w:rsidTr="00092D3D">
        <w:trPr>
          <w:trHeight w:val="148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BED0B2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Sex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592F3C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5B9E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AD4F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7840E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0.912</w:t>
            </w:r>
          </w:p>
        </w:tc>
      </w:tr>
      <w:tr w:rsidR="005152C8" w:rsidRPr="00AF6CC6" w14:paraId="4A3440FD" w14:textId="77777777" w:rsidTr="00092D3D">
        <w:trPr>
          <w:trHeight w:val="127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7D9CED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DFA00B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2,513 (77.6%)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AFA7DC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2,135 (77.6%)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6B7A9C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378 (77.8%)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EF8647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57604A2D" w14:textId="77777777" w:rsidTr="00092D3D">
        <w:trPr>
          <w:trHeight w:val="20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AE16A1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Female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A70DD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726 (22.4%)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A7B1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618 (22.4%)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E0417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108 (22.2%)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B9F70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5D47AA0D" w14:textId="77777777" w:rsidTr="00092D3D">
        <w:trPr>
          <w:trHeight w:val="151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40A8CEC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Age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3CCF4C7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8D7553B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7ED713A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B1DB22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0.001*</w:t>
            </w:r>
          </w:p>
        </w:tc>
      </w:tr>
      <w:tr w:rsidR="005152C8" w:rsidRPr="00AF6CC6" w14:paraId="1A2CF59C" w14:textId="77777777" w:rsidTr="00092D3D">
        <w:trPr>
          <w:trHeight w:val="25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39D8D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&lt;60 years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FE21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747 (23.1%)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2861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645 (23.4%)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7E2CF8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102 (21.0%)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FE40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5879655B" w14:textId="77777777" w:rsidTr="00092D3D">
        <w:trPr>
          <w:trHeight w:val="189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noWrap/>
            <w:hideMark/>
          </w:tcPr>
          <w:p w14:paraId="49D71333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60-75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B0867D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2,025 (62.5%)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C84748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1,737 (63.1%)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078301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288 (59.3%)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DD8FD48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30DAEB71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248B9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≥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75 years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1CB3E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467 (14.4%)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2F795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371 (13.5%)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4DF9A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96 (19.8%)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07F9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FECA575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9871B01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Charlson Comorbidity Index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F23D4C0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CA585F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5123C9C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7AC169E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0.024*</w:t>
            </w:r>
          </w:p>
        </w:tc>
      </w:tr>
      <w:tr w:rsidR="005152C8" w:rsidRPr="00AF6CC6" w14:paraId="37B95D9F" w14:textId="77777777" w:rsidTr="00092D3D">
        <w:trPr>
          <w:trHeight w:val="17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44F39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B00FC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1,609 (49.7%)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934F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1,388 (50.4%)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2612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221 (45.5%)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667C3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357AAE9F" w14:textId="77777777" w:rsidTr="00092D3D">
        <w:trPr>
          <w:trHeight w:val="12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D496358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37504D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944 (29.1%)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B480FE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801 (29.1%)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696587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143 (29.4%)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CDE298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021EE92" w14:textId="77777777" w:rsidTr="00092D3D">
        <w:trPr>
          <w:trHeight w:val="213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9D597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3D4C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534 (16.5%)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97993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432 (15.7%)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DE67B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102 (21.0%)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CC36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38132153" w14:textId="77777777" w:rsidTr="00092D3D">
        <w:trPr>
          <w:trHeight w:val="161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0CA418D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Missing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A41A3C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152 (4.7%)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333DB4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132 (4.8%)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771486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 (4.1%)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FF2938C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31AC165C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24139" w14:textId="47CCA2A0" w:rsidR="005152C8" w:rsidRPr="00AF6CC6" w:rsidRDefault="009431F4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Tumor</w:t>
            </w:r>
            <w:r w:rsidR="005152C8"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location</w:t>
            </w:r>
            <w:r w:rsidR="005152C8"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CF9E6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BF6BA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4EEF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FAEA7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&lt;.0001*</w:t>
            </w:r>
          </w:p>
        </w:tc>
      </w:tr>
      <w:tr w:rsidR="005152C8" w:rsidRPr="00AF6CC6" w14:paraId="2B4B5AA2" w14:textId="77777777" w:rsidTr="00092D3D">
        <w:trPr>
          <w:trHeight w:val="213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1E28B29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Intrathoracic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B015F2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2,607 (80.5%)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EAC9BB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2,251 (81.8%)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EDF4E18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356 (73.3%)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7C3BD8A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4C9B958" w14:textId="77777777" w:rsidTr="00092D3D">
        <w:trPr>
          <w:trHeight w:val="162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E0CA4D" w14:textId="3C399344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Gastro-</w:t>
            </w:r>
            <w:r w:rsidR="009431F4"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esophageal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 xml:space="preserve"> junction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DB075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545 (16.8%)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275318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428 (15.5%)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AB8A5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117 (24.1%)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74ED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393DDAD" w14:textId="77777777" w:rsidTr="00092D3D">
        <w:trPr>
          <w:trHeight w:val="9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9D85A61" w14:textId="7B494D53" w:rsidR="005152C8" w:rsidRPr="00AF6CC6" w:rsidRDefault="00AF6CC6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E</w:t>
            </w:r>
            <w:r w:rsidR="009431F4"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sophagus</w:t>
            </w:r>
            <w:r w:rsidR="005152C8"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 xml:space="preserve"> non-specified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C102D5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87 (2.7%)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3A8C81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74 (2.7%)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D11C21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13 (2.7%)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D50107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2C56242D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ABFDC8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Histology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3A384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14F230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C299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F3DC45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&lt;.0001*</w:t>
            </w:r>
          </w:p>
        </w:tc>
      </w:tr>
      <w:tr w:rsidR="005152C8" w:rsidRPr="00AF6CC6" w14:paraId="05BB8A09" w14:textId="77777777" w:rsidTr="00092D3D">
        <w:trPr>
          <w:trHeight w:val="147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FB69568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Squamous cell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A8EA66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519 (16.0%)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D936FF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451 (16.4%)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C3A9AA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68 (14.0%)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F4B45A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08167837" w14:textId="77777777" w:rsidTr="00092D3D">
        <w:trPr>
          <w:trHeight w:val="223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B2CA7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Adenocarcinoma - intestinal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CAAA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1,559 (48.1%)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CAEE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1,365 (49.6%)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E97B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194 (39.9%)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FA33E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DC37FCB" w14:textId="77777777" w:rsidTr="00092D3D">
        <w:trPr>
          <w:trHeight w:val="171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10E7EAA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Adenocarcinoma - diffuse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41E31C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354 (10.9%)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5694A7C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264 (9.6%)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35B35B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90 (18.5%)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D277515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26EF1251" w14:textId="77777777" w:rsidTr="00092D3D">
        <w:trPr>
          <w:trHeight w:val="119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A6E6E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Adenocarcinoma - other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B4A15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791 (24.4%)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5AC1E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659 (23.9%)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F8E65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132 (27.2%)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9AA18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5E23539F" w14:textId="77777777" w:rsidTr="00092D3D">
        <w:trPr>
          <w:trHeight w:val="19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C9E7EB9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Unknown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7705C1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16 (0.5%)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C8ACDB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14 (0.5%)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40348D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 (0.4%)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D0D3126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68977602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BEC48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Clinical T-stage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B440C0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24E13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E1B2AE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90AF07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0.058</w:t>
            </w:r>
          </w:p>
        </w:tc>
      </w:tr>
      <w:tr w:rsidR="005152C8" w:rsidRPr="00AF6CC6" w14:paraId="7A81BBDD" w14:textId="77777777" w:rsidTr="00092D3D">
        <w:trPr>
          <w:trHeight w:val="10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noWrap/>
            <w:hideMark/>
          </w:tcPr>
          <w:p w14:paraId="15971C19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T1-2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11D97B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1,124 (34.7%)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753116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966 (35.1%)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8CEFA1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158 (32.5%)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75D89F2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496242B" w14:textId="77777777" w:rsidTr="00092D3D">
        <w:trPr>
          <w:trHeight w:val="182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10FAE7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T3-4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6663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1,842 (56.9%)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CB80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1,568 (57.0%)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6BDEA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274 (56.4%)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494985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5A27CA9" w14:textId="77777777" w:rsidTr="00092D3D">
        <w:trPr>
          <w:trHeight w:val="129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EF66FF2" w14:textId="77777777" w:rsidR="005152C8" w:rsidRPr="00AF6CC6" w:rsidRDefault="005152C8" w:rsidP="00092D3D">
            <w:pPr>
              <w:spacing w:line="240" w:lineRule="auto"/>
              <w:ind w:left="1416" w:hanging="1070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Tx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F31671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273 (8.4%)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54C9E7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219 (8.0%)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7683583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54 (11.1%)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3D9CD37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6DD74AA" w14:textId="77777777" w:rsidTr="00092D3D">
        <w:trPr>
          <w:trHeight w:val="77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955CBF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Clinical N-stage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4073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66B91A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D803B8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38B8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0.574</w:t>
            </w:r>
          </w:p>
        </w:tc>
      </w:tr>
      <w:tr w:rsidR="005152C8" w:rsidRPr="00AF6CC6" w14:paraId="545C976D" w14:textId="77777777" w:rsidTr="00092D3D">
        <w:trPr>
          <w:trHeight w:val="181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8D192CC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AF96B7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1,495 (46.2%)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D9C4F0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1,260 (45.8%)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091A6FA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235 (48.4%)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EBF84F6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869F7EB" w14:textId="77777777" w:rsidTr="00092D3D">
        <w:trPr>
          <w:trHeight w:val="115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A0410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N+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AE75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1,605 (49.6%)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A462F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1,374 (49.9%)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32E6C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231 (47.5%)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B8CBAA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173180D0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458F74C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Nx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413DB1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139 (4.3%)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8C8582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119 (4.3%)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8EA6107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 (4.1%)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2991E71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2B60BD86" w14:textId="77777777" w:rsidTr="00092D3D">
        <w:trPr>
          <w:trHeight w:val="153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76209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Neoadjuvant treatment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E8CF22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5F195B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C6EE8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792A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&lt;.0001*</w:t>
            </w:r>
          </w:p>
        </w:tc>
      </w:tr>
      <w:tr w:rsidR="005152C8" w:rsidRPr="00AF6CC6" w14:paraId="13DB627D" w14:textId="77777777" w:rsidTr="00092D3D">
        <w:trPr>
          <w:trHeight w:val="116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9537667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1F2142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540 (16.7%)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EFBE1A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405 (14.7%)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00B9F9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135 (27.8%)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8F5AC2F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5436257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E1FF6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Neoadjuvant chemoradiotherapy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D164E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2,390 (73.8%)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4D846E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2,109 (76.6%)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E3E7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281 (57.8%)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002A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2B959AE1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52085FC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Other neoadjuvant treatment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BC1015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309 (9.5%)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065D5CEC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239 (8.7%)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6C275F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70 (14.4%)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D337ED6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CDA6AE3" w14:textId="77777777" w:rsidTr="00092D3D">
        <w:trPr>
          <w:trHeight w:val="88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379FD" w14:textId="77777777" w:rsidR="005152C8" w:rsidRPr="00AF6CC6" w:rsidRDefault="005152C8" w:rsidP="00092D3D">
            <w:pPr>
              <w:spacing w:line="240" w:lineRule="auto"/>
              <w:ind w:left="72"/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b/>
                <w:bCs/>
                <w:color w:val="000000"/>
                <w:sz w:val="14"/>
                <w:szCs w:val="14"/>
                <w:lang w:val="en-US"/>
              </w:rPr>
              <w:t>Year of diagnosis</w:t>
            </w: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, n (%)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4BA6F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22E1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BE539D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A772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0.068</w:t>
            </w:r>
          </w:p>
        </w:tc>
      </w:tr>
      <w:tr w:rsidR="005152C8" w:rsidRPr="00AF6CC6" w14:paraId="7EE2B43D" w14:textId="77777777" w:rsidTr="00092D3D">
        <w:trPr>
          <w:trHeight w:val="191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2435E34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D81E5A2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717 (22.1%)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B532B5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619 (22.5%)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0B2073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98 (20.2%)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8CA95D4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7DB1340F" w14:textId="77777777" w:rsidTr="00092D3D">
        <w:trPr>
          <w:trHeight w:val="139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297A46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4C1D9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784 (24.2%)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D6351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668 (24.3%)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68113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116 (23.9%)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683475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4109C3AC" w14:textId="77777777" w:rsidTr="00092D3D">
        <w:trPr>
          <w:trHeight w:val="74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2270F33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F7ED2CB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885 (27.3%)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3F69A996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764 (27.8%)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39BB270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121 (24.9%)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7194F74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3C114943" w14:textId="77777777" w:rsidTr="00092D3D">
        <w:trPr>
          <w:trHeight w:val="340"/>
          <w:tblCellSpacing w:w="0" w:type="dxa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46F9B" w14:textId="77777777" w:rsidR="005152C8" w:rsidRPr="00AF6CC6" w:rsidRDefault="005152C8" w:rsidP="00092D3D">
            <w:pPr>
              <w:spacing w:line="240" w:lineRule="auto"/>
              <w:ind w:left="173" w:firstLine="173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2018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5A6A24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853 (26.3%)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6E94E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702 (25.5%)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51237D" w14:textId="77777777" w:rsidR="005152C8" w:rsidRPr="00AF6CC6" w:rsidRDefault="005152C8" w:rsidP="00092D3D">
            <w:pPr>
              <w:spacing w:line="240" w:lineRule="auto"/>
              <w:jc w:val="center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151 (31.1%)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B3733" w14:textId="77777777" w:rsidR="005152C8" w:rsidRPr="00AF6CC6" w:rsidRDefault="005152C8" w:rsidP="00092D3D">
            <w:pPr>
              <w:spacing w:line="240" w:lineRule="auto"/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5152C8" w:rsidRPr="00AF6CC6" w14:paraId="546EE856" w14:textId="77777777" w:rsidTr="00092D3D">
        <w:trPr>
          <w:trHeight w:val="34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hideMark/>
          </w:tcPr>
          <w:p w14:paraId="7E346FD8" w14:textId="77777777" w:rsidR="005152C8" w:rsidRPr="00AF6CC6" w:rsidRDefault="005152C8" w:rsidP="00092D3D">
            <w:pPr>
              <w:spacing w:line="240" w:lineRule="auto"/>
              <w:ind w:left="86"/>
              <w:rPr>
                <w:rFonts w:ascii="Helv" w:hAnsi="Helv" w:cs="Arial"/>
                <w:i/>
                <w:color w:val="000000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color w:val="000000"/>
                <w:sz w:val="14"/>
                <w:lang w:val="en-US"/>
              </w:rPr>
              <w:lastRenderedPageBreak/>
              <w:t>*</w:t>
            </w:r>
            <w:r w:rsidRPr="00AF6CC6">
              <w:rPr>
                <w:rFonts w:ascii="Helv" w:hAnsi="Helv"/>
                <w:i/>
                <w:color w:val="000000"/>
                <w:sz w:val="14"/>
                <w:lang w:val="en-US"/>
              </w:rPr>
              <w:t>Indicating statistical significance</w:t>
            </w:r>
          </w:p>
          <w:p w14:paraId="3CB3AFE0" w14:textId="1087BBE7" w:rsidR="005152C8" w:rsidRPr="00AF6CC6" w:rsidRDefault="005152C8" w:rsidP="00092D3D">
            <w:pPr>
              <w:spacing w:line="240" w:lineRule="auto"/>
              <w:ind w:left="86"/>
              <w:rPr>
                <w:rFonts w:ascii="Helv" w:hAnsi="Helv"/>
                <w:color w:val="000000"/>
                <w:sz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 xml:space="preserve">A </w:t>
            </w:r>
            <w:r w:rsidRPr="00AF6CC6">
              <w:rPr>
                <w:rFonts w:ascii="Helv" w:hAnsi="Helv" w:cs="Arial"/>
                <w:i/>
                <w:iCs/>
                <w:color w:val="000000"/>
                <w:sz w:val="14"/>
                <w:szCs w:val="14"/>
                <w:lang w:val="en-US"/>
              </w:rPr>
              <w:t xml:space="preserve">Clinical </w:t>
            </w:r>
            <w:r w:rsidR="009431F4" w:rsidRPr="00AF6CC6">
              <w:rPr>
                <w:rFonts w:ascii="Helv" w:hAnsi="Helv" w:cs="Arial"/>
                <w:i/>
                <w:iCs/>
                <w:color w:val="000000"/>
                <w:sz w:val="14"/>
                <w:szCs w:val="14"/>
                <w:lang w:val="en-US"/>
              </w:rPr>
              <w:t>tumor</w:t>
            </w:r>
            <w:r w:rsidRPr="00AF6CC6">
              <w:rPr>
                <w:rFonts w:ascii="Helv" w:hAnsi="Helv" w:cs="Arial"/>
                <w:i/>
                <w:iCs/>
                <w:color w:val="000000"/>
                <w:sz w:val="14"/>
                <w:szCs w:val="14"/>
                <w:lang w:val="en-US"/>
              </w:rPr>
              <w:t xml:space="preserve"> and/or node stage could not be assessed</w:t>
            </w:r>
          </w:p>
        </w:tc>
      </w:tr>
    </w:tbl>
    <w:p w14:paraId="3DD3FB6A" w14:textId="0E134DF2" w:rsidR="00F05AA4" w:rsidRPr="00AF6CC6" w:rsidRDefault="00F05AA4">
      <w:pPr>
        <w:rPr>
          <w:lang w:val="en-US"/>
        </w:rPr>
      </w:pPr>
    </w:p>
    <w:p w14:paraId="15A20872" w14:textId="77777777" w:rsidR="00F05AA4" w:rsidRPr="00AF6CC6" w:rsidRDefault="00F05AA4">
      <w:pPr>
        <w:rPr>
          <w:lang w:val="en-US"/>
        </w:rPr>
      </w:pPr>
      <w:r w:rsidRPr="00AF6CC6">
        <w:rPr>
          <w:lang w:val="en-US"/>
        </w:rPr>
        <w:br w:type="page"/>
      </w:r>
    </w:p>
    <w:tbl>
      <w:tblPr>
        <w:tblStyle w:val="Onopgemaaktetabel2"/>
        <w:tblpPr w:leftFromText="141" w:rightFromText="141" w:vertAnchor="page" w:horzAnchor="margin" w:tblpXSpec="center" w:tblpY="1621"/>
        <w:tblW w:w="9356" w:type="dxa"/>
        <w:tblLayout w:type="fixed"/>
        <w:tblLook w:val="0620" w:firstRow="1" w:lastRow="0" w:firstColumn="0" w:lastColumn="0" w:noHBand="1" w:noVBand="1"/>
      </w:tblPr>
      <w:tblGrid>
        <w:gridCol w:w="3403"/>
        <w:gridCol w:w="708"/>
        <w:gridCol w:w="1134"/>
        <w:gridCol w:w="851"/>
        <w:gridCol w:w="425"/>
        <w:gridCol w:w="709"/>
        <w:gridCol w:w="1134"/>
        <w:gridCol w:w="992"/>
      </w:tblGrid>
      <w:tr w:rsidR="00F05AA4" w:rsidRPr="00AF6CC6" w14:paraId="3B419EA4" w14:textId="77777777" w:rsidTr="00134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tcW w:w="9356" w:type="dxa"/>
            <w:gridSpan w:val="8"/>
            <w:tcBorders>
              <w:top w:val="nil"/>
              <w:bottom w:val="single" w:sz="4" w:space="0" w:color="auto"/>
            </w:tcBorders>
          </w:tcPr>
          <w:p w14:paraId="042AB47E" w14:textId="7DA79C30" w:rsidR="00F05AA4" w:rsidRPr="00AF6CC6" w:rsidRDefault="00F05AA4" w:rsidP="001343D6">
            <w:pPr>
              <w:jc w:val="center"/>
              <w:rPr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lastRenderedPageBreak/>
              <w:t xml:space="preserve">Online Supplements Table 2. Multilevel multivariable logistic regression of the association between baseline characteristics and </w:t>
            </w:r>
            <w:r w:rsidRPr="00AF6CC6">
              <w:rPr>
                <w:rFonts w:ascii="Helv" w:hAnsi="Helv"/>
                <w:i/>
                <w:sz w:val="14"/>
                <w:szCs w:val="14"/>
                <w:lang w:val="en-US"/>
              </w:rPr>
              <w:t>failure to cure</w:t>
            </w:r>
            <w:r w:rsidRPr="00AF6CC6">
              <w:rPr>
                <w:rFonts w:ascii="Helv" w:hAnsi="Helv"/>
                <w:sz w:val="14"/>
                <w:szCs w:val="14"/>
                <w:lang w:val="en-US"/>
              </w:rPr>
              <w:t>. Model 1: without the O/E ratio of a hospitals tendency to treat patients surgically. Model 2: model with the O/E ratio.</w:t>
            </w:r>
          </w:p>
          <w:p w14:paraId="755AE64A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</w:tr>
      <w:tr w:rsidR="00F05AA4" w:rsidRPr="00AF6CC6" w14:paraId="0739BD19" w14:textId="77777777" w:rsidTr="001343D6">
        <w:trPr>
          <w:trHeight w:val="202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14:paraId="5F6FD9DC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14:paraId="6105B66B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41D7C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Model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E62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6D984FC9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Model 2</w:t>
            </w:r>
          </w:p>
        </w:tc>
      </w:tr>
      <w:tr w:rsidR="00F05AA4" w:rsidRPr="00AF6CC6" w14:paraId="326E772A" w14:textId="77777777" w:rsidTr="001343D6">
        <w:trPr>
          <w:trHeight w:val="202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4D180AEC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14:paraId="2E67EB55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BEF6C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DCF06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25FE9387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</w:p>
        </w:tc>
      </w:tr>
      <w:tr w:rsidR="00F05AA4" w:rsidRPr="00AF6CC6" w14:paraId="7F4A83DB" w14:textId="77777777" w:rsidTr="001343D6">
        <w:trPr>
          <w:trHeight w:val="293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52DE46E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4539C35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proofErr w:type="spellStart"/>
            <w:r w:rsidRPr="00AF6CC6">
              <w:rPr>
                <w:rFonts w:ascii="Helv" w:hAnsi="Helv"/>
                <w:sz w:val="14"/>
                <w:szCs w:val="14"/>
                <w:lang w:val="en-US"/>
              </w:rPr>
              <w:t>aOR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9C7A3E" w14:textId="77777777" w:rsidR="00F05AA4" w:rsidRPr="00AF6CC6" w:rsidRDefault="00F05AA4" w:rsidP="001343D6">
            <w:pPr>
              <w:ind w:left="-70"/>
              <w:jc w:val="center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95% CI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0A5FF6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425" w:type="dxa"/>
            <w:tcBorders>
              <w:top w:val="nil"/>
            </w:tcBorders>
          </w:tcPr>
          <w:p w14:paraId="7510261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937797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proofErr w:type="spellStart"/>
            <w:r w:rsidRPr="00AF6CC6">
              <w:rPr>
                <w:rFonts w:ascii="Helv" w:hAnsi="Helv"/>
                <w:sz w:val="14"/>
                <w:szCs w:val="14"/>
                <w:lang w:val="en-US"/>
              </w:rPr>
              <w:t>aOR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5F86F1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95% CI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C89009" w14:textId="77777777" w:rsidR="00F05AA4" w:rsidRPr="00AF6CC6" w:rsidRDefault="00F05AA4" w:rsidP="001343D6">
            <w:pPr>
              <w:jc w:val="center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P-value</w:t>
            </w:r>
          </w:p>
        </w:tc>
      </w:tr>
      <w:tr w:rsidR="00F05AA4" w:rsidRPr="00AF6CC6" w14:paraId="551ED809" w14:textId="77777777" w:rsidTr="001343D6">
        <w:trPr>
          <w:trHeight w:val="423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68B1598C" w14:textId="77777777" w:rsidR="00F05AA4" w:rsidRPr="00AF6CC6" w:rsidRDefault="00F05AA4" w:rsidP="001343D6">
            <w:pPr>
              <w:ind w:left="-107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Sex</w:t>
            </w:r>
          </w:p>
          <w:p w14:paraId="76C54CC3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Male</w:t>
            </w:r>
          </w:p>
          <w:p w14:paraId="0A1ECD2E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Female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5AB2066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AAC42B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3D88EB4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8B7F46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428619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C35E5C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0.73 – 1.31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ABDEFE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3A8F8C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45D13A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0.884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51C6F4C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8AA839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086076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50D6B6F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835CC3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2E8337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10A719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0.74 – 1.29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8B5354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ACABDB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EDBE64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0.863</w:t>
            </w:r>
          </w:p>
        </w:tc>
      </w:tr>
      <w:tr w:rsidR="00F05AA4" w:rsidRPr="00AF6CC6" w14:paraId="1AD1C2B1" w14:textId="77777777" w:rsidTr="001343D6">
        <w:trPr>
          <w:trHeight w:val="423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1B52B6CD" w14:textId="77777777" w:rsidR="00F05AA4" w:rsidRPr="00AF6CC6" w:rsidRDefault="00F05AA4" w:rsidP="001343D6">
            <w:pPr>
              <w:ind w:left="-107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Age (in years)</w:t>
            </w:r>
          </w:p>
          <w:p w14:paraId="4F3B8EAB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&lt; 60</w:t>
            </w:r>
          </w:p>
          <w:p w14:paraId="3ADD18CD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60 – 75</w:t>
            </w:r>
          </w:p>
          <w:p w14:paraId="4F0D52C7" w14:textId="77777777" w:rsidR="00F05AA4" w:rsidRPr="00AF6CC6" w:rsidRDefault="00F05AA4" w:rsidP="001343D6">
            <w:pPr>
              <w:rPr>
                <w:rFonts w:ascii="Helv" w:hAnsi="Helv"/>
                <w:b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&gt; 75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4D2D821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5E5B35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381D961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1.05</w:t>
            </w:r>
          </w:p>
          <w:p w14:paraId="62133AB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16C0097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0391B8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9E14A4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0.79 – 1.40</w:t>
            </w:r>
          </w:p>
          <w:p w14:paraId="22EB6FE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1.03 – 2.14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D305F7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3CAFF5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DB2A5C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0.728</w:t>
            </w:r>
          </w:p>
          <w:p w14:paraId="698E1F07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0.035*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0C492CA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6E43E09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D0B980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00D3638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1.04</w:t>
            </w:r>
          </w:p>
          <w:p w14:paraId="489D69D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1.47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9F1268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35F154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1C02CA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0.79 – 1.37</w:t>
            </w:r>
          </w:p>
          <w:p w14:paraId="047D865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1.03 – 2.09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E978D9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720FAA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73DD0F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0.779</w:t>
            </w:r>
          </w:p>
          <w:p w14:paraId="298628A3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0.034*</w:t>
            </w:r>
          </w:p>
        </w:tc>
      </w:tr>
      <w:tr w:rsidR="00F05AA4" w:rsidRPr="00AF6CC6" w14:paraId="58EBBFC6" w14:textId="77777777" w:rsidTr="001343D6">
        <w:trPr>
          <w:trHeight w:val="423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7C26D318" w14:textId="77777777" w:rsidR="00F05AA4" w:rsidRPr="00AF6CC6" w:rsidRDefault="00F05AA4" w:rsidP="001343D6">
            <w:pPr>
              <w:ind w:left="-107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Charlson Comorbidity Index</w:t>
            </w:r>
          </w:p>
          <w:p w14:paraId="787D34E7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0</w:t>
            </w:r>
          </w:p>
          <w:p w14:paraId="7663856A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1</w:t>
            </w:r>
          </w:p>
          <w:p w14:paraId="63022B51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2+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6544AD5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6BB10E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2183C15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1.08</w:t>
            </w:r>
          </w:p>
          <w:p w14:paraId="569CD72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1.39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9F70E5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5EE26A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C4CAE1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0.83 – 1.39</w:t>
            </w:r>
          </w:p>
          <w:p w14:paraId="34BFFD8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1.03 – 1.88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446DF4F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95B882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783845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0.574</w:t>
            </w:r>
          </w:p>
          <w:p w14:paraId="6B7878E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0.032*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07C2654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47B4DD5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09D20F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27055D1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1.10</w:t>
            </w:r>
          </w:p>
          <w:p w14:paraId="13D14D9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1.42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F9B7AF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AC8CEF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4B81C7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0.86 – 1.42</w:t>
            </w:r>
          </w:p>
          <w:p w14:paraId="1627DEB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1.06 – 1.89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1297C6C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3B1B84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3F6680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0.426</w:t>
            </w:r>
          </w:p>
          <w:p w14:paraId="0F01F39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0.019*</w:t>
            </w:r>
          </w:p>
        </w:tc>
      </w:tr>
      <w:tr w:rsidR="00F05AA4" w:rsidRPr="00AF6CC6" w14:paraId="23F32DAA" w14:textId="77777777" w:rsidTr="001343D6">
        <w:trPr>
          <w:trHeight w:val="423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14:paraId="672904CA" w14:textId="0CDE50C1" w:rsidR="00F05AA4" w:rsidRPr="00AF6CC6" w:rsidRDefault="00F05AA4" w:rsidP="001343D6">
            <w:pPr>
              <w:ind w:left="-107"/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Tumor location</w:t>
            </w:r>
          </w:p>
          <w:p w14:paraId="2BA9AEDF" w14:textId="77777777" w:rsidR="00F05AA4" w:rsidRPr="00AF6CC6" w:rsidRDefault="00F05AA4" w:rsidP="001343D6">
            <w:pPr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Intrathoracic</w:t>
            </w:r>
          </w:p>
          <w:p w14:paraId="27A673A9" w14:textId="166484FC" w:rsidR="00F05AA4" w:rsidRPr="00AF6CC6" w:rsidRDefault="00F05AA4" w:rsidP="001343D6">
            <w:pPr>
              <w:rPr>
                <w:rFonts w:ascii="Helv" w:hAnsi="Helv"/>
                <w:b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Gastro-</w:t>
            </w:r>
            <w:proofErr w:type="spellStart"/>
            <w:r w:rsidR="00AF6CC6"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e</w:t>
            </w: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esophageal</w:t>
            </w:r>
            <w:proofErr w:type="spellEnd"/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 xml:space="preserve"> junction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37AFDB4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07C3E8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6977DE6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1.66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69B8D4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886B1C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26018B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1.24 – 2.23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BA0AEA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E59CAE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5CB137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0.002*</w:t>
            </w: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3AB73BA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278A46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947CD6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229E9A1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1.55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9894EE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3A3B2E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A13255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1.17 – 2.05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B8CDAF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5B822F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4217E3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0.005*</w:t>
            </w:r>
          </w:p>
        </w:tc>
      </w:tr>
      <w:tr w:rsidR="00F05AA4" w:rsidRPr="00AF6CC6" w14:paraId="4C31B493" w14:textId="77777777" w:rsidTr="001343D6">
        <w:trPr>
          <w:trHeight w:val="491"/>
        </w:trPr>
        <w:tc>
          <w:tcPr>
            <w:tcW w:w="3403" w:type="dxa"/>
            <w:tcBorders>
              <w:top w:val="nil"/>
              <w:bottom w:val="nil"/>
            </w:tcBorders>
          </w:tcPr>
          <w:p w14:paraId="432BA302" w14:textId="77777777" w:rsidR="00F05AA4" w:rsidRPr="00AF6CC6" w:rsidRDefault="00F05AA4" w:rsidP="001343D6">
            <w:pPr>
              <w:ind w:left="-107"/>
              <w:rPr>
                <w:rFonts w:ascii="Helv" w:hAnsi="Helv"/>
                <w:b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Histology</w:t>
            </w:r>
          </w:p>
          <w:p w14:paraId="7C194BC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Squamous cell</w:t>
            </w:r>
          </w:p>
          <w:p w14:paraId="717E13F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Adenocarcinoma – intestinal</w:t>
            </w:r>
          </w:p>
          <w:p w14:paraId="0CD208B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Adenocarcinoma – diffuse</w:t>
            </w:r>
          </w:p>
          <w:p w14:paraId="70A4F75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Adenocarcinoma – other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3B0F06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602D98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265F3E5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0.80</w:t>
            </w:r>
          </w:p>
          <w:p w14:paraId="2EE89CC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2.13</w:t>
            </w:r>
          </w:p>
          <w:p w14:paraId="2CD4399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1.29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4B23CE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4D67A9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329366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0.56 – 1.14</w:t>
            </w:r>
          </w:p>
          <w:p w14:paraId="6F185DC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1.40 – 3.23</w:t>
            </w:r>
          </w:p>
          <w:p w14:paraId="14D1EDF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0.88 – 1.89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54A2D46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5BB4BB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D53515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0.204</w:t>
            </w:r>
          </w:p>
          <w:p w14:paraId="00653FF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&lt;0.001*</w:t>
            </w:r>
          </w:p>
          <w:p w14:paraId="4754B9A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0.186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186244D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CF7847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EA1579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5EAB1D7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0.86</w:t>
            </w:r>
          </w:p>
          <w:p w14:paraId="6595581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2.22</w:t>
            </w:r>
          </w:p>
          <w:p w14:paraId="2D61FEC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1.42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37781D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ABBF5E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7D4B97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0.61 – 1.22</w:t>
            </w:r>
          </w:p>
          <w:p w14:paraId="16DBE65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1.47 – 3.33</w:t>
            </w:r>
          </w:p>
          <w:p w14:paraId="0D1F945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0.98 – 2.05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0F8A51B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86E260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4B5FC7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0.399</w:t>
            </w:r>
          </w:p>
          <w:p w14:paraId="14A328D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&lt;0.001*</w:t>
            </w:r>
          </w:p>
          <w:p w14:paraId="526372A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0.061</w:t>
            </w:r>
          </w:p>
        </w:tc>
      </w:tr>
      <w:tr w:rsidR="00F05AA4" w:rsidRPr="00AF6CC6" w14:paraId="19136439" w14:textId="77777777" w:rsidTr="001343D6">
        <w:trPr>
          <w:trHeight w:val="491"/>
        </w:trPr>
        <w:tc>
          <w:tcPr>
            <w:tcW w:w="3403" w:type="dxa"/>
            <w:tcBorders>
              <w:top w:val="nil"/>
              <w:bottom w:val="nil"/>
            </w:tcBorders>
          </w:tcPr>
          <w:p w14:paraId="29E951AE" w14:textId="77777777" w:rsidR="00F05AA4" w:rsidRPr="00AF6CC6" w:rsidRDefault="00F05AA4" w:rsidP="001343D6">
            <w:pPr>
              <w:ind w:left="-107"/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Clinical T-stage</w:t>
            </w:r>
          </w:p>
          <w:p w14:paraId="76EF57B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T1-2</w:t>
            </w:r>
          </w:p>
          <w:p w14:paraId="57055A6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T3-4</w:t>
            </w:r>
          </w:p>
          <w:p w14:paraId="036A078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proofErr w:type="spellStart"/>
            <w:r w:rsidRPr="00AF6CC6">
              <w:rPr>
                <w:rFonts w:ascii="Helv" w:hAnsi="Helv"/>
                <w:sz w:val="14"/>
                <w:szCs w:val="14"/>
                <w:lang w:val="en-US"/>
              </w:rPr>
              <w:t>Tx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15B04F7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7E463C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7FD4152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0.96</w:t>
            </w:r>
          </w:p>
          <w:p w14:paraId="063BF61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1.51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55CE5D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7EA2AE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D7C591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0.74 – 1.24</w:t>
            </w:r>
          </w:p>
          <w:p w14:paraId="7672FFF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0.97 – 2.34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34D3093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F1646E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4AAA1F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0.727</w:t>
            </w:r>
          </w:p>
          <w:p w14:paraId="1113AA3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0.067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3A74D52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2F21C0E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CF1932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1AA69B4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1.03</w:t>
            </w:r>
          </w:p>
          <w:p w14:paraId="049FCC6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1.49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17194E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D6A946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CCBDA2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0.80 – 1.33</w:t>
            </w:r>
          </w:p>
          <w:p w14:paraId="337D127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0.98 – 2.25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03A224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142608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A7DE73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0.809</w:t>
            </w:r>
          </w:p>
          <w:p w14:paraId="2B1D2B5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0.060</w:t>
            </w:r>
          </w:p>
        </w:tc>
      </w:tr>
      <w:tr w:rsidR="00F05AA4" w:rsidRPr="00AF6CC6" w14:paraId="07BBE2AE" w14:textId="77777777" w:rsidTr="001343D6">
        <w:trPr>
          <w:trHeight w:val="491"/>
        </w:trPr>
        <w:tc>
          <w:tcPr>
            <w:tcW w:w="3403" w:type="dxa"/>
            <w:tcBorders>
              <w:top w:val="nil"/>
              <w:bottom w:val="nil"/>
            </w:tcBorders>
          </w:tcPr>
          <w:p w14:paraId="17F88F1D" w14:textId="77777777" w:rsidR="00F05AA4" w:rsidRPr="00AF6CC6" w:rsidRDefault="00F05AA4" w:rsidP="001343D6">
            <w:pPr>
              <w:ind w:left="-107"/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Clinical N-stage</w:t>
            </w:r>
          </w:p>
          <w:p w14:paraId="35970C0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N0</w:t>
            </w:r>
          </w:p>
          <w:p w14:paraId="7EB6114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N+</w:t>
            </w:r>
          </w:p>
          <w:p w14:paraId="29C0F635" w14:textId="77777777" w:rsidR="00F05AA4" w:rsidRPr="00AF6CC6" w:rsidRDefault="00F05AA4" w:rsidP="001343D6">
            <w:pPr>
              <w:rPr>
                <w:rFonts w:ascii="Helv" w:hAnsi="Helv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AF6CC6">
              <w:rPr>
                <w:rFonts w:ascii="Helv" w:hAnsi="Helv"/>
                <w:sz w:val="14"/>
                <w:szCs w:val="14"/>
                <w:lang w:val="en-US"/>
              </w:rPr>
              <w:t>Nx</w:t>
            </w:r>
            <w:r w:rsidRPr="00AF6CC6"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6AB2120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C69F73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183E226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0.96</w:t>
            </w:r>
          </w:p>
          <w:p w14:paraId="22BA4A9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0.77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FCD65A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5C1210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D1D5C0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0.75 – 1.23</w:t>
            </w:r>
          </w:p>
          <w:p w14:paraId="2A5FE80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0.41 – 1.45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3C5662C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918A2F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130D7C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0.729</w:t>
            </w:r>
          </w:p>
          <w:p w14:paraId="69D3361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0.402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66CF557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B0F98A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05FAB8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514580F0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0.94</w:t>
            </w:r>
          </w:p>
          <w:p w14:paraId="727057E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0.67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AE9BF5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545D647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DE3DB2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0.74 – 1.19</w:t>
            </w:r>
          </w:p>
          <w:p w14:paraId="495A802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0.36 – 1.25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2FF2C84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FFA5EE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316A6B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0.581</w:t>
            </w:r>
          </w:p>
          <w:p w14:paraId="6706B78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0.200</w:t>
            </w:r>
          </w:p>
        </w:tc>
      </w:tr>
      <w:tr w:rsidR="00F05AA4" w:rsidRPr="00AF6CC6" w14:paraId="166DD575" w14:textId="77777777" w:rsidTr="001343D6">
        <w:trPr>
          <w:trHeight w:val="618"/>
        </w:trPr>
        <w:tc>
          <w:tcPr>
            <w:tcW w:w="3403" w:type="dxa"/>
            <w:tcBorders>
              <w:top w:val="nil"/>
              <w:bottom w:val="nil"/>
            </w:tcBorders>
          </w:tcPr>
          <w:p w14:paraId="4DF3F3DE" w14:textId="77777777" w:rsidR="00F05AA4" w:rsidRPr="00AF6CC6" w:rsidRDefault="00F05AA4" w:rsidP="001343D6">
            <w:pPr>
              <w:ind w:left="-107"/>
              <w:rPr>
                <w:rFonts w:ascii="Helv" w:hAnsi="Helv"/>
                <w:b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Year of diagnosis</w:t>
            </w:r>
          </w:p>
          <w:p w14:paraId="22DF708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2015</w:t>
            </w:r>
          </w:p>
          <w:p w14:paraId="70EBCB1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2016</w:t>
            </w:r>
          </w:p>
          <w:p w14:paraId="20DA52F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2017</w:t>
            </w:r>
          </w:p>
          <w:p w14:paraId="72ACECD8" w14:textId="77777777" w:rsidR="00F05AA4" w:rsidRPr="00AF6CC6" w:rsidRDefault="00F05AA4" w:rsidP="001343D6">
            <w:pPr>
              <w:rPr>
                <w:rFonts w:ascii="Helv" w:hAnsi="Helv"/>
                <w:b/>
                <w:bCs/>
                <w:sz w:val="14"/>
                <w:szCs w:val="14"/>
                <w:vertAlign w:val="superscript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2018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14:paraId="6F071FF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F63211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18FA97F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1.10</w:t>
            </w:r>
          </w:p>
          <w:p w14:paraId="60A5131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0.96</w:t>
            </w:r>
          </w:p>
          <w:p w14:paraId="37D9EE7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1.35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3E9EED6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72075B6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F4A01A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0.78 – 1.54</w:t>
            </w:r>
          </w:p>
          <w:p w14:paraId="752DC33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0.68 – 1.35</w:t>
            </w:r>
          </w:p>
          <w:p w14:paraId="77A748F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0.97 – 1.88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67A6C48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3CE740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2468D4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0.588</w:t>
            </w:r>
          </w:p>
          <w:p w14:paraId="07A6E15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0.788</w:t>
            </w:r>
          </w:p>
          <w:p w14:paraId="281FACC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0.074</w:t>
            </w:r>
          </w:p>
        </w:tc>
        <w:tc>
          <w:tcPr>
            <w:tcW w:w="425" w:type="dxa"/>
            <w:tcBorders>
              <w:top w:val="dashed" w:sz="4" w:space="0" w:color="auto"/>
            </w:tcBorders>
          </w:tcPr>
          <w:p w14:paraId="623551B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328DF05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0A4A1F4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589EF9A7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1.06</w:t>
            </w:r>
          </w:p>
          <w:p w14:paraId="65DC561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0.94</w:t>
            </w:r>
          </w:p>
          <w:p w14:paraId="50E02CD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1.29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4325F91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2D0F8C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45E426C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0.77 – 1.47</w:t>
            </w:r>
          </w:p>
          <w:p w14:paraId="5CB0AD9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0.68 – 1.31</w:t>
            </w:r>
          </w:p>
          <w:p w14:paraId="0101032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0.95 – 1.77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1EE3B67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0DB699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C6DB47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0.705</w:t>
            </w:r>
          </w:p>
          <w:p w14:paraId="37B0C75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0.718</w:t>
            </w:r>
          </w:p>
          <w:p w14:paraId="13DCBDE6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0.106</w:t>
            </w:r>
          </w:p>
        </w:tc>
      </w:tr>
      <w:tr w:rsidR="00F05AA4" w:rsidRPr="00AF6CC6" w14:paraId="3A9E119D" w14:textId="77777777" w:rsidTr="001343D6">
        <w:trPr>
          <w:trHeight w:val="434"/>
        </w:trPr>
        <w:tc>
          <w:tcPr>
            <w:tcW w:w="3403" w:type="dxa"/>
            <w:tcBorders>
              <w:top w:val="nil"/>
              <w:bottom w:val="nil"/>
            </w:tcBorders>
          </w:tcPr>
          <w:p w14:paraId="0EA2A620" w14:textId="77777777" w:rsidR="00F05AA4" w:rsidRPr="00AF6CC6" w:rsidRDefault="00F05AA4" w:rsidP="001343D6">
            <w:pPr>
              <w:ind w:left="-107"/>
              <w:rPr>
                <w:rFonts w:ascii="Helv" w:hAnsi="Helv"/>
                <w:sz w:val="14"/>
                <w:szCs w:val="14"/>
                <w:vertAlign w:val="superscript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 xml:space="preserve">O / E ratio </w:t>
            </w:r>
            <w:r w:rsidRPr="00AF6CC6">
              <w:rPr>
                <w:rFonts w:ascii="Helv" w:hAnsi="Helv"/>
                <w:b/>
                <w:bCs/>
                <w:sz w:val="14"/>
                <w:szCs w:val="14"/>
                <w:vertAlign w:val="superscript"/>
                <w:lang w:val="en-US"/>
              </w:rPr>
              <w:t>D</w:t>
            </w:r>
          </w:p>
          <w:p w14:paraId="10CBCB1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Tertile 1 (&lt;0.94)</w:t>
            </w:r>
          </w:p>
          <w:p w14:paraId="753A939B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Tertile 2 (0.94 – 1.01)</w:t>
            </w:r>
          </w:p>
          <w:p w14:paraId="633D9D3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Tertile 3 (&gt;1.01)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DC617C8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38B3FB4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5017B36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-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38498C05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88D785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64EFB0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1</w:t>
            </w:r>
          </w:p>
          <w:p w14:paraId="7F01D9FE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0.63</w:t>
            </w:r>
          </w:p>
          <w:p w14:paraId="0514CEE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0.76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A53121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2FE90A5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1A3D8DBC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0.38 – 1.05</w:t>
            </w:r>
          </w:p>
          <w:p w14:paraId="467323A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0.46 – 1.24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A2B02D9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6F19287A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  <w:p w14:paraId="3332D4DF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0.072</w:t>
            </w:r>
          </w:p>
          <w:p w14:paraId="401D2EED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0.242</w:t>
            </w:r>
          </w:p>
        </w:tc>
      </w:tr>
      <w:tr w:rsidR="00F05AA4" w:rsidRPr="00AF6CC6" w14:paraId="71169017" w14:textId="77777777" w:rsidTr="001343D6">
        <w:trPr>
          <w:trHeight w:val="434"/>
        </w:trPr>
        <w:tc>
          <w:tcPr>
            <w:tcW w:w="3403" w:type="dxa"/>
            <w:tcBorders>
              <w:top w:val="nil"/>
              <w:bottom w:val="nil"/>
            </w:tcBorders>
          </w:tcPr>
          <w:p w14:paraId="5D1693DE" w14:textId="77777777" w:rsidR="00F05AA4" w:rsidRPr="00AF6CC6" w:rsidRDefault="00F05AA4" w:rsidP="001343D6">
            <w:pPr>
              <w:ind w:left="-107"/>
              <w:rPr>
                <w:rFonts w:ascii="Helv" w:hAnsi="Helv"/>
                <w:b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Range of random effect of each hospital (i.e. range of</w:t>
            </w: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 xml:space="preserve"> </w:t>
            </w:r>
            <w:r w:rsidRPr="00AF6CC6">
              <w:rPr>
                <w:rFonts w:ascii="Helv" w:hAnsi="Helv"/>
                <w:b/>
                <w:bCs/>
                <w:i/>
                <w:sz w:val="14"/>
                <w:szCs w:val="14"/>
                <w:lang w:val="en-US"/>
              </w:rPr>
              <w:t xml:space="preserve">failure to cure </w:t>
            </w:r>
            <w:proofErr w:type="spellStart"/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>aOR’s</w:t>
            </w:r>
            <w:proofErr w:type="spellEnd"/>
            <w:r w:rsidRPr="00AF6CC6">
              <w:rPr>
                <w:rFonts w:ascii="Helv" w:hAnsi="Helv"/>
                <w:b/>
                <w:bCs/>
                <w:sz w:val="14"/>
                <w:szCs w:val="14"/>
                <w:lang w:val="en-US"/>
              </w:rPr>
              <w:t xml:space="preserve"> among hospitals)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63391B3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0.49 (0.28 – 0.88) – 1.74 (1.18 – 2.57)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4369690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EE1132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sz w:val="14"/>
                <w:szCs w:val="14"/>
                <w:lang w:val="en-US"/>
              </w:rPr>
              <w:t>0.58 (0.33 – 1.02) – 1.37 (0.84 – 2.22)</w:t>
            </w:r>
          </w:p>
        </w:tc>
      </w:tr>
      <w:tr w:rsidR="00F05AA4" w:rsidRPr="00AF6CC6" w14:paraId="1DDC9AF1" w14:textId="77777777" w:rsidTr="001343D6">
        <w:trPr>
          <w:trHeight w:val="372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A2B5E6" w14:textId="77777777" w:rsidR="00F05AA4" w:rsidRPr="00AF6CC6" w:rsidRDefault="00F05AA4" w:rsidP="001343D6">
            <w:pPr>
              <w:rPr>
                <w:rFonts w:ascii="Helv" w:hAnsi="Helv"/>
                <w:bCs/>
                <w:i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 xml:space="preserve">* </w:t>
            </w:r>
            <w:r w:rsidRPr="00AF6CC6">
              <w:rPr>
                <w:rFonts w:ascii="Helv" w:hAnsi="Helv"/>
                <w:bCs/>
                <w:i/>
                <w:sz w:val="14"/>
                <w:szCs w:val="14"/>
                <w:lang w:val="en-US"/>
              </w:rPr>
              <w:t>Indicating statistical significance</w:t>
            </w:r>
          </w:p>
          <w:p w14:paraId="4228EFA1" w14:textId="77777777" w:rsidR="00F05AA4" w:rsidRPr="00AF6CC6" w:rsidRDefault="00F05AA4" w:rsidP="001343D6">
            <w:pPr>
              <w:rPr>
                <w:rFonts w:ascii="Helv" w:hAnsi="Helv"/>
                <w:sz w:val="14"/>
                <w:szCs w:val="14"/>
                <w:lang w:val="en-US"/>
              </w:rPr>
            </w:pPr>
            <w:proofErr w:type="gramStart"/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A</w:t>
            </w:r>
            <w:proofErr w:type="gramEnd"/>
            <w:r w:rsidRPr="00AF6CC6">
              <w:rPr>
                <w:rFonts w:ascii="Helv" w:hAnsi="Helv"/>
                <w:sz w:val="14"/>
                <w:szCs w:val="14"/>
                <w:lang w:val="en-US"/>
              </w:rPr>
              <w:t xml:space="preserve"> </w:t>
            </w:r>
            <w:r w:rsidRPr="00AF6CC6">
              <w:rPr>
                <w:rFonts w:ascii="Helv" w:hAnsi="Helv"/>
                <w:i/>
                <w:sz w:val="14"/>
                <w:szCs w:val="14"/>
                <w:lang w:val="en-US"/>
              </w:rPr>
              <w:t xml:space="preserve">adjusted </w:t>
            </w:r>
            <w:r w:rsidRPr="00AF6CC6">
              <w:rPr>
                <w:rFonts w:ascii="Helv" w:hAnsi="Helv"/>
                <w:i/>
                <w:iCs/>
                <w:sz w:val="14"/>
                <w:szCs w:val="14"/>
                <w:lang w:val="en-US"/>
              </w:rPr>
              <w:t>Odds Ratio.</w:t>
            </w:r>
          </w:p>
          <w:p w14:paraId="377DBA5F" w14:textId="77777777" w:rsidR="00F05AA4" w:rsidRPr="00AF6CC6" w:rsidRDefault="00F05AA4" w:rsidP="001343D6">
            <w:pPr>
              <w:rPr>
                <w:rFonts w:ascii="Helv" w:hAnsi="Helv"/>
                <w:i/>
                <w:sz w:val="14"/>
                <w:lang w:val="en-US"/>
              </w:rPr>
            </w:pPr>
            <w:r w:rsidRPr="00AF6CC6">
              <w:rPr>
                <w:rFonts w:ascii="Helv" w:hAnsi="Helv"/>
                <w:bCs/>
                <w:sz w:val="14"/>
                <w:szCs w:val="14"/>
                <w:lang w:val="en-US"/>
              </w:rPr>
              <w:t>B</w:t>
            </w:r>
            <w:r w:rsidRPr="00AF6CC6">
              <w:rPr>
                <w:rFonts w:ascii="Helv" w:hAnsi="Helv"/>
                <w:sz w:val="14"/>
                <w:szCs w:val="14"/>
                <w:lang w:val="en-US"/>
              </w:rPr>
              <w:t xml:space="preserve"> </w:t>
            </w:r>
            <w:r w:rsidRPr="00AF6CC6">
              <w:rPr>
                <w:rFonts w:ascii="Helv" w:hAnsi="Helv"/>
                <w:i/>
                <w:iCs/>
                <w:sz w:val="14"/>
                <w:szCs w:val="14"/>
                <w:lang w:val="en-US"/>
              </w:rPr>
              <w:t>95% Confidence interval.</w:t>
            </w:r>
          </w:p>
          <w:p w14:paraId="6D63A1E8" w14:textId="294E77D6" w:rsidR="00F05AA4" w:rsidRPr="00AF6CC6" w:rsidRDefault="00F05AA4" w:rsidP="001343D6">
            <w:pPr>
              <w:rPr>
                <w:rFonts w:ascii="Helv" w:hAnsi="Helv"/>
                <w:iCs/>
                <w:sz w:val="14"/>
                <w:szCs w:val="14"/>
                <w:lang w:val="en-US"/>
              </w:rPr>
            </w:pPr>
            <w:r w:rsidRPr="00AF6CC6">
              <w:rPr>
                <w:rFonts w:ascii="Helv" w:hAnsi="Helv" w:cs="Arial"/>
                <w:color w:val="000000"/>
                <w:sz w:val="14"/>
                <w:szCs w:val="14"/>
                <w:lang w:val="en-US"/>
              </w:rPr>
              <w:t xml:space="preserve">C </w:t>
            </w:r>
            <w:r w:rsidRPr="00AF6CC6">
              <w:rPr>
                <w:rFonts w:ascii="Helv" w:hAnsi="Helv" w:cs="Arial"/>
                <w:i/>
                <w:iCs/>
                <w:color w:val="000000"/>
                <w:sz w:val="14"/>
                <w:szCs w:val="14"/>
                <w:lang w:val="en-US"/>
              </w:rPr>
              <w:t>Clinical tumor and/or node stage could not be assessed</w:t>
            </w:r>
          </w:p>
          <w:p w14:paraId="2247217E" w14:textId="77777777" w:rsidR="00F05AA4" w:rsidRPr="00AF6CC6" w:rsidRDefault="00F05AA4" w:rsidP="001343D6">
            <w:pPr>
              <w:rPr>
                <w:rFonts w:ascii="Helv" w:hAnsi="Helv"/>
                <w:i/>
                <w:iCs/>
                <w:sz w:val="14"/>
                <w:szCs w:val="14"/>
                <w:lang w:val="en-US"/>
              </w:rPr>
            </w:pPr>
            <w:r w:rsidRPr="00AF6CC6">
              <w:rPr>
                <w:rFonts w:ascii="Helv" w:hAnsi="Helv"/>
                <w:iCs/>
                <w:sz w:val="14"/>
                <w:szCs w:val="14"/>
                <w:lang w:val="en-US"/>
              </w:rPr>
              <w:t xml:space="preserve">D </w:t>
            </w:r>
            <w:r w:rsidRPr="00AF6CC6">
              <w:rPr>
                <w:rFonts w:ascii="Helv" w:hAnsi="Helv"/>
                <w:i/>
                <w:iCs/>
                <w:sz w:val="14"/>
                <w:szCs w:val="14"/>
                <w:lang w:val="en-US"/>
              </w:rPr>
              <w:t xml:space="preserve">O / E ratio of a hospital’s tendency to treat patients surgically. Tertile 1 hospitals treat relatively few potentially curable patients with surgery, Tertile 2 hospitals are average and Tertile 3 hospitals treat relatively many patients surgically. </w:t>
            </w:r>
          </w:p>
        </w:tc>
      </w:tr>
    </w:tbl>
    <w:p w14:paraId="30B4404B" w14:textId="77777777" w:rsidR="005152C8" w:rsidRPr="00AF6CC6" w:rsidRDefault="005152C8">
      <w:pPr>
        <w:rPr>
          <w:lang w:val="en-US"/>
        </w:rPr>
      </w:pPr>
    </w:p>
    <w:sectPr w:rsidR="005152C8" w:rsidRPr="00AF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C8"/>
    <w:rsid w:val="0031290A"/>
    <w:rsid w:val="005152C8"/>
    <w:rsid w:val="006E2E75"/>
    <w:rsid w:val="009431F4"/>
    <w:rsid w:val="00AF6CC6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AF78"/>
  <w15:chartTrackingRefBased/>
  <w15:docId w15:val="{FBFA11D4-EC44-4271-B318-0EED66F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2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F05A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Voeten</dc:creator>
  <cp:keywords/>
  <dc:description/>
  <cp:lastModifiedBy>Daan Voeten</cp:lastModifiedBy>
  <cp:revision>4</cp:revision>
  <dcterms:created xsi:type="dcterms:W3CDTF">2021-10-27T08:41:00Z</dcterms:created>
  <dcterms:modified xsi:type="dcterms:W3CDTF">2021-12-08T10:47:00Z</dcterms:modified>
</cp:coreProperties>
</file>