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75" w:rsidRPr="00AB6D75" w:rsidRDefault="00AB6D75" w:rsidP="00AB6D75">
      <w:pPr>
        <w:pStyle w:val="2"/>
        <w:spacing w:after="120" w:line="360" w:lineRule="auto"/>
        <w:rPr>
          <w:rFonts w:ascii="Cambria" w:hAnsi="Cambria"/>
        </w:rPr>
      </w:pPr>
      <w:r w:rsidRPr="00AB6D75">
        <w:rPr>
          <w:rFonts w:ascii="Cambria" w:hAnsi="Cambria"/>
        </w:rPr>
        <w:t>Supplementary methods</w:t>
      </w:r>
    </w:p>
    <w:p w:rsidR="00AD0550" w:rsidRPr="00AB6D75" w:rsidRDefault="00AD0550" w:rsidP="00AD0550">
      <w:pPr>
        <w:pStyle w:val="3"/>
        <w:spacing w:before="0" w:after="120" w:line="360" w:lineRule="auto"/>
        <w:jc w:val="left"/>
        <w:rPr>
          <w:rFonts w:ascii="Cambria" w:hAnsi="Cambria" w:cs="Calibri"/>
          <w:color w:val="000000" w:themeColor="text1"/>
          <w:sz w:val="22"/>
          <w:szCs w:val="22"/>
        </w:rPr>
      </w:pPr>
      <w:r w:rsidRPr="00AB6D75">
        <w:rPr>
          <w:rFonts w:ascii="Cambria" w:eastAsia="宋体" w:hAnsi="Cambria" w:cs="Calibri"/>
          <w:color w:val="000000" w:themeColor="text1"/>
          <w:kern w:val="0"/>
          <w:sz w:val="22"/>
          <w:szCs w:val="22"/>
          <w:shd w:val="clear" w:color="auto" w:fill="FFFFFF"/>
        </w:rPr>
        <w:t>propensity score matching (PSM) analysis</w:t>
      </w:r>
      <w:r w:rsidRPr="00AB6D75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</w:p>
    <w:p w:rsidR="009A00ED" w:rsidRPr="00AB6D75" w:rsidRDefault="00AD0550" w:rsidP="00AB6D7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</w:pPr>
      <w:r w:rsidRPr="00AB6D75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 xml:space="preserve">According to multivariate logistic regression analysis, </w:t>
      </w:r>
      <w:r w:rsidR="00CA3BAD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>the results shown that</w:t>
      </w:r>
      <w:r w:rsidRPr="00AB6D75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 xml:space="preserve"> heart rate variability (HRV) parameters of SDNN and PNN50 were independently associated with LV enlargement in patients with frequent PVCs at baseline. Therefore, a 1:1 propensity score matching (PSM) analysis was conducted to control the impact of other risk factors of LV remodeling in patients with frequent PVCs. The PSM-SDNN model and PSM-PNN50 model of propensity matching were based on HRV indices of SDNN and PNN50, respectively. The cut-off values of SDNN or PNN50 were defined as the value of parameters larger than one standard deviation above the mean in normal Chinese adults [1]. The propensity scores of the PSM-SDNN model and PSM-PNN50 model were calculated using the following </w:t>
      </w:r>
      <w:r w:rsidR="00CA3BAD" w:rsidRPr="00CA3BAD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 xml:space="preserve">potential confounding </w:t>
      </w:r>
      <w:r w:rsidRPr="00AB6D75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>variables, including sex, age, BMI, symptom duration, NT-</w:t>
      </w:r>
      <w:proofErr w:type="spellStart"/>
      <w:r w:rsidRPr="00AB6D75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>proBNP</w:t>
      </w:r>
      <w:proofErr w:type="spellEnd"/>
      <w:r w:rsidRPr="00AB6D75">
        <w:rPr>
          <w:rFonts w:ascii="Calibri" w:eastAsia="宋体" w:hAnsi="Calibri" w:cs="Calibri"/>
          <w:color w:val="000000" w:themeColor="text1"/>
          <w:kern w:val="0"/>
          <w:sz w:val="22"/>
          <w:shd w:val="clear" w:color="auto" w:fill="FFFFFF"/>
        </w:rPr>
        <w:t xml:space="preserve">, LVEDD, LVEF, mean 24- hour HR, 24-hour PVCs burden, NSVT, PVC site of origin, multifocal PVCs, QRS duration and minimum coupling interval. </w:t>
      </w:r>
    </w:p>
    <w:p w:rsidR="00AB6D75" w:rsidRPr="00AB6D75" w:rsidRDefault="00AB6D75" w:rsidP="00AB6D75">
      <w:pPr>
        <w:pStyle w:val="2"/>
        <w:spacing w:after="120" w:line="360" w:lineRule="auto"/>
        <w:rPr>
          <w:rFonts w:ascii="Cambria" w:hAnsi="Cambria"/>
        </w:rPr>
      </w:pPr>
      <w:r w:rsidRPr="00AB6D75">
        <w:rPr>
          <w:rFonts w:ascii="Cambria" w:hAnsi="Cambria"/>
        </w:rPr>
        <w:t>Supplementary Tables</w:t>
      </w:r>
    </w:p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rPr>
          <w:rFonts w:ascii="Calibri" w:eastAsia="宋体" w:hAnsi="Calibri" w:cs="Calibri"/>
          <w:b/>
          <w:color w:val="000000"/>
          <w:kern w:val="0"/>
          <w:sz w:val="24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Table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1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. The propensity score</w:t>
      </w:r>
      <w:r w:rsidRPr="00816242">
        <w:rPr>
          <w:rFonts w:ascii="Calibri" w:eastAsia="宋体" w:hAnsi="Calibri" w:cs="Calibri"/>
          <w:b/>
          <w:color w:val="000000"/>
          <w:kern w:val="0"/>
          <w:sz w:val="24"/>
          <w:szCs w:val="24"/>
          <w:shd w:val="clear" w:color="auto" w:fill="FFFFFF"/>
        </w:rPr>
        <w:t xml:space="preserve"> of patients with frequent PVC in </w:t>
      </w:r>
      <w:r>
        <w:rPr>
          <w:rFonts w:ascii="Calibri" w:eastAsia="宋体" w:hAnsi="Calibri" w:cs="Calibri"/>
          <w:b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Pr="00816242">
        <w:rPr>
          <w:rFonts w:ascii="Calibri" w:eastAsia="宋体" w:hAnsi="Calibri" w:cs="Calibri"/>
          <w:b/>
          <w:color w:val="000000"/>
          <w:kern w:val="0"/>
          <w:sz w:val="24"/>
          <w:szCs w:val="24"/>
          <w:shd w:val="clear" w:color="auto" w:fill="FFFFFF"/>
        </w:rPr>
        <w:t>PSM-SDNN model</w:t>
      </w:r>
    </w:p>
    <w:tbl>
      <w:tblPr>
        <w:tblW w:w="4978" w:type="pct"/>
        <w:tblInd w:w="-20" w:type="dxa"/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1125"/>
      </w:tblGrid>
      <w:tr w:rsidR="00447567" w:rsidRPr="00816242" w:rsidTr="00500B6F">
        <w:trPr>
          <w:trHeight w:hRule="exact" w:val="567"/>
        </w:trPr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宋体" w:hAnsi="Calibri" w:cs="Calibri"/>
                <w:color w:val="000000"/>
                <w:kern w:val="0"/>
                <w:szCs w:val="24"/>
                <w:shd w:val="clear" w:color="auto" w:fill="FFFFFF"/>
              </w:rPr>
            </w:pPr>
          </w:p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bookmarkStart w:id="0" w:name="_Hlk90039518"/>
            <w:r w:rsidRPr="00816242">
              <w:rPr>
                <w:rFonts w:ascii="Calibri" w:eastAsia="等线" w:hAnsi="Calibri" w:cs="Calibri"/>
                <w:color w:val="000000"/>
                <w:szCs w:val="21"/>
              </w:rPr>
              <w:t>SDNN &gt; 193ms</w:t>
            </w:r>
            <w:bookmarkEnd w:id="0"/>
          </w:p>
        </w:tc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bookmarkStart w:id="1" w:name="_Hlk90039527"/>
            <w:r w:rsidRPr="00816242">
              <w:rPr>
                <w:rFonts w:ascii="Calibri" w:eastAsia="等线" w:hAnsi="Calibri" w:cs="Calibri"/>
                <w:color w:val="000000"/>
                <w:szCs w:val="21"/>
              </w:rPr>
              <w:t>SDNN ≤ 193ms</w:t>
            </w:r>
            <w:bookmarkEnd w:id="1"/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16242">
              <w:rPr>
                <w:rFonts w:ascii="Calibri" w:eastAsia="等线" w:hAnsi="Calibri" w:cs="Calibri"/>
                <w:i/>
                <w:iCs/>
                <w:color w:val="000000"/>
                <w:szCs w:val="21"/>
              </w:rPr>
              <w:t xml:space="preserve">p </w:t>
            </w:r>
            <w:r w:rsidRPr="00816242">
              <w:rPr>
                <w:rFonts w:ascii="Calibri" w:eastAsia="等线" w:hAnsi="Calibri" w:cs="Calibri"/>
                <w:color w:val="000000"/>
                <w:szCs w:val="21"/>
              </w:rPr>
              <w:t>values</w:t>
            </w:r>
          </w:p>
        </w:tc>
      </w:tr>
      <w:tr w:rsidR="00447567" w:rsidRPr="00816242" w:rsidTr="00500B6F">
        <w:trPr>
          <w:trHeight w:hRule="exact" w:val="397"/>
        </w:trPr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16242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Subjects 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134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134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hRule="exact" w:val="397"/>
        </w:trPr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Propensity Score</w:t>
            </w:r>
          </w:p>
        </w:tc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0.4 ± 0.1</w:t>
            </w:r>
          </w:p>
        </w:tc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0.4 ± 0.1</w:t>
            </w:r>
          </w:p>
        </w:tc>
        <w:tc>
          <w:tcPr>
            <w:tcW w:w="6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0.945</w:t>
            </w:r>
          </w:p>
        </w:tc>
      </w:tr>
    </w:tbl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Data are expressed as mean </w:t>
      </w:r>
      <w:r w:rsidRPr="00816242">
        <w:rPr>
          <w:rFonts w:ascii="Calibri" w:eastAsia="宋体" w:hAnsi="Calibri" w:cs="Calibri"/>
          <w:color w:val="000000" w:themeColor="text1"/>
          <w:kern w:val="0"/>
          <w:szCs w:val="21"/>
        </w:rPr>
        <w:t xml:space="preserve">±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SD. </w:t>
      </w:r>
      <w:r w:rsidRPr="00816242">
        <w:rPr>
          <w:rFonts w:ascii="Calibri" w:eastAsia="宋体" w:hAnsi="Calibri" w:cs="Calibri"/>
          <w:i/>
          <w:color w:val="000000" w:themeColor="text1"/>
          <w:kern w:val="0"/>
          <w:szCs w:val="24"/>
          <w:shd w:val="clear" w:color="auto" w:fill="FFFFFF"/>
        </w:rPr>
        <w:t>p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values comparing the patients with SDNN &gt; 193ms and patients with SDNN ≤ 193ms</w:t>
      </w:r>
      <w:r w:rsidRPr="00816242">
        <w:rPr>
          <w:rFonts w:ascii="Calibri" w:eastAsia="宋体" w:hAnsi="Calibri" w:cs="Calibri"/>
          <w:kern w:val="0"/>
          <w:szCs w:val="24"/>
        </w:rPr>
        <w:t xml:space="preserve">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after propensity score matching are evaluated by Student’s</w:t>
      </w:r>
      <w:r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t-test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.</w:t>
      </w:r>
    </w:p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Table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2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The propensity score of patients with frequent PVC in 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PSM-PNN50 model</w:t>
      </w:r>
    </w:p>
    <w:tbl>
      <w:tblPr>
        <w:tblW w:w="4978" w:type="pct"/>
        <w:tblInd w:w="-20" w:type="dxa"/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1125"/>
      </w:tblGrid>
      <w:tr w:rsidR="00447567" w:rsidRPr="00816242" w:rsidTr="00500B6F">
        <w:trPr>
          <w:trHeight w:hRule="exact" w:val="567"/>
        </w:trPr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宋体" w:hAnsi="Calibri" w:cs="Calibri"/>
                <w:color w:val="000000" w:themeColor="text1"/>
                <w:kern w:val="0"/>
                <w:szCs w:val="24"/>
                <w:shd w:val="clear" w:color="auto" w:fill="FFFFFF"/>
              </w:rPr>
            </w:pPr>
          </w:p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bookmarkStart w:id="2" w:name="_Hlk90039552"/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PNN50 &gt; 28.3%</w:t>
            </w:r>
            <w:bookmarkEnd w:id="2"/>
          </w:p>
        </w:tc>
        <w:tc>
          <w:tcPr>
            <w:tcW w:w="1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3B5589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bookmarkStart w:id="3" w:name="_Hlk90039561"/>
            <w:r>
              <w:rPr>
                <w:rFonts w:ascii="Calibri" w:eastAsia="等线" w:hAnsi="Calibri" w:cs="Calibri"/>
                <w:color w:val="000000" w:themeColor="text1"/>
                <w:szCs w:val="21"/>
              </w:rPr>
              <w:t>P</w:t>
            </w:r>
            <w:r w:rsidR="00447567"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NN50 ≤ 28.3%</w:t>
            </w:r>
            <w:bookmarkEnd w:id="3"/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i/>
                <w:iCs/>
                <w:color w:val="000000" w:themeColor="text1"/>
                <w:szCs w:val="21"/>
              </w:rPr>
              <w:t xml:space="preserve">p </w:t>
            </w: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values</w:t>
            </w:r>
          </w:p>
        </w:tc>
      </w:tr>
      <w:tr w:rsidR="00447567" w:rsidRPr="00816242" w:rsidTr="00500B6F">
        <w:trPr>
          <w:trHeight w:hRule="exact" w:val="397"/>
        </w:trPr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16242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Subjects 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175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447567" w:rsidRPr="00816242" w:rsidRDefault="00447567" w:rsidP="00500B6F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175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hRule="exact" w:val="397"/>
        </w:trPr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Propensity Score</w:t>
            </w:r>
          </w:p>
        </w:tc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0.5 ± 0.1</w:t>
            </w:r>
          </w:p>
        </w:tc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0.5 ± 0.1</w:t>
            </w:r>
          </w:p>
        </w:tc>
        <w:tc>
          <w:tcPr>
            <w:tcW w:w="6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0.973</w:t>
            </w:r>
          </w:p>
        </w:tc>
      </w:tr>
    </w:tbl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lastRenderedPageBreak/>
        <w:t xml:space="preserve">Data are expressed as mean </w:t>
      </w:r>
      <w:r w:rsidRPr="00816242">
        <w:rPr>
          <w:rFonts w:ascii="Calibri" w:eastAsia="宋体" w:hAnsi="Calibri" w:cs="Calibri"/>
          <w:color w:val="000000" w:themeColor="text1"/>
          <w:kern w:val="0"/>
          <w:szCs w:val="21"/>
        </w:rPr>
        <w:t xml:space="preserve">±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SD. </w:t>
      </w:r>
      <w:r w:rsidRPr="00816242">
        <w:rPr>
          <w:rFonts w:ascii="Calibri" w:eastAsia="宋体" w:hAnsi="Calibri" w:cs="Calibri"/>
          <w:i/>
          <w:color w:val="000000" w:themeColor="text1"/>
          <w:kern w:val="0"/>
          <w:szCs w:val="24"/>
          <w:shd w:val="clear" w:color="auto" w:fill="FFFFFF"/>
        </w:rPr>
        <w:t>p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values comparing the patients with PNN50 &gt; 28.3% and patients with </w:t>
      </w:r>
      <w:r w:rsidR="003B5589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P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NN50 ≤ 28.3% after propensity score matching are evaluated by </w:t>
      </w:r>
      <w:r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the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Student’s</w:t>
      </w:r>
      <w:r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t-test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.</w:t>
      </w:r>
    </w:p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Table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3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The relationship between HRV and the LV remodeling after propensity score matching in 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PSM-SDNN model</w:t>
      </w:r>
    </w:p>
    <w:tbl>
      <w:tblPr>
        <w:tblW w:w="4986" w:type="pct"/>
        <w:tblInd w:w="-20" w:type="dxa"/>
        <w:tblLook w:val="04A0" w:firstRow="1" w:lastRow="0" w:firstColumn="1" w:lastColumn="0" w:noHBand="0" w:noVBand="1"/>
      </w:tblPr>
      <w:tblGrid>
        <w:gridCol w:w="2386"/>
        <w:gridCol w:w="2382"/>
        <w:gridCol w:w="2382"/>
        <w:gridCol w:w="1133"/>
      </w:tblGrid>
      <w:tr w:rsidR="00447567" w:rsidRPr="00816242" w:rsidTr="00500B6F">
        <w:trPr>
          <w:trHeight w:val="454"/>
        </w:trPr>
        <w:tc>
          <w:tcPr>
            <w:tcW w:w="14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宋体" w:hAnsi="Calibri" w:cs="Calibri"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7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 w:firstLineChars="400" w:firstLine="840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Propensity score matched cohort</w:t>
            </w:r>
          </w:p>
        </w:tc>
        <w:tc>
          <w:tcPr>
            <w:tcW w:w="6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333FE7">
              <w:rPr>
                <w:rFonts w:ascii="Calibri" w:eastAsia="等线" w:hAnsi="Calibri" w:cs="Calibri"/>
                <w:i/>
                <w:color w:val="000000" w:themeColor="text1"/>
                <w:szCs w:val="21"/>
              </w:rPr>
              <w:t>p</w:t>
            </w: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 values</w:t>
            </w:r>
          </w:p>
        </w:tc>
      </w:tr>
      <w:tr w:rsidR="00447567" w:rsidRPr="00816242" w:rsidTr="00500B6F">
        <w:trPr>
          <w:trHeight w:val="454"/>
        </w:trPr>
        <w:tc>
          <w:tcPr>
            <w:tcW w:w="144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LV enlargement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LV normal</w:t>
            </w:r>
          </w:p>
        </w:tc>
        <w:tc>
          <w:tcPr>
            <w:tcW w:w="68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val="340"/>
        </w:trPr>
        <w:tc>
          <w:tcPr>
            <w:tcW w:w="1440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Subjects </w:t>
            </w:r>
          </w:p>
        </w:tc>
        <w:tc>
          <w:tcPr>
            <w:tcW w:w="1438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71</w:t>
            </w:r>
          </w:p>
        </w:tc>
        <w:tc>
          <w:tcPr>
            <w:tcW w:w="1438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197</w:t>
            </w:r>
          </w:p>
        </w:tc>
        <w:tc>
          <w:tcPr>
            <w:tcW w:w="684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val="340"/>
        </w:trPr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SDNN, (</w:t>
            </w:r>
            <w:proofErr w:type="spellStart"/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ms</w:t>
            </w:r>
            <w:proofErr w:type="spellEnd"/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188.3 </w:t>
            </w: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>± 77.6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181.9</w:t>
            </w: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 xml:space="preserve"> ± 63.1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auto"/>
          </w:tcPr>
          <w:p w:rsidR="00447567" w:rsidRPr="009E6B21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9E6B21">
              <w:rPr>
                <w:rFonts w:ascii="Calibri" w:eastAsia="等线" w:hAnsi="Calibri" w:cs="Calibri"/>
                <w:color w:val="000000" w:themeColor="text1"/>
                <w:szCs w:val="21"/>
              </w:rPr>
              <w:t>0.029</w:t>
            </w:r>
          </w:p>
        </w:tc>
      </w:tr>
    </w:tbl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Data are expressed as mean </w:t>
      </w:r>
      <w:r w:rsidRPr="00816242">
        <w:rPr>
          <w:rFonts w:ascii="Calibri" w:eastAsia="宋体" w:hAnsi="Calibri" w:cs="Calibri"/>
          <w:color w:val="000000" w:themeColor="text1"/>
          <w:kern w:val="0"/>
          <w:szCs w:val="21"/>
        </w:rPr>
        <w:t xml:space="preserve">±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SD. </w:t>
      </w:r>
      <w:r w:rsidRPr="00816242">
        <w:rPr>
          <w:rFonts w:ascii="Calibri" w:eastAsia="宋体" w:hAnsi="Calibri" w:cs="Calibri"/>
          <w:i/>
          <w:color w:val="000000" w:themeColor="text1"/>
          <w:kern w:val="0"/>
          <w:szCs w:val="24"/>
          <w:shd w:val="clear" w:color="auto" w:fill="FFFFFF"/>
        </w:rPr>
        <w:t>p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values comparing the patients with left ventricular (LV) enlargement and patients with normal LV structure</w:t>
      </w:r>
      <w:r w:rsidRPr="00816242">
        <w:rPr>
          <w:rFonts w:ascii="Calibri" w:eastAsia="宋体" w:hAnsi="Calibri" w:cs="Calibri"/>
          <w:kern w:val="0"/>
          <w:szCs w:val="24"/>
        </w:rPr>
        <w:t xml:space="preserve">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after propensity score matching are evaluated by Student’s</w:t>
      </w:r>
      <w:r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t-test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.</w:t>
      </w:r>
    </w:p>
    <w:p w:rsidR="00447567" w:rsidRPr="00816242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Table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4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. The relationship between HRV and the LV remodeling after propensity score</w:t>
      </w:r>
      <w:bookmarkStart w:id="4" w:name="_GoBack"/>
      <w:bookmarkEnd w:id="4"/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 matching in </w:t>
      </w:r>
      <w:r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Pr="00816242">
        <w:rPr>
          <w:rFonts w:ascii="Calibri" w:eastAsia="宋体" w:hAnsi="Calibri" w:cs="Calibri"/>
          <w:b/>
          <w:color w:val="000000" w:themeColor="text1"/>
          <w:kern w:val="0"/>
          <w:sz w:val="24"/>
          <w:szCs w:val="24"/>
          <w:shd w:val="clear" w:color="auto" w:fill="FFFFFF"/>
        </w:rPr>
        <w:t>PSM-PNN50 model</w:t>
      </w:r>
    </w:p>
    <w:tbl>
      <w:tblPr>
        <w:tblW w:w="4986" w:type="pct"/>
        <w:tblInd w:w="-20" w:type="dxa"/>
        <w:tblLook w:val="04A0" w:firstRow="1" w:lastRow="0" w:firstColumn="1" w:lastColumn="0" w:noHBand="0" w:noVBand="1"/>
      </w:tblPr>
      <w:tblGrid>
        <w:gridCol w:w="2386"/>
        <w:gridCol w:w="2382"/>
        <w:gridCol w:w="2382"/>
        <w:gridCol w:w="1133"/>
      </w:tblGrid>
      <w:tr w:rsidR="00447567" w:rsidRPr="00816242" w:rsidTr="00500B6F">
        <w:trPr>
          <w:trHeight w:val="454"/>
        </w:trPr>
        <w:tc>
          <w:tcPr>
            <w:tcW w:w="14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alibri" w:eastAsia="宋体" w:hAnsi="Calibri" w:cs="Calibri"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87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 w:firstLineChars="400" w:firstLine="840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Propensity score matched cohort</w:t>
            </w:r>
          </w:p>
        </w:tc>
        <w:tc>
          <w:tcPr>
            <w:tcW w:w="6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333FE7">
              <w:rPr>
                <w:rFonts w:ascii="Calibri" w:eastAsia="等线" w:hAnsi="Calibri" w:cs="Calibri"/>
                <w:i/>
                <w:color w:val="000000" w:themeColor="text1"/>
                <w:szCs w:val="21"/>
              </w:rPr>
              <w:t>p</w:t>
            </w: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 values</w:t>
            </w:r>
          </w:p>
        </w:tc>
      </w:tr>
      <w:tr w:rsidR="00447567" w:rsidRPr="00816242" w:rsidTr="00500B6F">
        <w:trPr>
          <w:trHeight w:val="454"/>
        </w:trPr>
        <w:tc>
          <w:tcPr>
            <w:tcW w:w="1440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LV enlargement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LV normal</w:t>
            </w:r>
          </w:p>
        </w:tc>
        <w:tc>
          <w:tcPr>
            <w:tcW w:w="68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val="340"/>
        </w:trPr>
        <w:tc>
          <w:tcPr>
            <w:tcW w:w="1440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Subjects </w:t>
            </w:r>
          </w:p>
        </w:tc>
        <w:tc>
          <w:tcPr>
            <w:tcW w:w="1438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89</w:t>
            </w:r>
          </w:p>
        </w:tc>
        <w:tc>
          <w:tcPr>
            <w:tcW w:w="1438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261</w:t>
            </w:r>
          </w:p>
        </w:tc>
        <w:tc>
          <w:tcPr>
            <w:tcW w:w="684" w:type="pct"/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</w:p>
        </w:tc>
      </w:tr>
      <w:tr w:rsidR="00447567" w:rsidRPr="00816242" w:rsidTr="00500B6F">
        <w:trPr>
          <w:trHeight w:val="340"/>
        </w:trPr>
        <w:tc>
          <w:tcPr>
            <w:tcW w:w="1440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PNN50, (%)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33.4</w:t>
            </w: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 xml:space="preserve"> ±28.2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32.2</w:t>
            </w:r>
            <w:r w:rsidRPr="00816242">
              <w:rPr>
                <w:rFonts w:ascii="Calibri" w:hAnsi="Calibri" w:cs="Calibri"/>
                <w:color w:val="000000" w:themeColor="text1"/>
                <w:szCs w:val="21"/>
              </w:rPr>
              <w:t xml:space="preserve"> ± 26.5</w:t>
            </w:r>
          </w:p>
        </w:tc>
        <w:tc>
          <w:tcPr>
            <w:tcW w:w="684" w:type="pct"/>
            <w:tcBorders>
              <w:bottom w:val="single" w:sz="12" w:space="0" w:color="auto"/>
            </w:tcBorders>
            <w:shd w:val="clear" w:color="auto" w:fill="auto"/>
          </w:tcPr>
          <w:p w:rsidR="00447567" w:rsidRPr="00816242" w:rsidRDefault="00447567" w:rsidP="00500B6F">
            <w:pPr>
              <w:ind w:rightChars="-250" w:right="-525"/>
              <w:jc w:val="left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16242">
              <w:rPr>
                <w:rFonts w:ascii="Calibri" w:eastAsia="等线" w:hAnsi="Calibri" w:cs="Calibri"/>
                <w:color w:val="000000" w:themeColor="text1"/>
                <w:szCs w:val="21"/>
              </w:rPr>
              <w:t>0.477</w:t>
            </w:r>
          </w:p>
        </w:tc>
      </w:tr>
    </w:tbl>
    <w:p w:rsidR="00447567" w:rsidRPr="00447567" w:rsidRDefault="00447567" w:rsidP="004475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</w:pP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Data are expressed as mean </w:t>
      </w:r>
      <w:r w:rsidRPr="00816242">
        <w:rPr>
          <w:rFonts w:ascii="Calibri" w:eastAsia="宋体" w:hAnsi="Calibri" w:cs="Calibri"/>
          <w:color w:val="000000" w:themeColor="text1"/>
          <w:kern w:val="0"/>
          <w:szCs w:val="21"/>
        </w:rPr>
        <w:t xml:space="preserve">±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SD. </w:t>
      </w:r>
      <w:r w:rsidRPr="00816242">
        <w:rPr>
          <w:rFonts w:ascii="Calibri" w:eastAsia="宋体" w:hAnsi="Calibri" w:cs="Calibri"/>
          <w:i/>
          <w:color w:val="000000" w:themeColor="text1"/>
          <w:kern w:val="0"/>
          <w:szCs w:val="24"/>
          <w:shd w:val="clear" w:color="auto" w:fill="FFFFFF"/>
        </w:rPr>
        <w:t>p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values comparing the patients with left ventricular (LV) enlargement and patients with normal LV structure</w:t>
      </w:r>
      <w:r w:rsidRPr="00816242">
        <w:rPr>
          <w:rFonts w:ascii="Calibri" w:eastAsia="宋体" w:hAnsi="Calibri" w:cs="Calibri"/>
          <w:kern w:val="0"/>
          <w:szCs w:val="24"/>
        </w:rPr>
        <w:t xml:space="preserve"> 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after propensity score matching are evaluated by Student’s</w:t>
      </w:r>
      <w:r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 xml:space="preserve"> t-test</w:t>
      </w:r>
      <w:r w:rsidRPr="00816242">
        <w:rPr>
          <w:rFonts w:ascii="Calibri" w:eastAsia="宋体" w:hAnsi="Calibri" w:cs="Calibri"/>
          <w:color w:val="000000" w:themeColor="text1"/>
          <w:kern w:val="0"/>
          <w:szCs w:val="24"/>
          <w:shd w:val="clear" w:color="auto" w:fill="FFFFFF"/>
        </w:rPr>
        <w:t>.</w:t>
      </w:r>
    </w:p>
    <w:p w:rsidR="00816242" w:rsidRDefault="00816242" w:rsidP="00447567">
      <w:pPr>
        <w:spacing w:beforeLines="100" w:before="312" w:line="360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Table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447567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5</w:t>
      </w:r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Pr="00880801">
        <w:rPr>
          <w:rFonts w:ascii="Calibri" w:hAnsi="Calibri" w:cs="Calibri"/>
          <w:b/>
          <w:sz w:val="24"/>
        </w:rPr>
        <w:t xml:space="preserve">The </w:t>
      </w:r>
      <w:bookmarkStart w:id="5" w:name="_Hlk90478148"/>
      <w:r w:rsidRPr="00880801">
        <w:rPr>
          <w:rFonts w:ascii="Calibri" w:hAnsi="Calibri" w:cs="Calibri"/>
          <w:b/>
          <w:sz w:val="24"/>
        </w:rPr>
        <w:t>recurrence</w:t>
      </w:r>
      <w:bookmarkEnd w:id="5"/>
      <w:r w:rsidRPr="00880801">
        <w:rPr>
          <w:rFonts w:ascii="Calibri" w:hAnsi="Calibri" w:cs="Calibri"/>
          <w:b/>
          <w:sz w:val="24"/>
        </w:rPr>
        <w:t xml:space="preserve"> rate</w:t>
      </w:r>
      <w:r w:rsidRPr="00C76CBB">
        <w:rPr>
          <w:rFonts w:ascii="Calibri" w:hAnsi="Calibri" w:cs="Calibri"/>
          <w:b/>
          <w:sz w:val="24"/>
        </w:rPr>
        <w:t xml:space="preserve"> of patients with frequent PVCs</w:t>
      </w:r>
      <w:r>
        <w:rPr>
          <w:rFonts w:ascii="Calibri" w:hAnsi="Calibri" w:cs="Calibri"/>
          <w:b/>
          <w:sz w:val="24"/>
        </w:rPr>
        <w:t xml:space="preserve"> after ablation</w:t>
      </w:r>
    </w:p>
    <w:tbl>
      <w:tblPr>
        <w:tblW w:w="5017" w:type="pct"/>
        <w:tblInd w:w="-20" w:type="dxa"/>
        <w:tblLook w:val="04A0" w:firstRow="1" w:lastRow="0" w:firstColumn="1" w:lastColumn="0" w:noHBand="0" w:noVBand="1"/>
      </w:tblPr>
      <w:tblGrid>
        <w:gridCol w:w="2211"/>
        <w:gridCol w:w="2553"/>
        <w:gridCol w:w="2550"/>
        <w:gridCol w:w="1020"/>
      </w:tblGrid>
      <w:tr w:rsidR="00816242" w:rsidRPr="0007507E" w:rsidTr="007537B6">
        <w:trPr>
          <w:trHeight w:val="794"/>
        </w:trPr>
        <w:tc>
          <w:tcPr>
            <w:tcW w:w="13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531" w:type="pct"/>
            <w:tcBorders>
              <w:top w:val="single" w:sz="12" w:space="0" w:color="auto"/>
            </w:tcBorders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07507E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Before ablation</w:t>
            </w:r>
          </w:p>
          <w:p w:rsidR="00816242" w:rsidRPr="0007507E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07507E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(n = </w:t>
            </w:r>
            <w:r>
              <w:rPr>
                <w:rFonts w:ascii="Calibri" w:eastAsia="等线" w:hAnsi="Calibri" w:cs="Calibri"/>
                <w:color w:val="000000" w:themeColor="text1"/>
                <w:szCs w:val="21"/>
              </w:rPr>
              <w:t>411</w:t>
            </w:r>
            <w:r w:rsidRPr="0007507E">
              <w:rPr>
                <w:rFonts w:ascii="Calibri" w:eastAsia="等线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07507E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After ablation </w:t>
            </w:r>
          </w:p>
          <w:p w:rsidR="00816242" w:rsidRPr="0007507E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07507E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(n = </w:t>
            </w:r>
            <w:r>
              <w:rPr>
                <w:rFonts w:ascii="Calibri" w:eastAsia="等线" w:hAnsi="Calibri" w:cs="Calibri"/>
                <w:color w:val="000000" w:themeColor="text1"/>
                <w:szCs w:val="21"/>
              </w:rPr>
              <w:t>411</w:t>
            </w:r>
            <w:r w:rsidRPr="0007507E">
              <w:rPr>
                <w:rFonts w:ascii="Calibri" w:eastAsia="等线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07507E">
              <w:rPr>
                <w:rFonts w:ascii="Calibri" w:eastAsia="等线" w:hAnsi="Calibri" w:cs="Calibri"/>
                <w:i/>
                <w:iCs/>
                <w:color w:val="000000"/>
                <w:szCs w:val="21"/>
              </w:rPr>
              <w:t xml:space="preserve">p </w:t>
            </w:r>
            <w:r w:rsidRPr="0007507E">
              <w:rPr>
                <w:rFonts w:ascii="Calibri" w:eastAsia="等线" w:hAnsi="Calibri" w:cs="Calibri"/>
                <w:color w:val="000000"/>
                <w:szCs w:val="21"/>
              </w:rPr>
              <w:t>values</w:t>
            </w:r>
          </w:p>
        </w:tc>
      </w:tr>
      <w:tr w:rsidR="00816242" w:rsidRPr="0007507E" w:rsidTr="007537B6">
        <w:trPr>
          <w:trHeight w:hRule="exact" w:val="454"/>
        </w:trPr>
        <w:tc>
          <w:tcPr>
            <w:tcW w:w="1326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16242" w:rsidRPr="0007507E" w:rsidRDefault="00816242" w:rsidP="007537B6">
            <w:pPr>
              <w:rPr>
                <w:rFonts w:ascii="Calibri" w:eastAsia="等线" w:hAnsi="Calibri" w:cs="Calibri"/>
                <w:color w:val="000000"/>
                <w:szCs w:val="21"/>
              </w:rPr>
            </w:pPr>
            <w:r w:rsidRPr="00170A38">
              <w:rPr>
                <w:rFonts w:ascii="Calibri" w:eastAsia="等线" w:hAnsi="Calibri" w:cs="Calibri"/>
                <w:color w:val="000000" w:themeColor="text1"/>
                <w:szCs w:val="21"/>
              </w:rPr>
              <w:t xml:space="preserve">24-h PVCs </w:t>
            </w:r>
            <w:r>
              <w:rPr>
                <w:rFonts w:ascii="Calibri" w:eastAsia="等线" w:hAnsi="Calibri" w:cs="Calibri"/>
                <w:color w:val="000000" w:themeColor="text1"/>
                <w:szCs w:val="21"/>
              </w:rPr>
              <w:t>number</w:t>
            </w:r>
            <w:r w:rsidRPr="00170A38">
              <w:rPr>
                <w:rFonts w:ascii="Calibri" w:eastAsia="等线" w:hAnsi="Calibri" w:cs="Calibri"/>
                <w:color w:val="000000" w:themeColor="text1"/>
                <w:szCs w:val="21"/>
              </w:rPr>
              <w:t>, (</w:t>
            </w:r>
            <w:r>
              <w:rPr>
                <w:rFonts w:ascii="Calibri" w:eastAsia="等线" w:hAnsi="Calibri" w:cs="Calibri"/>
                <w:color w:val="000000" w:themeColor="text1"/>
                <w:szCs w:val="21"/>
              </w:rPr>
              <w:t>n</w:t>
            </w:r>
            <w:r w:rsidRPr="00170A38">
              <w:rPr>
                <w:rFonts w:ascii="Calibri" w:eastAsia="等线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vAlign w:val="center"/>
          </w:tcPr>
          <w:p w:rsidR="00816242" w:rsidRPr="001323A9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1323A9">
              <w:rPr>
                <w:rFonts w:ascii="Calibri" w:hAnsi="Calibri" w:cs="Calibri"/>
                <w:color w:val="000000" w:themeColor="text1"/>
                <w:szCs w:val="21"/>
              </w:rPr>
              <w:t>18862.0 (12658.0-27023.0)</w:t>
            </w:r>
          </w:p>
        </w:tc>
        <w:tc>
          <w:tcPr>
            <w:tcW w:w="1530" w:type="pct"/>
            <w:tcBorders>
              <w:top w:val="single" w:sz="12" w:space="0" w:color="auto"/>
            </w:tcBorders>
            <w:vAlign w:val="center"/>
          </w:tcPr>
          <w:p w:rsidR="00816242" w:rsidRPr="001323A9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1323A9">
              <w:rPr>
                <w:rFonts w:ascii="Calibri" w:hAnsi="Calibri" w:cs="Calibri"/>
                <w:color w:val="000000" w:themeColor="text1"/>
                <w:szCs w:val="21"/>
              </w:rPr>
              <w:t>8.0 (0.0-172.0)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07507E">
              <w:rPr>
                <w:rFonts w:ascii="Calibri" w:hAnsi="Calibri" w:cs="Calibri"/>
                <w:color w:val="000000" w:themeColor="text1"/>
                <w:szCs w:val="21"/>
              </w:rPr>
              <w:t>0.000</w:t>
            </w:r>
          </w:p>
        </w:tc>
      </w:tr>
      <w:tr w:rsidR="00816242" w:rsidRPr="0007507E" w:rsidTr="007537B6">
        <w:trPr>
          <w:trHeight w:hRule="exact" w:val="454"/>
        </w:trPr>
        <w:tc>
          <w:tcPr>
            <w:tcW w:w="1326" w:type="pct"/>
            <w:shd w:val="clear" w:color="auto" w:fill="auto"/>
            <w:vAlign w:val="center"/>
          </w:tcPr>
          <w:p w:rsidR="00816242" w:rsidRPr="0007507E" w:rsidRDefault="00816242" w:rsidP="007537B6">
            <w:pPr>
              <w:rPr>
                <w:rFonts w:ascii="Calibri" w:eastAsia="等线" w:hAnsi="Calibri" w:cs="Calibri"/>
                <w:color w:val="000000"/>
                <w:szCs w:val="21"/>
              </w:rPr>
            </w:pPr>
            <w:r w:rsidRPr="00170A38">
              <w:rPr>
                <w:rFonts w:ascii="Calibri" w:eastAsia="等线" w:hAnsi="Calibri" w:cs="Calibri"/>
                <w:color w:val="000000" w:themeColor="text1"/>
                <w:szCs w:val="21"/>
              </w:rPr>
              <w:t>24-h PVCs burden, (%)</w:t>
            </w:r>
          </w:p>
        </w:tc>
        <w:tc>
          <w:tcPr>
            <w:tcW w:w="1531" w:type="pct"/>
            <w:vAlign w:val="center"/>
          </w:tcPr>
          <w:p w:rsidR="00816242" w:rsidRPr="001323A9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1323A9">
              <w:rPr>
                <w:rFonts w:ascii="Calibri" w:hAnsi="Calibri" w:cs="Calibri"/>
                <w:color w:val="000000" w:themeColor="text1"/>
                <w:szCs w:val="21"/>
              </w:rPr>
              <w:t>18.9 (12.9-26.7)</w:t>
            </w:r>
          </w:p>
        </w:tc>
        <w:tc>
          <w:tcPr>
            <w:tcW w:w="1530" w:type="pct"/>
            <w:vAlign w:val="center"/>
          </w:tcPr>
          <w:p w:rsidR="00816242" w:rsidRPr="001323A9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1323A9">
              <w:rPr>
                <w:rFonts w:ascii="Calibri" w:hAnsi="Calibri" w:cs="Calibri"/>
                <w:color w:val="000000" w:themeColor="text1"/>
                <w:szCs w:val="21"/>
              </w:rPr>
              <w:t>0.0 (0.0-0.2)</w:t>
            </w:r>
          </w:p>
        </w:tc>
        <w:tc>
          <w:tcPr>
            <w:tcW w:w="612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07507E">
              <w:rPr>
                <w:rFonts w:ascii="Calibri" w:hAnsi="Calibri" w:cs="Calibri"/>
                <w:color w:val="000000" w:themeColor="text1"/>
                <w:szCs w:val="21"/>
              </w:rPr>
              <w:t>0.000</w:t>
            </w:r>
          </w:p>
        </w:tc>
      </w:tr>
      <w:tr w:rsidR="00816242" w:rsidRPr="0007507E" w:rsidTr="007537B6">
        <w:trPr>
          <w:trHeight w:hRule="exact" w:val="454"/>
        </w:trPr>
        <w:tc>
          <w:tcPr>
            <w:tcW w:w="1326" w:type="pct"/>
            <w:shd w:val="clear" w:color="auto" w:fill="auto"/>
            <w:vAlign w:val="center"/>
          </w:tcPr>
          <w:p w:rsidR="00816242" w:rsidRPr="0007507E" w:rsidRDefault="00816242" w:rsidP="007537B6">
            <w:pPr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hAnsi="Calibri" w:cs="Calibri"/>
                <w:color w:val="000000"/>
                <w:szCs w:val="21"/>
                <w:shd w:val="clear" w:color="auto" w:fill="FFFFFF"/>
              </w:rPr>
              <w:t>VPC recurrence</w:t>
            </w:r>
          </w:p>
        </w:tc>
        <w:tc>
          <w:tcPr>
            <w:tcW w:w="1531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530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816242" w:rsidRPr="0007507E" w:rsidTr="007537B6">
        <w:trPr>
          <w:trHeight w:hRule="exact" w:val="454"/>
        </w:trPr>
        <w:tc>
          <w:tcPr>
            <w:tcW w:w="1326" w:type="pct"/>
            <w:shd w:val="clear" w:color="auto" w:fill="auto"/>
            <w:vAlign w:val="center"/>
          </w:tcPr>
          <w:p w:rsidR="00816242" w:rsidRPr="0007507E" w:rsidRDefault="00816242" w:rsidP="007537B6">
            <w:pPr>
              <w:ind w:firstLineChars="150" w:firstLine="31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80801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Yes, no. (%)</w:t>
            </w:r>
          </w:p>
        </w:tc>
        <w:tc>
          <w:tcPr>
            <w:tcW w:w="1531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C76CBB">
              <w:rPr>
                <w:rFonts w:ascii="Calibri" w:hAnsi="Calibri" w:cs="Calibri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30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C76CBB">
              <w:rPr>
                <w:rFonts w:ascii="Calibri" w:hAnsi="Calibri" w:cs="Calibri"/>
                <w:szCs w:val="21"/>
              </w:rPr>
              <w:t>42 (10.2%)</w:t>
            </w:r>
          </w:p>
        </w:tc>
        <w:tc>
          <w:tcPr>
            <w:tcW w:w="612" w:type="pct"/>
            <w:vAlign w:val="center"/>
          </w:tcPr>
          <w:p w:rsidR="00816242" w:rsidRPr="0007507E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816242" w:rsidRPr="0007507E" w:rsidTr="007537B6">
        <w:trPr>
          <w:trHeight w:val="454"/>
        </w:trPr>
        <w:tc>
          <w:tcPr>
            <w:tcW w:w="13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242" w:rsidRPr="0007507E" w:rsidRDefault="00816242" w:rsidP="007537B6">
            <w:pPr>
              <w:ind w:firstLineChars="150" w:firstLine="315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lastRenderedPageBreak/>
              <w:t>no</w:t>
            </w:r>
            <w:r w:rsidRPr="00880801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, no. (%)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vAlign w:val="center"/>
          </w:tcPr>
          <w:p w:rsidR="00816242" w:rsidRPr="0007507E" w:rsidRDefault="00816242" w:rsidP="007537B6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C76CBB">
              <w:rPr>
                <w:rFonts w:ascii="Calibri" w:hAnsi="Calibri" w:cs="Calibri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30" w:type="pct"/>
            <w:tcBorders>
              <w:bottom w:val="single" w:sz="12" w:space="0" w:color="auto"/>
            </w:tcBorders>
            <w:vAlign w:val="center"/>
          </w:tcPr>
          <w:p w:rsidR="00816242" w:rsidRPr="0007507E" w:rsidRDefault="00816242" w:rsidP="007537B6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C76CBB">
              <w:rPr>
                <w:rFonts w:ascii="Calibri" w:hAnsi="Calibri" w:cs="Calibri"/>
                <w:szCs w:val="21"/>
              </w:rPr>
              <w:t>369 (89.8%)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816242" w:rsidRPr="0007507E" w:rsidRDefault="00816242" w:rsidP="007537B6">
            <w:pPr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</w:tbl>
    <w:p w:rsidR="00816242" w:rsidRDefault="00816242" w:rsidP="00816242">
      <w:pPr>
        <w:spacing w:line="360" w:lineRule="auto"/>
        <w:rPr>
          <w:rFonts w:ascii="Calibri" w:hAnsi="Calibri" w:cs="Calibri"/>
          <w:color w:val="000000" w:themeColor="text1"/>
          <w:szCs w:val="21"/>
        </w:rPr>
      </w:pPr>
      <w:r w:rsidRPr="00880801">
        <w:rPr>
          <w:rFonts w:ascii="Calibri" w:hAnsi="Calibri" w:cs="Calibri"/>
          <w:color w:val="000000"/>
          <w:szCs w:val="24"/>
          <w:shd w:val="clear" w:color="auto" w:fill="FFFFFF"/>
        </w:rPr>
        <w:t xml:space="preserve">Data are expressed as </w:t>
      </w:r>
      <w:r w:rsidRPr="00697C08">
        <w:rPr>
          <w:rFonts w:ascii="Calibri" w:hAnsi="Calibri" w:cs="Calibri"/>
          <w:color w:val="000000" w:themeColor="text1"/>
          <w:szCs w:val="21"/>
        </w:rPr>
        <w:t>median (IQR)</w:t>
      </w:r>
      <w:r>
        <w:rPr>
          <w:rFonts w:ascii="Calibri" w:hAnsi="Calibri" w:cs="Calibri"/>
          <w:color w:val="000000" w:themeColor="text1"/>
          <w:szCs w:val="21"/>
        </w:rPr>
        <w:t xml:space="preserve"> and </w:t>
      </w:r>
      <w:r w:rsidRPr="00880801">
        <w:rPr>
          <w:rFonts w:ascii="Calibri" w:hAnsi="Calibri" w:cs="Calibri"/>
          <w:color w:val="000000"/>
          <w:szCs w:val="24"/>
          <w:shd w:val="clear" w:color="auto" w:fill="FFFFFF"/>
        </w:rPr>
        <w:t xml:space="preserve">no. (%). </w:t>
      </w:r>
      <w:r w:rsidRPr="00697C08">
        <w:rPr>
          <w:rFonts w:ascii="Calibri" w:hAnsi="Calibri" w:cs="Calibri"/>
          <w:i/>
          <w:color w:val="000000" w:themeColor="text1"/>
          <w:szCs w:val="21"/>
        </w:rPr>
        <w:t>p</w:t>
      </w:r>
      <w:r w:rsidRPr="00697C08">
        <w:rPr>
          <w:rFonts w:ascii="Calibri" w:hAnsi="Calibri" w:cs="Calibri"/>
          <w:color w:val="000000" w:themeColor="text1"/>
          <w:szCs w:val="21"/>
        </w:rPr>
        <w:t xml:space="preserve"> values comparing the </w:t>
      </w:r>
      <w:r>
        <w:rPr>
          <w:rFonts w:ascii="Calibri" w:hAnsi="Calibri" w:cs="Calibri"/>
          <w:color w:val="000000" w:themeColor="text1"/>
          <w:szCs w:val="21"/>
        </w:rPr>
        <w:t>24-hour PVCs number and burden</w:t>
      </w:r>
      <w:r w:rsidRPr="00697C08">
        <w:rPr>
          <w:rFonts w:ascii="Calibri" w:hAnsi="Calibri" w:cs="Calibri"/>
          <w:color w:val="000000" w:themeColor="text1"/>
          <w:szCs w:val="21"/>
        </w:rPr>
        <w:t xml:space="preserve"> of patients </w:t>
      </w:r>
      <w:r w:rsidRPr="00697C08">
        <w:rPr>
          <w:rFonts w:ascii="Calibri" w:eastAsia="等线" w:hAnsi="Calibri" w:cs="Calibri"/>
          <w:color w:val="000000" w:themeColor="text1"/>
          <w:szCs w:val="21"/>
        </w:rPr>
        <w:t>before ablation</w:t>
      </w:r>
      <w:r w:rsidRPr="00697C08">
        <w:rPr>
          <w:rFonts w:ascii="Calibri" w:hAnsi="Calibri" w:cs="Calibri"/>
          <w:color w:val="000000" w:themeColor="text1"/>
          <w:szCs w:val="21"/>
        </w:rPr>
        <w:t xml:space="preserve"> and after ablation </w:t>
      </w:r>
      <w:r w:rsidRPr="00697C08">
        <w:rPr>
          <w:rFonts w:ascii="Calibri" w:hAnsi="Calibri" w:cs="Calibri"/>
          <w:color w:val="000000" w:themeColor="text1"/>
          <w:szCs w:val="21"/>
          <w:shd w:val="clear" w:color="auto" w:fill="FFFFFF"/>
        </w:rPr>
        <w:t xml:space="preserve">are evaluated by </w:t>
      </w:r>
      <w:r w:rsidRPr="00697C08">
        <w:rPr>
          <w:rFonts w:ascii="Calibri" w:hAnsi="Calibri" w:cs="Calibri"/>
          <w:color w:val="000000" w:themeColor="text1"/>
          <w:szCs w:val="21"/>
        </w:rPr>
        <w:t>Wilcoxon signed-rank test</w:t>
      </w:r>
      <w:r>
        <w:rPr>
          <w:rFonts w:ascii="Calibri" w:hAnsi="Calibri" w:cs="Calibri"/>
          <w:color w:val="000000" w:themeColor="text1"/>
          <w:szCs w:val="21"/>
        </w:rPr>
        <w:t>.</w:t>
      </w:r>
      <w:r w:rsidRPr="006A427E">
        <w:rPr>
          <w:rFonts w:ascii="Calibri" w:hAnsi="Calibri" w:cs="Calibri"/>
          <w:color w:val="000000" w:themeColor="text1"/>
          <w:szCs w:val="21"/>
        </w:rPr>
        <w:t xml:space="preserve"> </w:t>
      </w:r>
      <w:r w:rsidRPr="00697C08">
        <w:rPr>
          <w:rFonts w:ascii="Calibri" w:hAnsi="Calibri" w:cs="Calibri"/>
          <w:color w:val="000000" w:themeColor="text1"/>
          <w:szCs w:val="21"/>
        </w:rPr>
        <w:t>Abbreviations: PVC, premature ventricular contraction</w:t>
      </w:r>
      <w:r>
        <w:rPr>
          <w:rFonts w:ascii="Calibri" w:hAnsi="Calibri" w:cs="Calibri"/>
          <w:color w:val="000000" w:themeColor="text1"/>
          <w:szCs w:val="21"/>
        </w:rPr>
        <w:t>.</w:t>
      </w:r>
      <w:r w:rsidRPr="00BA451B">
        <w:t xml:space="preserve"> </w:t>
      </w:r>
      <w:r w:rsidRPr="00BA451B">
        <w:rPr>
          <w:rFonts w:ascii="Calibri" w:hAnsi="Calibri" w:cs="Calibri"/>
          <w:color w:val="000000" w:themeColor="text1"/>
          <w:szCs w:val="21"/>
        </w:rPr>
        <w:t>/, denote without data.</w:t>
      </w:r>
    </w:p>
    <w:p w:rsidR="00816242" w:rsidRPr="00880801" w:rsidRDefault="00816242" w:rsidP="00447567">
      <w:pPr>
        <w:spacing w:beforeLines="100" w:before="312" w:line="360" w:lineRule="auto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Table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447567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6</w:t>
      </w:r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. The relationship between the reversibility of </w:t>
      </w:r>
      <w:bookmarkStart w:id="6" w:name="_Hlk89365448"/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LV enlargement</w:t>
      </w:r>
      <w:bookmarkEnd w:id="6"/>
      <w:r w:rsidRPr="00880801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and VPC recurrence</w:t>
      </w:r>
    </w:p>
    <w:tbl>
      <w:tblPr>
        <w:tblW w:w="4947" w:type="pct"/>
        <w:tblInd w:w="-20" w:type="dxa"/>
        <w:tblLook w:val="04A0" w:firstRow="1" w:lastRow="0" w:firstColumn="1" w:lastColumn="0" w:noHBand="0" w:noVBand="1"/>
      </w:tblPr>
      <w:tblGrid>
        <w:gridCol w:w="1982"/>
        <w:gridCol w:w="1703"/>
        <w:gridCol w:w="1701"/>
        <w:gridCol w:w="1701"/>
        <w:gridCol w:w="1131"/>
      </w:tblGrid>
      <w:tr w:rsidR="00816242" w:rsidRPr="00880801" w:rsidTr="007537B6">
        <w:trPr>
          <w:trHeight w:val="380"/>
        </w:trPr>
        <w:tc>
          <w:tcPr>
            <w:tcW w:w="12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036" w:type="pct"/>
            <w:vMerge w:val="restart"/>
            <w:tcBorders>
              <w:top w:val="single" w:sz="12" w:space="0" w:color="auto"/>
            </w:tcBorders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80801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Overall</w:t>
            </w:r>
          </w:p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80801">
              <w:rPr>
                <w:rFonts w:ascii="Calibri" w:eastAsia="等线" w:hAnsi="Calibri" w:cs="Calibri"/>
                <w:color w:val="000000" w:themeColor="text1"/>
                <w:szCs w:val="21"/>
              </w:rPr>
              <w:t>(n = 64)</w:t>
            </w:r>
          </w:p>
        </w:tc>
        <w:tc>
          <w:tcPr>
            <w:tcW w:w="207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 w:firstLineChars="400" w:firstLine="840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80801">
              <w:rPr>
                <w:rFonts w:ascii="Calibri" w:eastAsia="等线" w:hAnsi="Calibri" w:cs="Calibri"/>
                <w:color w:val="000000"/>
                <w:szCs w:val="21"/>
              </w:rPr>
              <w:t>After ablation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eastAsia="等线" w:hAnsi="Calibri" w:cs="Calibri"/>
                <w:i/>
                <w:iCs/>
                <w:color w:val="000000"/>
                <w:szCs w:val="21"/>
              </w:rPr>
              <w:t xml:space="preserve">p </w:t>
            </w:r>
            <w:r w:rsidRPr="00880801">
              <w:rPr>
                <w:rFonts w:ascii="Calibri" w:eastAsia="等线" w:hAnsi="Calibri" w:cs="Calibri"/>
                <w:color w:val="000000"/>
                <w:szCs w:val="21"/>
              </w:rPr>
              <w:t>values</w:t>
            </w:r>
          </w:p>
        </w:tc>
      </w:tr>
      <w:tr w:rsidR="00816242" w:rsidRPr="00880801" w:rsidTr="007537B6">
        <w:trPr>
          <w:trHeight w:hRule="exact" w:val="680"/>
        </w:trPr>
        <w:tc>
          <w:tcPr>
            <w:tcW w:w="1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</w:p>
        </w:tc>
        <w:tc>
          <w:tcPr>
            <w:tcW w:w="1036" w:type="pct"/>
            <w:vMerge/>
            <w:tcBorders>
              <w:bottom w:val="single" w:sz="4" w:space="0" w:color="auto"/>
            </w:tcBorders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eastAsia="等线" w:hAnsi="Calibri" w:cs="Calibri"/>
                <w:color w:val="000000"/>
                <w:szCs w:val="21"/>
              </w:rPr>
              <w:t>LV enlargement</w:t>
            </w:r>
          </w:p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eastAsia="等线" w:hAnsi="Calibri" w:cs="Calibri"/>
                <w:color w:val="000000" w:themeColor="text1"/>
                <w:szCs w:val="21"/>
              </w:rPr>
              <w:t>(n = 10)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eastAsia="等线" w:hAnsi="Calibri" w:cs="Calibri"/>
                <w:color w:val="000000"/>
                <w:szCs w:val="21"/>
              </w:rPr>
              <w:t>LV normal</w:t>
            </w:r>
          </w:p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color w:val="000000"/>
                <w:szCs w:val="21"/>
              </w:rPr>
            </w:pPr>
            <w:r w:rsidRPr="00880801">
              <w:rPr>
                <w:rFonts w:ascii="Calibri" w:eastAsia="等线" w:hAnsi="Calibri" w:cs="Calibri"/>
                <w:color w:val="000000" w:themeColor="text1"/>
                <w:szCs w:val="21"/>
              </w:rPr>
              <w:t>(n = 54)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eastAsia="等线" w:hAnsi="Calibri" w:cs="Calibri"/>
                <w:i/>
                <w:iCs/>
                <w:color w:val="000000"/>
                <w:szCs w:val="21"/>
              </w:rPr>
            </w:pPr>
          </w:p>
        </w:tc>
      </w:tr>
      <w:tr w:rsidR="00816242" w:rsidRPr="00880801" w:rsidTr="007537B6">
        <w:trPr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:rsidR="00816242" w:rsidRPr="00880801" w:rsidRDefault="00816242" w:rsidP="007537B6">
            <w:pPr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80801">
              <w:rPr>
                <w:rFonts w:ascii="Calibri" w:hAnsi="Calibri" w:cs="Calibri"/>
                <w:color w:val="000000"/>
                <w:szCs w:val="21"/>
                <w:shd w:val="clear" w:color="auto" w:fill="FFFFFF"/>
              </w:rPr>
              <w:t>VPC recurrence</w:t>
            </w:r>
          </w:p>
        </w:tc>
        <w:tc>
          <w:tcPr>
            <w:tcW w:w="1036" w:type="pct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816242" w:rsidRPr="00880801" w:rsidRDefault="00816242" w:rsidP="007537B6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szCs w:val="21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</w:p>
        </w:tc>
      </w:tr>
      <w:tr w:rsidR="00816242" w:rsidRPr="00880801" w:rsidTr="007537B6">
        <w:trPr>
          <w:trHeight w:hRule="exact" w:val="397"/>
        </w:trPr>
        <w:tc>
          <w:tcPr>
            <w:tcW w:w="1206" w:type="pct"/>
            <w:shd w:val="clear" w:color="auto" w:fill="auto"/>
            <w:vAlign w:val="center"/>
          </w:tcPr>
          <w:p w:rsidR="00816242" w:rsidRPr="00880801" w:rsidRDefault="00816242" w:rsidP="007537B6">
            <w:pPr>
              <w:ind w:firstLineChars="150" w:firstLine="315"/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</w:pPr>
            <w:r w:rsidRPr="00880801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Yes, no. (%)</w:t>
            </w:r>
          </w:p>
        </w:tc>
        <w:tc>
          <w:tcPr>
            <w:tcW w:w="1036" w:type="pct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9 (14.1%)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4 (40.0%)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816242" w:rsidRPr="00880801" w:rsidRDefault="00816242" w:rsidP="007537B6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5 (9.3%)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0.027</w:t>
            </w:r>
          </w:p>
        </w:tc>
      </w:tr>
      <w:tr w:rsidR="00816242" w:rsidRPr="00880801" w:rsidTr="007537B6">
        <w:trPr>
          <w:trHeight w:hRule="exact" w:val="397"/>
        </w:trPr>
        <w:tc>
          <w:tcPr>
            <w:tcW w:w="12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firstLineChars="150" w:firstLine="315"/>
              <w:rPr>
                <w:rFonts w:ascii="Calibri" w:eastAsia="等线" w:hAnsi="Calibri" w:cs="Calibri"/>
                <w:color w:val="000000" w:themeColor="text1"/>
                <w:szCs w:val="21"/>
              </w:rPr>
            </w:pPr>
            <w:r w:rsidRPr="00880801">
              <w:rPr>
                <w:rFonts w:ascii="Calibri" w:hAnsi="Calibri" w:cs="Calibri"/>
                <w:color w:val="000000" w:themeColor="text1"/>
                <w:szCs w:val="21"/>
                <w:shd w:val="clear" w:color="auto" w:fill="FFFFFF"/>
              </w:rPr>
              <w:t>No, no. (%)</w:t>
            </w:r>
          </w:p>
        </w:tc>
        <w:tc>
          <w:tcPr>
            <w:tcW w:w="1036" w:type="pct"/>
            <w:tcBorders>
              <w:bottom w:val="single" w:sz="12" w:space="0" w:color="auto"/>
            </w:tcBorders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55 (85.9%)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  <w:r w:rsidRPr="00880801">
              <w:rPr>
                <w:rFonts w:ascii="Calibri" w:hAnsi="Calibri" w:cs="Calibri"/>
                <w:szCs w:val="21"/>
              </w:rPr>
              <w:t>6 (60.0%)</w:t>
            </w: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242" w:rsidRPr="004F69BE" w:rsidRDefault="00816242" w:rsidP="007537B6">
            <w:pPr>
              <w:spacing w:before="100" w:beforeAutospacing="1" w:after="100" w:afterAutospacing="1"/>
              <w:ind w:rightChars="-250" w:right="-525"/>
              <w:rPr>
                <w:rFonts w:ascii="Calibri" w:hAnsi="Calibri" w:cs="Calibri"/>
                <w:szCs w:val="21"/>
              </w:rPr>
            </w:pPr>
            <w:r w:rsidRPr="004F69BE">
              <w:rPr>
                <w:rFonts w:ascii="Calibri" w:hAnsi="Calibri" w:cs="Calibri"/>
                <w:color w:val="000000" w:themeColor="text1"/>
                <w:szCs w:val="21"/>
              </w:rPr>
              <w:t>49 (90.7%)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242" w:rsidRPr="00880801" w:rsidRDefault="00816242" w:rsidP="007537B6">
            <w:pPr>
              <w:ind w:rightChars="-250" w:right="-525"/>
              <w:rPr>
                <w:rFonts w:ascii="Calibri" w:hAnsi="Calibri" w:cs="Calibri"/>
                <w:szCs w:val="21"/>
              </w:rPr>
            </w:pPr>
          </w:p>
        </w:tc>
      </w:tr>
    </w:tbl>
    <w:p w:rsidR="00816242" w:rsidRPr="00880801" w:rsidRDefault="00816242" w:rsidP="00352502">
      <w:pPr>
        <w:spacing w:after="120" w:line="360" w:lineRule="auto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880801">
        <w:rPr>
          <w:rFonts w:ascii="Calibri" w:hAnsi="Calibri" w:cs="Calibri"/>
          <w:color w:val="000000"/>
          <w:szCs w:val="24"/>
          <w:shd w:val="clear" w:color="auto" w:fill="FFFFFF"/>
        </w:rPr>
        <w:t xml:space="preserve">Data are expressed as no. (%). </w:t>
      </w:r>
      <w:r w:rsidRPr="00880801">
        <w:rPr>
          <w:rFonts w:ascii="Calibri" w:hAnsi="Calibri" w:cs="Calibri"/>
          <w:i/>
          <w:color w:val="000000"/>
          <w:szCs w:val="24"/>
          <w:shd w:val="clear" w:color="auto" w:fill="FFFFFF"/>
        </w:rPr>
        <w:t>p</w:t>
      </w:r>
      <w:r w:rsidRPr="00880801">
        <w:rPr>
          <w:rFonts w:ascii="Calibri" w:hAnsi="Calibri" w:cs="Calibri"/>
          <w:color w:val="000000"/>
          <w:szCs w:val="24"/>
          <w:shd w:val="clear" w:color="auto" w:fill="FFFFFF"/>
        </w:rPr>
        <w:t xml:space="preserve"> values comparing the patients with left ventricular (LV) enlargement and patients with normal LV structure after ablation are evaluated by Pearson’s χ2 test.</w:t>
      </w:r>
    </w:p>
    <w:p w:rsidR="00816242" w:rsidRPr="00CA327A" w:rsidRDefault="00816242" w:rsidP="00CA327A">
      <w:pPr>
        <w:pStyle w:val="2"/>
        <w:spacing w:after="120" w:line="360" w:lineRule="auto"/>
        <w:rPr>
          <w:rFonts w:ascii="Cambria" w:hAnsi="Cambria"/>
        </w:rPr>
      </w:pPr>
      <w:r w:rsidRPr="00CA327A">
        <w:rPr>
          <w:rFonts w:ascii="Cambria" w:hAnsi="Cambria"/>
        </w:rPr>
        <w:t>References</w:t>
      </w:r>
    </w:p>
    <w:p w:rsidR="00816242" w:rsidRPr="00816242" w:rsidRDefault="00816242" w:rsidP="0081624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Calibri" w:eastAsia="Times New Roman" w:hAnsi="Calibri" w:cs="Calibri"/>
          <w:noProof/>
          <w:sz w:val="18"/>
        </w:rPr>
      </w:pPr>
      <w:r w:rsidRPr="00816242">
        <w:rPr>
          <w:rFonts w:ascii="Calibri" w:eastAsia="Times New Roman" w:hAnsi="Calibri" w:cs="Calibri"/>
          <w:noProof/>
          <w:sz w:val="18"/>
        </w:rPr>
        <w:t>Liu HY, Yang Z, Meng FG, Guan YG, Ma YS, Liang SL, et al. Preoperative Heart Rate Variability as Predictors of Vagus Nerve Stimulation Outcome in Patients with Drug-resistant Epilepsy. Scientific reports. 2018 Mar 1;8(1):3856.</w:t>
      </w:r>
    </w:p>
    <w:p w:rsidR="00816242" w:rsidRPr="00816242" w:rsidRDefault="00816242"/>
    <w:sectPr w:rsidR="00816242" w:rsidRPr="0081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53" w:rsidRDefault="00793653" w:rsidP="00AD0550">
      <w:r>
        <w:separator/>
      </w:r>
    </w:p>
  </w:endnote>
  <w:endnote w:type="continuationSeparator" w:id="0">
    <w:p w:rsidR="00793653" w:rsidRDefault="00793653" w:rsidP="00AD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53" w:rsidRDefault="00793653" w:rsidP="00AD0550">
      <w:r>
        <w:separator/>
      </w:r>
    </w:p>
  </w:footnote>
  <w:footnote w:type="continuationSeparator" w:id="0">
    <w:p w:rsidR="00793653" w:rsidRDefault="00793653" w:rsidP="00AD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463D8"/>
    <w:multiLevelType w:val="hybridMultilevel"/>
    <w:tmpl w:val="A7002B70"/>
    <w:lvl w:ilvl="0" w:tplc="57467C1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7D"/>
    <w:rsid w:val="00022F78"/>
    <w:rsid w:val="0021277D"/>
    <w:rsid w:val="00232CDE"/>
    <w:rsid w:val="002927CF"/>
    <w:rsid w:val="00314844"/>
    <w:rsid w:val="00333FE7"/>
    <w:rsid w:val="00352502"/>
    <w:rsid w:val="003B5589"/>
    <w:rsid w:val="00446070"/>
    <w:rsid w:val="00447567"/>
    <w:rsid w:val="004506B3"/>
    <w:rsid w:val="005269FF"/>
    <w:rsid w:val="00793653"/>
    <w:rsid w:val="00816242"/>
    <w:rsid w:val="00954489"/>
    <w:rsid w:val="009A00ED"/>
    <w:rsid w:val="009E6B21"/>
    <w:rsid w:val="00AB6D75"/>
    <w:rsid w:val="00AD0550"/>
    <w:rsid w:val="00B52B9D"/>
    <w:rsid w:val="00BE1139"/>
    <w:rsid w:val="00C323B8"/>
    <w:rsid w:val="00CA327A"/>
    <w:rsid w:val="00CA3BAD"/>
    <w:rsid w:val="00D90F15"/>
    <w:rsid w:val="00DB0AC6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48650-DF68-4C93-A89A-D8AFB5B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D0550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05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55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AD0550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AD0550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16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2021-12-14T07:04:00Z</dcterms:created>
  <dcterms:modified xsi:type="dcterms:W3CDTF">2022-01-18T15:45:00Z</dcterms:modified>
</cp:coreProperties>
</file>