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C7F1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"/>
          <w:b/>
          <w:kern w:val="0"/>
          <w:sz w:val="24"/>
        </w:rPr>
      </w:pPr>
      <w:r w:rsidRPr="00DF4FD4">
        <w:rPr>
          <w:rFonts w:ascii="Times New Roman" w:eastAsia="휴먼명조" w:hint="eastAsia"/>
          <w:b/>
          <w:kern w:val="0"/>
          <w:sz w:val="24"/>
        </w:rPr>
        <w:t>Supplement</w:t>
      </w:r>
      <w:r w:rsidRPr="00DF4FD4">
        <w:rPr>
          <w:rFonts w:ascii="Times New Roman" w:eastAsia="휴먼명조"/>
          <w:b/>
          <w:kern w:val="0"/>
          <w:sz w:val="24"/>
        </w:rPr>
        <w:t>al</w:t>
      </w:r>
      <w:r w:rsidRPr="00DF4FD4">
        <w:rPr>
          <w:rFonts w:ascii="Times New Roman" w:eastAsia="휴먼명조" w:hint="eastAsia"/>
          <w:b/>
          <w:kern w:val="0"/>
          <w:sz w:val="24"/>
        </w:rPr>
        <w:t xml:space="preserve"> </w:t>
      </w:r>
      <w:r w:rsidRPr="00DF4FD4">
        <w:rPr>
          <w:rFonts w:ascii="Times New Roman" w:eastAsia="휴먼명조"/>
          <w:b/>
          <w:kern w:val="0"/>
          <w:sz w:val="24"/>
        </w:rPr>
        <w:t>Figure</w:t>
      </w:r>
      <w:r w:rsidRPr="00DF4FD4">
        <w:rPr>
          <w:rFonts w:ascii="Times New Roman" w:eastAsia="휴먼명조" w:hint="eastAsia"/>
          <w:b/>
          <w:kern w:val="0"/>
          <w:sz w:val="24"/>
        </w:rPr>
        <w:t>s</w:t>
      </w:r>
    </w:p>
    <w:p w14:paraId="43D747EF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Cs/>
          <w:kern w:val="0"/>
          <w:sz w:val="24"/>
        </w:rPr>
      </w:pPr>
      <w:r w:rsidRPr="00DF4FD4">
        <w:rPr>
          <w:rFonts w:ascii="Times New Roman" w:eastAsia="휴먼명조,한컴돋움"/>
          <w:b/>
          <w:kern w:val="0"/>
          <w:sz w:val="24"/>
        </w:rPr>
        <w:t xml:space="preserve">Figure S1. Expression of </w:t>
      </w:r>
      <w:r w:rsidRPr="00DF4FD4">
        <w:rPr>
          <w:rFonts w:ascii="Times New Roman" w:eastAsia="휴먼명조,한컴돋움"/>
          <w:b/>
          <w:color w:val="000000"/>
          <w:kern w:val="0"/>
          <w:sz w:val="24"/>
        </w:rPr>
        <w:t>glucocorticoid receptor</w:t>
      </w:r>
      <w:r w:rsidRPr="00DF4FD4">
        <w:rPr>
          <w:rFonts w:ascii="Times New Roman" w:eastAsia="휴먼명조,한컴돋움"/>
          <w:b/>
          <w:kern w:val="0"/>
          <w:sz w:val="24"/>
        </w:rPr>
        <w:t xml:space="preserve"> (GR) in human dermal papilla (DP) cells. </w:t>
      </w:r>
      <w:r w:rsidRPr="00DF4FD4">
        <w:rPr>
          <w:rFonts w:ascii="Times New Roman" w:eastAsia="휴먼명조,한컴돋움"/>
          <w:kern w:val="0"/>
          <w:sz w:val="24"/>
        </w:rPr>
        <w:t xml:space="preserve">DP cells were </w:t>
      </w:r>
      <w:proofErr w:type="spellStart"/>
      <w:r w:rsidRPr="00DF4FD4">
        <w:rPr>
          <w:rFonts w:ascii="Times New Roman" w:eastAsia="휴먼명조,한컴돋움"/>
          <w:kern w:val="0"/>
          <w:sz w:val="24"/>
        </w:rPr>
        <w:t>immunostained</w:t>
      </w:r>
      <w:proofErr w:type="spellEnd"/>
      <w:r w:rsidRPr="00DF4FD4">
        <w:rPr>
          <w:rFonts w:ascii="Times New Roman" w:eastAsia="휴먼명조,한컴돋움"/>
          <w:kern w:val="0"/>
          <w:sz w:val="24"/>
        </w:rPr>
        <w:t xml:space="preserve"> with </w:t>
      </w:r>
      <w:r w:rsidRPr="00DF4FD4">
        <w:rPr>
          <w:rFonts w:ascii="Times New Roman" w:eastAsia="휴먼명조,한컴돋움"/>
          <w:bCs/>
          <w:kern w:val="0"/>
          <w:sz w:val="24"/>
        </w:rPr>
        <w:t xml:space="preserve">normal </w:t>
      </w:r>
      <w:proofErr w:type="spellStart"/>
      <w:r w:rsidRPr="00DF4FD4">
        <w:rPr>
          <w:rFonts w:ascii="Times New Roman" w:eastAsia="휴먼명조,한컴돋움"/>
          <w:bCs/>
          <w:kern w:val="0"/>
          <w:sz w:val="24"/>
        </w:rPr>
        <w:t>rabbitt</w:t>
      </w:r>
      <w:proofErr w:type="spellEnd"/>
      <w:r w:rsidRPr="00DF4FD4">
        <w:rPr>
          <w:rFonts w:ascii="Times New Roman" w:eastAsia="휴먼명조,한컴돋움"/>
          <w:bCs/>
          <w:kern w:val="0"/>
          <w:sz w:val="24"/>
        </w:rPr>
        <w:t xml:space="preserve"> IgG isotype control (left panel) or </w:t>
      </w:r>
      <w:r w:rsidRPr="00DF4FD4">
        <w:rPr>
          <w:rFonts w:ascii="Times New Roman" w:eastAsia="휴먼명조,한컴돋움"/>
          <w:kern w:val="0"/>
          <w:sz w:val="24"/>
        </w:rPr>
        <w:t>GR antibody (right panel).</w:t>
      </w:r>
      <w:r w:rsidRPr="00DF4FD4">
        <w:rPr>
          <w:rFonts w:ascii="Times New Roman" w:eastAsia="휴먼명조,한컴돋움"/>
          <w:bCs/>
          <w:kern w:val="0"/>
          <w:sz w:val="24"/>
        </w:rPr>
        <w:t xml:space="preserve"> Corresponding DAPI nuclear staining is also shown.</w:t>
      </w:r>
      <w:r w:rsidRPr="00DF4FD4">
        <w:rPr>
          <w:rFonts w:ascii="Times New Roman" w:eastAsia="휴먼명조,한컴돋움" w:hint="eastAsia"/>
          <w:bCs/>
          <w:kern w:val="0"/>
          <w:sz w:val="24"/>
        </w:rPr>
        <w:t xml:space="preserve"> </w:t>
      </w:r>
    </w:p>
    <w:p w14:paraId="34EF7E6E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/>
          <w:color w:val="FF0000"/>
          <w:kern w:val="0"/>
          <w:sz w:val="24"/>
        </w:rPr>
      </w:pPr>
    </w:p>
    <w:p w14:paraId="62D21D4C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Cs/>
          <w:kern w:val="0"/>
          <w:sz w:val="24"/>
        </w:rPr>
      </w:pPr>
      <w:r w:rsidRPr="00DF4FD4">
        <w:rPr>
          <w:rFonts w:ascii="Times New Roman" w:eastAsia="휴먼명조,한컴돋움"/>
          <w:b/>
          <w:kern w:val="0"/>
          <w:sz w:val="24"/>
        </w:rPr>
        <w:t>Figure S</w:t>
      </w:r>
      <w:r w:rsidRPr="00DF4FD4">
        <w:rPr>
          <w:rFonts w:ascii="Times New Roman" w:eastAsia="휴먼명조,한컴돋움" w:hint="eastAsia"/>
          <w:b/>
          <w:kern w:val="0"/>
          <w:sz w:val="24"/>
        </w:rPr>
        <w:t>2</w:t>
      </w:r>
      <w:r w:rsidRPr="00DF4FD4">
        <w:rPr>
          <w:rFonts w:ascii="Times New Roman" w:eastAsia="휴먼명조,한컴돋움"/>
          <w:b/>
          <w:kern w:val="0"/>
          <w:sz w:val="24"/>
        </w:rPr>
        <w:t>.</w:t>
      </w:r>
      <w:r w:rsidRPr="00DF4FD4">
        <w:rPr>
          <w:rFonts w:ascii="Times New Roman" w:eastAsia="휴먼명조,한컴돋움" w:hint="eastAsia"/>
          <w:b/>
          <w:kern w:val="0"/>
          <w:sz w:val="24"/>
        </w:rPr>
        <w:t xml:space="preserve"> </w:t>
      </w:r>
      <w:r w:rsidRPr="00DF4FD4">
        <w:rPr>
          <w:rFonts w:ascii="Times New Roman" w:eastAsia="휴먼명조,한컴돋움"/>
          <w:b/>
          <w:kern w:val="0"/>
          <w:sz w:val="24"/>
        </w:rPr>
        <w:t>Effect of dexamethasone (DEX) on androgen receptor (AR) expression in human dermal papilla (DP) cells</w:t>
      </w:r>
      <w:r w:rsidRPr="00DF4FD4">
        <w:rPr>
          <w:rFonts w:ascii="Times New Roman" w:eastAsia="휴먼명조,한컴돋움" w:hint="eastAsia"/>
          <w:b/>
          <w:bCs/>
          <w:kern w:val="0"/>
          <w:sz w:val="24"/>
        </w:rPr>
        <w:t xml:space="preserve">. </w:t>
      </w:r>
      <w:r w:rsidRPr="00DF4FD4">
        <w:rPr>
          <w:rFonts w:ascii="Times New Roman" w:eastAsia="휴먼명조,한컴돋움" w:hint="eastAsia"/>
          <w:kern w:val="0"/>
          <w:sz w:val="24"/>
        </w:rPr>
        <w:t>DP c</w:t>
      </w:r>
      <w:r w:rsidRPr="00DF4FD4">
        <w:rPr>
          <w:rFonts w:ascii="Times New Roman" w:hint="eastAsia"/>
          <w:kern w:val="0"/>
          <w:sz w:val="24"/>
        </w:rPr>
        <w:t xml:space="preserve">ells were treated with </w:t>
      </w:r>
      <w:r w:rsidRPr="00DF4FD4">
        <w:rPr>
          <w:rFonts w:ascii="Times New Roman"/>
          <w:kern w:val="0"/>
          <w:sz w:val="24"/>
        </w:rPr>
        <w:t>DEX</w:t>
      </w:r>
      <w:r w:rsidRPr="00DF4FD4">
        <w:rPr>
          <w:rFonts w:ascii="Times New Roman" w:hint="eastAsia"/>
          <w:kern w:val="0"/>
          <w:sz w:val="24"/>
        </w:rPr>
        <w:t xml:space="preserve"> for varying </w:t>
      </w:r>
      <w:r w:rsidRPr="00DF4FD4">
        <w:rPr>
          <w:rFonts w:ascii="Times New Roman"/>
          <w:kern w:val="0"/>
          <w:sz w:val="24"/>
        </w:rPr>
        <w:t>durations</w:t>
      </w:r>
      <w:r w:rsidRPr="00DF4FD4">
        <w:rPr>
          <w:rFonts w:ascii="Times New Roman" w:hint="eastAsia"/>
          <w:kern w:val="0"/>
          <w:sz w:val="24"/>
        </w:rPr>
        <w:t xml:space="preserve"> </w:t>
      </w:r>
      <w:r w:rsidRPr="00DF4FD4">
        <w:rPr>
          <w:rFonts w:ascii="Times New Roman"/>
          <w:kern w:val="0"/>
          <w:sz w:val="24"/>
        </w:rPr>
        <w:t xml:space="preserve">and concentrations </w:t>
      </w:r>
      <w:r w:rsidRPr="00DF4FD4">
        <w:rPr>
          <w:rFonts w:ascii="Times New Roman" w:eastAsia="휴먼명조,한컴돋움" w:hint="eastAsia"/>
          <w:bCs/>
          <w:kern w:val="0"/>
          <w:sz w:val="24"/>
        </w:rPr>
        <w:t>and analyzed by RT-PCR</w:t>
      </w:r>
      <w:r w:rsidRPr="00DF4FD4">
        <w:rPr>
          <w:rFonts w:ascii="Times New Roman" w:eastAsia="휴먼명조,한컴돋움"/>
          <w:bCs/>
          <w:kern w:val="0"/>
          <w:sz w:val="24"/>
        </w:rPr>
        <w:t>.</w:t>
      </w:r>
    </w:p>
    <w:p w14:paraId="31BAD68F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/>
          <w:color w:val="FF0000"/>
          <w:kern w:val="0"/>
          <w:sz w:val="24"/>
        </w:rPr>
      </w:pPr>
      <w:r w:rsidRPr="00DF4FD4">
        <w:rPr>
          <w:rFonts w:ascii="Times New Roman" w:eastAsia="휴먼명조,한컴돋움" w:hint="eastAsia"/>
          <w:bCs/>
          <w:kern w:val="0"/>
          <w:sz w:val="24"/>
        </w:rPr>
        <w:t xml:space="preserve"> </w:t>
      </w:r>
    </w:p>
    <w:p w14:paraId="67C5FFA4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Cs/>
          <w:kern w:val="0"/>
          <w:sz w:val="24"/>
        </w:rPr>
      </w:pPr>
      <w:r w:rsidRPr="00DF4FD4">
        <w:rPr>
          <w:rFonts w:ascii="Times New Roman" w:eastAsia="휴먼명조,한컴돋움"/>
          <w:b/>
          <w:kern w:val="0"/>
          <w:sz w:val="24"/>
        </w:rPr>
        <w:t xml:space="preserve">Figure S3. Activity of androgen receptor (AR) in response to dexamethasone </w:t>
      </w:r>
      <w:proofErr w:type="spellStart"/>
      <w:r w:rsidRPr="00DF4FD4">
        <w:rPr>
          <w:rFonts w:ascii="Times New Roman" w:eastAsia="휴먼명조,한컴돋움"/>
          <w:b/>
          <w:kern w:val="0"/>
          <w:sz w:val="24"/>
        </w:rPr>
        <w:t>dexamethasone</w:t>
      </w:r>
      <w:proofErr w:type="spellEnd"/>
      <w:r w:rsidRPr="00DF4FD4">
        <w:rPr>
          <w:rFonts w:ascii="Times New Roman" w:eastAsia="휴먼명조,한컴돋움"/>
          <w:b/>
          <w:kern w:val="0"/>
          <w:sz w:val="24"/>
        </w:rPr>
        <w:t xml:space="preserve"> (DEX) in human dermal papilla (DP) cells. </w:t>
      </w:r>
      <w:r w:rsidRPr="00DF4FD4">
        <w:rPr>
          <w:rFonts w:ascii="Times New Roman"/>
          <w:kern w:val="0"/>
          <w:sz w:val="24"/>
        </w:rPr>
        <w:t>DP cells were cultured for 24</w:t>
      </w:r>
      <w:r w:rsidRPr="00DF4FD4">
        <w:rPr>
          <w:rFonts w:ascii="Times New Roman" w:hint="eastAsia"/>
          <w:kern w:val="0"/>
          <w:sz w:val="24"/>
        </w:rPr>
        <w:t xml:space="preserve"> h</w:t>
      </w:r>
      <w:r w:rsidRPr="00DF4FD4">
        <w:rPr>
          <w:rFonts w:ascii="Times New Roman"/>
          <w:kern w:val="0"/>
          <w:sz w:val="24"/>
        </w:rPr>
        <w:t xml:space="preserve"> </w:t>
      </w:r>
      <w:r w:rsidRPr="00DF4FD4">
        <w:rPr>
          <w:rFonts w:ascii="Times New Roman" w:eastAsia="휴먼명조,한컴돋움"/>
          <w:bCs/>
          <w:kern w:val="0"/>
          <w:sz w:val="24"/>
        </w:rPr>
        <w:t>in the absence</w:t>
      </w:r>
      <w:r w:rsidRPr="00DF4FD4">
        <w:rPr>
          <w:rFonts w:ascii="Times New Roman" w:eastAsia="휴먼명조,한컴돋움" w:hint="eastAsia"/>
          <w:bCs/>
          <w:kern w:val="0"/>
          <w:sz w:val="24"/>
        </w:rPr>
        <w:t xml:space="preserve"> </w:t>
      </w:r>
      <w:r w:rsidRPr="00DF4FD4">
        <w:rPr>
          <w:rFonts w:ascii="Times New Roman" w:eastAsia="휴먼명조,한컴돋움"/>
          <w:bCs/>
          <w:kern w:val="0"/>
          <w:sz w:val="24"/>
        </w:rPr>
        <w:t>or presence</w:t>
      </w:r>
      <w:r w:rsidRPr="00DF4FD4">
        <w:rPr>
          <w:rFonts w:ascii="Times New Roman" w:eastAsia="휴먼명조,한컴돋움" w:hint="eastAsia"/>
          <w:bCs/>
          <w:kern w:val="0"/>
          <w:sz w:val="24"/>
        </w:rPr>
        <w:t xml:space="preserve"> </w:t>
      </w:r>
      <w:r w:rsidRPr="00DF4FD4">
        <w:rPr>
          <w:rFonts w:ascii="Times New Roman" w:eastAsia="휴먼명조,한컴돋움"/>
          <w:bCs/>
          <w:kern w:val="0"/>
          <w:sz w:val="24"/>
        </w:rPr>
        <w:t xml:space="preserve">of </w:t>
      </w:r>
      <w:r w:rsidRPr="00DF4FD4">
        <w:rPr>
          <w:rFonts w:ascii="Times New Roman" w:hint="eastAsia"/>
          <w:kern w:val="0"/>
          <w:sz w:val="24"/>
        </w:rPr>
        <w:t xml:space="preserve">100 </w:t>
      </w:r>
      <w:proofErr w:type="spellStart"/>
      <w:r w:rsidRPr="00DF4FD4">
        <w:rPr>
          <w:rFonts w:ascii="Times New Roman" w:hint="eastAsia"/>
          <w:kern w:val="0"/>
          <w:sz w:val="24"/>
        </w:rPr>
        <w:t>nM</w:t>
      </w:r>
      <w:proofErr w:type="spellEnd"/>
      <w:r w:rsidRPr="00DF4FD4">
        <w:rPr>
          <w:rFonts w:ascii="Times New Roman" w:hint="eastAsia"/>
          <w:kern w:val="0"/>
          <w:sz w:val="24"/>
        </w:rPr>
        <w:t xml:space="preserve"> </w:t>
      </w:r>
      <w:r w:rsidRPr="00DF4FD4">
        <w:rPr>
          <w:rFonts w:ascii="Times New Roman" w:eastAsia="휴먼명조,한컴돋움"/>
          <w:bCs/>
          <w:kern w:val="0"/>
          <w:sz w:val="24"/>
        </w:rPr>
        <w:t xml:space="preserve">DEX </w:t>
      </w:r>
      <w:r w:rsidRPr="00DF4FD4">
        <w:rPr>
          <w:rFonts w:ascii="Times New Roman" w:eastAsia="휴먼명조,한컴돋움" w:hint="eastAsia"/>
          <w:bCs/>
          <w:kern w:val="0"/>
          <w:sz w:val="24"/>
        </w:rPr>
        <w:t xml:space="preserve">and </w:t>
      </w:r>
      <w:r w:rsidRPr="00DF4FD4">
        <w:rPr>
          <w:rFonts w:ascii="Times New Roman" w:eastAsia="휴먼명조,한컴돋움"/>
          <w:bCs/>
          <w:kern w:val="0"/>
          <w:sz w:val="24"/>
        </w:rPr>
        <w:t>100nM DHT and were</w:t>
      </w:r>
      <w:r w:rsidRPr="00DF4FD4">
        <w:rPr>
          <w:rFonts w:ascii="Times New Roman" w:eastAsia="휴먼명조,한컴돋움" w:hint="eastAsia"/>
          <w:bCs/>
          <w:kern w:val="0"/>
          <w:sz w:val="24"/>
        </w:rPr>
        <w:t xml:space="preserve"> </w:t>
      </w:r>
      <w:proofErr w:type="spellStart"/>
      <w:r w:rsidRPr="00DF4FD4">
        <w:rPr>
          <w:rFonts w:ascii="Times New Roman" w:eastAsia="휴먼명조,한컴돋움"/>
          <w:kern w:val="0"/>
          <w:sz w:val="24"/>
        </w:rPr>
        <w:t>immunostained</w:t>
      </w:r>
      <w:proofErr w:type="spellEnd"/>
      <w:r w:rsidRPr="00DF4FD4">
        <w:rPr>
          <w:rFonts w:ascii="Times New Roman" w:eastAsia="휴먼명조,한컴돋움"/>
          <w:kern w:val="0"/>
          <w:sz w:val="24"/>
        </w:rPr>
        <w:t xml:space="preserve"> with AR antibody (green). </w:t>
      </w:r>
      <w:r w:rsidRPr="00DF4FD4">
        <w:rPr>
          <w:rFonts w:ascii="Times New Roman" w:eastAsia="휴먼명조,한컴돋움"/>
          <w:bCs/>
          <w:kern w:val="0"/>
          <w:sz w:val="24"/>
        </w:rPr>
        <w:t>Corresponding DAPI nuclear staining is also shown (blue).</w:t>
      </w:r>
      <w:r w:rsidRPr="00DF4FD4">
        <w:rPr>
          <w:rFonts w:ascii="Times New Roman" w:eastAsia="휴먼명조,한컴돋움" w:hint="eastAsia"/>
          <w:bCs/>
          <w:kern w:val="0"/>
          <w:sz w:val="24"/>
        </w:rPr>
        <w:t xml:space="preserve"> </w:t>
      </w:r>
      <w:r w:rsidRPr="00DF4FD4">
        <w:rPr>
          <w:rFonts w:ascii="Times New Roman" w:eastAsia="휴먼명조,한컴돋움" w:hint="eastAsia"/>
          <w:kern w:val="0"/>
          <w:sz w:val="24"/>
        </w:rPr>
        <w:t xml:space="preserve"> </w:t>
      </w:r>
    </w:p>
    <w:p w14:paraId="31ED32A9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/>
          <w:color w:val="FF0000"/>
          <w:kern w:val="0"/>
          <w:sz w:val="24"/>
        </w:rPr>
      </w:pPr>
    </w:p>
    <w:p w14:paraId="73BD4F70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Cs/>
          <w:color w:val="000000"/>
          <w:kern w:val="0"/>
          <w:sz w:val="24"/>
        </w:rPr>
      </w:pPr>
      <w:r w:rsidRPr="00DF4FD4">
        <w:rPr>
          <w:rFonts w:ascii="Times New Roman" w:eastAsia="휴먼명조,한컴돋움"/>
          <w:b/>
          <w:kern w:val="0"/>
          <w:sz w:val="24"/>
        </w:rPr>
        <w:t>Figure S4. Effects of dexamethasone (DEX) on KI67 and TUNEL staining in human hair follicles</w:t>
      </w:r>
      <w:r w:rsidRPr="00DF4FD4">
        <w:rPr>
          <w:rFonts w:ascii="Times New Roman" w:eastAsia="휴먼명조,한컴돋움"/>
          <w:b/>
          <w:bCs/>
          <w:color w:val="000000"/>
          <w:kern w:val="0"/>
          <w:sz w:val="24"/>
        </w:rPr>
        <w:t>.</w:t>
      </w:r>
      <w:r w:rsidRPr="00DF4FD4">
        <w:rPr>
          <w:rFonts w:ascii="Times New Roman" w:eastAsia="휴먼명조,한컴돋움"/>
          <w:bCs/>
          <w:color w:val="000000"/>
          <w:kern w:val="0"/>
          <w:sz w:val="24"/>
        </w:rPr>
        <w:t xml:space="preserve"> Human hair follicles were</w:t>
      </w:r>
      <w:r w:rsidRPr="00DF4FD4">
        <w:rPr>
          <w:rFonts w:ascii="Times New Roman" w:eastAsia="휴먼명조,한컴돋움" w:hint="eastAsia"/>
          <w:bCs/>
          <w:color w:val="000000"/>
          <w:kern w:val="0"/>
          <w:sz w:val="24"/>
        </w:rPr>
        <w:t xml:space="preserve"> </w:t>
      </w:r>
      <w:r w:rsidRPr="00DF4FD4">
        <w:rPr>
          <w:rFonts w:ascii="Times New Roman" w:eastAsia="휴먼명조,한컴돋움"/>
          <w:bCs/>
          <w:color w:val="000000"/>
          <w:kern w:val="0"/>
          <w:sz w:val="24"/>
        </w:rPr>
        <w:t xml:space="preserve">treated in the absence (left panel) or presence of 100 </w:t>
      </w:r>
      <w:proofErr w:type="spellStart"/>
      <w:r w:rsidRPr="00DF4FD4">
        <w:rPr>
          <w:rFonts w:ascii="Times New Roman" w:eastAsia="휴먼명조,한컴돋움"/>
          <w:bCs/>
          <w:color w:val="000000"/>
          <w:kern w:val="0"/>
          <w:sz w:val="24"/>
        </w:rPr>
        <w:t>nM</w:t>
      </w:r>
      <w:proofErr w:type="spellEnd"/>
      <w:r w:rsidRPr="00DF4FD4">
        <w:rPr>
          <w:rFonts w:ascii="Times New Roman" w:eastAsia="휴먼명조,한컴돋움"/>
          <w:bCs/>
          <w:color w:val="000000"/>
          <w:kern w:val="0"/>
          <w:sz w:val="24"/>
        </w:rPr>
        <w:t xml:space="preserve"> DEX (right panel) for </w:t>
      </w:r>
      <w:r w:rsidRPr="00DF4FD4">
        <w:rPr>
          <w:rFonts w:ascii="Times New Roman" w:eastAsia="휴먼명조,한컴돋움" w:hint="eastAsia"/>
          <w:bCs/>
          <w:color w:val="000000"/>
          <w:kern w:val="0"/>
          <w:sz w:val="24"/>
        </w:rPr>
        <w:t>4</w:t>
      </w:r>
      <w:r w:rsidRPr="00DF4FD4">
        <w:rPr>
          <w:rFonts w:ascii="Times New Roman" w:eastAsia="휴먼명조,한컴돋움"/>
          <w:bCs/>
          <w:color w:val="000000"/>
          <w:kern w:val="0"/>
          <w:sz w:val="24"/>
        </w:rPr>
        <w:t xml:space="preserve"> days and stained with KI67 (red) and TUNEL (green) immunofluorescence staining. Corresponding</w:t>
      </w:r>
      <w:r w:rsidRPr="00DF4FD4">
        <w:rPr>
          <w:rFonts w:ascii="Times New Roman" w:eastAsia="휴먼명조,한컴돋움" w:hint="eastAsia"/>
          <w:bCs/>
          <w:color w:val="000000"/>
          <w:kern w:val="0"/>
          <w:sz w:val="24"/>
        </w:rPr>
        <w:t xml:space="preserve"> </w:t>
      </w:r>
      <w:r w:rsidRPr="00DF4FD4">
        <w:rPr>
          <w:rFonts w:ascii="Times New Roman" w:eastAsia="휴먼명조,한컴돋움"/>
          <w:bCs/>
          <w:color w:val="000000"/>
          <w:kern w:val="0"/>
          <w:sz w:val="24"/>
        </w:rPr>
        <w:t>4,6-diamidino-2-phenylindole (DAPI) nuclear staining is also shown (blue).</w:t>
      </w:r>
    </w:p>
    <w:p w14:paraId="409D77EB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Cs/>
          <w:color w:val="000000"/>
          <w:kern w:val="0"/>
          <w:sz w:val="24"/>
        </w:rPr>
      </w:pPr>
    </w:p>
    <w:p w14:paraId="740E5280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</w:pPr>
      <w:r w:rsidRPr="00DF4FD4">
        <w:rPr>
          <w:rFonts w:ascii="Times New Roman" w:eastAsia="휴먼명조,한컴돋움"/>
          <w:b/>
          <w:kern w:val="0"/>
          <w:sz w:val="24"/>
        </w:rPr>
        <w:t>Figure S</w:t>
      </w:r>
      <w:r w:rsidRPr="00DF4FD4">
        <w:rPr>
          <w:rFonts w:ascii="Times New Roman" w:eastAsia="휴먼명조,한컴돋움" w:hint="eastAsia"/>
          <w:b/>
          <w:kern w:val="0"/>
          <w:sz w:val="24"/>
        </w:rPr>
        <w:t>5</w:t>
      </w:r>
      <w:r w:rsidRPr="00DF4FD4">
        <w:rPr>
          <w:rFonts w:ascii="Times New Roman" w:eastAsia="휴먼명조,한컴돋움"/>
          <w:b/>
          <w:kern w:val="0"/>
          <w:sz w:val="24"/>
        </w:rPr>
        <w:t xml:space="preserve">. </w:t>
      </w:r>
      <w:r w:rsidRPr="00DF4FD4">
        <w:rPr>
          <w:rFonts w:ascii="Times New Roman" w:eastAsia="함초롬바탕" w:hAnsi="Times New Roman" w:cs="Times New Roman"/>
          <w:b/>
          <w:sz w:val="24"/>
          <w:szCs w:val="24"/>
        </w:rPr>
        <w:t xml:space="preserve">Effect of </w:t>
      </w:r>
      <w:r w:rsidRPr="00DF4FD4">
        <w:rPr>
          <w:rFonts w:ascii="Times New Roman" w:eastAsia="휴먼명조,한컴돋움"/>
          <w:b/>
          <w:kern w:val="0"/>
          <w:sz w:val="24"/>
        </w:rPr>
        <w:t>dexamethasone</w:t>
      </w:r>
      <w:r w:rsidRPr="00DF4FD4">
        <w:rPr>
          <w:rFonts w:ascii="Times New Roman" w:eastAsia="함초롬바탕" w:hAnsi="Times New Roman" w:cs="Times New Roman"/>
          <w:b/>
          <w:sz w:val="24"/>
          <w:szCs w:val="24"/>
        </w:rPr>
        <w:t xml:space="preserve"> (DEX) on the activity of androgen receptor (AR)</w:t>
      </w:r>
      <w:r w:rsidRPr="00DF4FD4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 </w:t>
      </w:r>
      <w:r w:rsidRPr="00DF4FD4">
        <w:rPr>
          <w:rFonts w:ascii="Times New Roman" w:eastAsia="함초롬바탕" w:hAnsi="Times New Roman" w:cs="Times New Roman"/>
          <w:b/>
          <w:sz w:val="24"/>
          <w:szCs w:val="24"/>
        </w:rPr>
        <w:t xml:space="preserve">in </w:t>
      </w:r>
      <w:r w:rsidRPr="00DF4FD4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human </w:t>
      </w:r>
      <w:r w:rsidRPr="00DF4FD4">
        <w:rPr>
          <w:rFonts w:ascii="Times New Roman" w:eastAsia="함초롬바탕" w:hAnsi="Times New Roman" w:cs="Times New Roman"/>
          <w:b/>
          <w:sz w:val="24"/>
          <w:szCs w:val="24"/>
        </w:rPr>
        <w:t>non-balding hair follicles.</w:t>
      </w:r>
      <w:r w:rsidRPr="00DF4FD4">
        <w:rPr>
          <w:rFonts w:ascii="Times New Roman"/>
          <w:b/>
          <w:sz w:val="24"/>
        </w:rPr>
        <w:t xml:space="preserve"> </w:t>
      </w:r>
      <w:r w:rsidRPr="00DF4FD4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Human non-balding hair follicles were treated with 100 </w:t>
      </w:r>
      <w:proofErr w:type="spellStart"/>
      <w:r w:rsidRPr="00DF4FD4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DF4FD4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DEX for 48h, followed by immunostaining to examine the induction of AR (green). DAPI nuclear staining was</w:t>
      </w:r>
      <w:r w:rsidRPr="00DF4FD4">
        <w:rPr>
          <w:rFonts w:ascii="Times New Roman" w:eastAsia="함초롬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DF4FD4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also performed (blue).</w:t>
      </w:r>
    </w:p>
    <w:p w14:paraId="647FFA6C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휴먼명조,한컴돋움"/>
          <w:bCs/>
          <w:color w:val="000000"/>
          <w:kern w:val="0"/>
          <w:sz w:val="24"/>
        </w:rPr>
      </w:pPr>
    </w:p>
    <w:p w14:paraId="1CB7003E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/>
          <w:color w:val="000000"/>
          <w:sz w:val="24"/>
        </w:rPr>
      </w:pPr>
      <w:r w:rsidRPr="00DF4FD4">
        <w:rPr>
          <w:rFonts w:ascii="Times New Roman" w:eastAsia="휴먼명조,한컴돋움"/>
          <w:b/>
          <w:kern w:val="0"/>
          <w:sz w:val="24"/>
        </w:rPr>
        <w:lastRenderedPageBreak/>
        <w:t xml:space="preserve">Figure S6. Effect of dexamethasone (DEX) on the hair cycle in mouse. </w:t>
      </w:r>
      <w:r w:rsidRPr="00DF4FD4">
        <w:rPr>
          <w:rFonts w:ascii="Times New Roman"/>
          <w:color w:val="000000"/>
          <w:sz w:val="24"/>
        </w:rPr>
        <w:t>C57BL/6 mice in the anagen stage were treated with DEX for 4 days.</w:t>
      </w:r>
      <w:r w:rsidRPr="00DF4FD4">
        <w:rPr>
          <w:rFonts w:ascii="Times New Roman" w:hint="eastAsia"/>
          <w:color w:val="000000"/>
          <w:sz w:val="24"/>
        </w:rPr>
        <w:t xml:space="preserve"> </w:t>
      </w:r>
      <w:r w:rsidRPr="00DF4FD4">
        <w:rPr>
          <w:rFonts w:ascii="Times New Roman"/>
          <w:color w:val="000000"/>
          <w:sz w:val="24"/>
        </w:rPr>
        <w:t>The skin samples were stained with</w:t>
      </w:r>
      <w:r w:rsidRPr="00DF4FD4">
        <w:rPr>
          <w:rFonts w:ascii="Times New Roman" w:hint="eastAsia"/>
          <w:color w:val="000000"/>
          <w:sz w:val="24"/>
        </w:rPr>
        <w:t xml:space="preserve"> </w:t>
      </w:r>
      <w:r w:rsidRPr="00DF4FD4">
        <w:rPr>
          <w:rFonts w:ascii="Times New Roman"/>
          <w:color w:val="000000"/>
          <w:sz w:val="24"/>
        </w:rPr>
        <w:t>hematoxylin and eosin.</w:t>
      </w:r>
    </w:p>
    <w:p w14:paraId="3390F96E" w14:textId="77777777" w:rsidR="00014289" w:rsidRPr="00DF4FD4" w:rsidRDefault="00014289" w:rsidP="00014289">
      <w:pPr>
        <w:widowControl/>
        <w:wordWrap/>
        <w:autoSpaceDE/>
        <w:autoSpaceDN/>
        <w:spacing w:line="480" w:lineRule="auto"/>
        <w:rPr>
          <w:rFonts w:ascii="Times New Roman"/>
          <w:color w:val="000000"/>
          <w:sz w:val="24"/>
        </w:rPr>
      </w:pPr>
    </w:p>
    <w:p w14:paraId="5BBDBF8F" w14:textId="77777777" w:rsidR="00014289" w:rsidRDefault="00014289" w:rsidP="00014289">
      <w:pPr>
        <w:widowControl/>
        <w:wordWrap/>
        <w:autoSpaceDE/>
        <w:autoSpaceDN/>
        <w:spacing w:line="480" w:lineRule="auto"/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</w:pPr>
      <w:r w:rsidRPr="00DF4FD4">
        <w:rPr>
          <w:rFonts w:ascii="Times New Roman" w:eastAsia="휴먼명조,한컴돋움"/>
          <w:b/>
          <w:kern w:val="0"/>
          <w:sz w:val="24"/>
        </w:rPr>
        <w:t xml:space="preserve">Figure S7. Effect of dexamethasone (DEX) on the activity of androgen receptor (AR) in mouse hair follicles </w:t>
      </w:r>
      <w:r w:rsidRPr="00DF4FD4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Mouse were treated with 100 </w:t>
      </w:r>
      <w:proofErr w:type="spellStart"/>
      <w:r w:rsidRPr="00DF4FD4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DF4FD4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 xml:space="preserve"> DEX for 4 days, followed by immunostaining to examine the induction of AR (green). DAPI nuclear staining was</w:t>
      </w:r>
      <w:r w:rsidRPr="00DF4FD4">
        <w:rPr>
          <w:rFonts w:ascii="Times New Roman" w:eastAsia="함초롬바탕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DF4FD4">
        <w:rPr>
          <w:rFonts w:ascii="Times New Roman" w:eastAsia="함초롬바탕" w:hAnsi="Times New Roman" w:cs="Times New Roman"/>
          <w:color w:val="000000" w:themeColor="text1"/>
          <w:sz w:val="24"/>
          <w:szCs w:val="24"/>
        </w:rPr>
        <w:t>also performed (blue).</w:t>
      </w:r>
    </w:p>
    <w:p w14:paraId="196ABF8C" w14:textId="77777777" w:rsidR="008D4B52" w:rsidRDefault="008D4B52"/>
    <w:sectPr w:rsidR="008D4B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휴먼명조,한컴돋움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89"/>
    <w:rsid w:val="00014289"/>
    <w:rsid w:val="00511072"/>
    <w:rsid w:val="008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5B31"/>
  <w15:chartTrackingRefBased/>
  <w15:docId w15:val="{D31FAAC3-BEC0-444A-B471-93B1DEA8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8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Shearing</cp:lastModifiedBy>
  <cp:revision>2</cp:revision>
  <dcterms:created xsi:type="dcterms:W3CDTF">2022-05-12T12:46:00Z</dcterms:created>
  <dcterms:modified xsi:type="dcterms:W3CDTF">2022-05-12T12:46:00Z</dcterms:modified>
</cp:coreProperties>
</file>