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EC563" w14:textId="77777777" w:rsidR="005B0313" w:rsidRPr="0057210B" w:rsidRDefault="005B0313">
      <w:pPr>
        <w:rPr>
          <w:noProof/>
          <w:color w:val="000000" w:themeColor="text1"/>
        </w:rPr>
      </w:pPr>
    </w:p>
    <w:p w14:paraId="1A342802" w14:textId="22EE1BEB" w:rsidR="00EC226F" w:rsidRPr="0057210B" w:rsidRDefault="00D5347A">
      <w:pPr>
        <w:rPr>
          <w:color w:val="000000" w:themeColor="text1"/>
        </w:rPr>
      </w:pPr>
      <w:r w:rsidRPr="0057210B">
        <w:rPr>
          <w:noProof/>
          <w:color w:val="000000" w:themeColor="text1"/>
        </w:rPr>
        <w:t xml:space="preserve"> </w:t>
      </w:r>
      <w:r w:rsidRPr="0057210B">
        <w:rPr>
          <w:noProof/>
          <w:color w:val="000000" w:themeColor="text1"/>
        </w:rPr>
        <w:drawing>
          <wp:inline distT="0" distB="0" distL="0" distR="0" wp14:anchorId="76CAA7EB" wp14:editId="00C843C7">
            <wp:extent cx="5486400" cy="1420495"/>
            <wp:effectExtent l="0" t="0" r="0" b="1905"/>
            <wp:docPr id="2" name="图片 2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墙上挂着一幅画&#10;&#10;中度可信度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3D45" w14:textId="3788EB1A" w:rsidR="001874BE" w:rsidRPr="0057210B" w:rsidRDefault="00EC226F" w:rsidP="00EC226F">
      <w:pPr>
        <w:rPr>
          <w:rFonts w:ascii="Times New Roman" w:hAnsi="Times New Roman" w:cs="Times New Roman"/>
          <w:color w:val="000000" w:themeColor="text1"/>
        </w:rPr>
      </w:pPr>
      <w:r w:rsidRPr="0057210B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1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57210B">
        <w:rPr>
          <w:rFonts w:ascii="Times New Roman" w:hAnsi="Times New Roman" w:cs="Times New Roman"/>
          <w:color w:val="000000" w:themeColor="text1"/>
        </w:rPr>
        <w:t xml:space="preserve"> Graphs and schematic illustrations of employing deep-learning models.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Perform the deep learning model on the PAS slices (all glomeruli were identified). The cyan parts are the identified areas.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Perform the deep learning model on the slices (all </w:t>
      </w:r>
      <w:r w:rsidR="00D5347A" w:rsidRPr="0057210B">
        <w:rPr>
          <w:rFonts w:ascii="Times New Roman" w:hAnsi="Times New Roman" w:cs="Times New Roman"/>
          <w:color w:val="000000" w:themeColor="text1"/>
        </w:rPr>
        <w:t>renal</w:t>
      </w:r>
      <w:r w:rsidRPr="0057210B">
        <w:rPr>
          <w:rFonts w:ascii="Times New Roman" w:hAnsi="Times New Roman" w:cs="Times New Roman"/>
          <w:color w:val="000000" w:themeColor="text1"/>
        </w:rPr>
        <w:t xml:space="preserve"> </w:t>
      </w:r>
      <w:r w:rsidR="00D5347A" w:rsidRPr="0057210B">
        <w:rPr>
          <w:rFonts w:ascii="Times New Roman" w:hAnsi="Times New Roman" w:cs="Times New Roman"/>
          <w:color w:val="000000" w:themeColor="text1"/>
        </w:rPr>
        <w:t xml:space="preserve">nuclei </w:t>
      </w:r>
      <w:r w:rsidRPr="0057210B">
        <w:rPr>
          <w:rFonts w:ascii="Times New Roman" w:hAnsi="Times New Roman" w:cs="Times New Roman"/>
          <w:color w:val="000000" w:themeColor="text1"/>
        </w:rPr>
        <w:t xml:space="preserve">were identified). The magenta parts are the identified areas.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c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Perform measurement in the region of interest (ROI) for the identified glomerulus and nucleus. The glomerular model is used to provide a regional ROI for counting; the nucleus model is used to count all nuclei within the ROI.</w:t>
      </w:r>
    </w:p>
    <w:p w14:paraId="0EBB4A70" w14:textId="77777777" w:rsidR="001874BE" w:rsidRPr="0057210B" w:rsidRDefault="001874BE">
      <w:pPr>
        <w:rPr>
          <w:rFonts w:ascii="Times New Roman" w:hAnsi="Times New Roman" w:cs="Times New Roman"/>
          <w:color w:val="000000" w:themeColor="text1"/>
        </w:rPr>
      </w:pPr>
      <w:r w:rsidRPr="0057210B">
        <w:rPr>
          <w:rFonts w:ascii="Times New Roman" w:hAnsi="Times New Roman" w:cs="Times New Roman"/>
          <w:color w:val="000000" w:themeColor="text1"/>
        </w:rPr>
        <w:br w:type="page"/>
      </w:r>
    </w:p>
    <w:p w14:paraId="68BE5114" w14:textId="77777777" w:rsidR="001874BE" w:rsidRPr="0057210B" w:rsidRDefault="001874BE" w:rsidP="001874BE">
      <w:pPr>
        <w:jc w:val="center"/>
        <w:rPr>
          <w:noProof/>
          <w:color w:val="000000" w:themeColor="text1"/>
        </w:rPr>
      </w:pPr>
      <w:r w:rsidRPr="0057210B">
        <w:rPr>
          <w:noProof/>
          <w:color w:val="000000" w:themeColor="text1"/>
        </w:rPr>
        <w:lastRenderedPageBreak/>
        <w:drawing>
          <wp:inline distT="0" distB="0" distL="0" distR="0" wp14:anchorId="69FD9E20" wp14:editId="41A8179A">
            <wp:extent cx="5504873" cy="5710280"/>
            <wp:effectExtent l="0" t="0" r="0" b="508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610" cy="57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5576" w14:textId="77777777" w:rsidR="001874BE" w:rsidRPr="0057210B" w:rsidRDefault="001874BE" w:rsidP="001874BE">
      <w:pPr>
        <w:rPr>
          <w:noProof/>
          <w:color w:val="000000" w:themeColor="text1"/>
        </w:rPr>
      </w:pPr>
    </w:p>
    <w:p w14:paraId="7A9090F7" w14:textId="77777777" w:rsidR="001874BE" w:rsidRPr="0057210B" w:rsidRDefault="001874BE" w:rsidP="001874BE">
      <w:pPr>
        <w:rPr>
          <w:rFonts w:ascii="Times New Roman" w:hAnsi="Times New Roman" w:cs="Times New Roman"/>
          <w:b/>
          <w:bCs/>
          <w:color w:val="000000" w:themeColor="text1"/>
        </w:rPr>
      </w:pPr>
      <w:r w:rsidRPr="0057210B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upplementary figure 2: The training information of CNN model.</w:t>
      </w:r>
      <w:r w:rsidRPr="0057210B">
        <w:rPr>
          <w:rFonts w:ascii="Times New Roman" w:hAnsi="Times New Roman" w:cs="Times New Roman" w:hint="eastAsia"/>
          <w:b/>
          <w:bCs/>
          <w:color w:val="000000" w:themeColor="text1"/>
        </w:rPr>
        <w:t xml:space="preserve"> 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 xml:space="preserve">a. The </w:t>
      </w:r>
      <w:proofErr w:type="spellStart"/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IoU</w:t>
      </w:r>
      <w:proofErr w:type="spellEnd"/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 xml:space="preserve"> curve and training loss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changes of glomeruli recognition with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the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training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progress.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</w:t>
      </w:r>
    </w:p>
    <w:p w14:paraId="171652A9" w14:textId="77777777" w:rsidR="001874BE" w:rsidRPr="0057210B" w:rsidRDefault="001874BE" w:rsidP="001874BE">
      <w:pPr>
        <w:rPr>
          <w:rFonts w:ascii="Times New Roman" w:hAnsi="Times New Roman" w:cs="Times New Roman"/>
          <w:b/>
          <w:bCs/>
          <w:color w:val="000000" w:themeColor="text1"/>
        </w:rPr>
      </w:pPr>
      <w:r w:rsidRPr="0057210B">
        <w:rPr>
          <w:rFonts w:ascii="Times New Roman" w:hAnsi="Times New Roman" w:cs="Times New Roman" w:hint="eastAsia"/>
          <w:b/>
          <w:bCs/>
          <w:color w:val="000000" w:themeColor="text1"/>
        </w:rPr>
        <w:t>b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 xml:space="preserve">The </w:t>
      </w:r>
      <w:proofErr w:type="spellStart"/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IoU</w:t>
      </w:r>
      <w:proofErr w:type="spellEnd"/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 xml:space="preserve"> curve and training loss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changes of nuclei recognition with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the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training</w:t>
      </w:r>
      <w:r w:rsidRPr="0057210B">
        <w:rPr>
          <w:rFonts w:ascii="Times New Roman" w:eastAsia="宋体" w:hAnsi="Times New Roman" w:cs="Times New Roman"/>
          <w:color w:val="000000" w:themeColor="text1"/>
          <w:shd w:val="clear" w:color="auto" w:fill="FFFFFF"/>
          <w:lang w:eastAsia="zh-CN"/>
        </w:rPr>
        <w:t> </w:t>
      </w:r>
      <w:r w:rsidRPr="0057210B">
        <w:rPr>
          <w:rFonts w:ascii="Times New Roman" w:eastAsia="宋体" w:hAnsi="Times New Roman" w:cs="Times New Roman"/>
          <w:color w:val="000000" w:themeColor="text1"/>
          <w:bdr w:val="none" w:sz="0" w:space="0" w:color="auto" w:frame="1"/>
          <w:shd w:val="clear" w:color="auto" w:fill="FFFFFF"/>
          <w:lang w:eastAsia="zh-CN"/>
        </w:rPr>
        <w:t>progress.</w:t>
      </w:r>
    </w:p>
    <w:p w14:paraId="111E4AD5" w14:textId="15B2473C" w:rsidR="00EC226F" w:rsidRPr="0057210B" w:rsidRDefault="001874BE">
      <w:pPr>
        <w:rPr>
          <w:color w:val="000000" w:themeColor="text1"/>
        </w:rPr>
      </w:pPr>
      <w:r w:rsidRPr="0057210B">
        <w:rPr>
          <w:noProof/>
          <w:color w:val="000000" w:themeColor="text1"/>
        </w:rPr>
        <w:br w:type="page"/>
      </w:r>
    </w:p>
    <w:p w14:paraId="1E215925" w14:textId="77777777" w:rsidR="00EC226F" w:rsidRPr="0057210B" w:rsidRDefault="00EC226F">
      <w:pPr>
        <w:rPr>
          <w:color w:val="000000" w:themeColor="text1"/>
        </w:rPr>
      </w:pPr>
    </w:p>
    <w:p w14:paraId="2F5CA21D" w14:textId="0E23EA6F" w:rsidR="00BE298A" w:rsidRPr="0057210B" w:rsidRDefault="009529CA">
      <w:pPr>
        <w:rPr>
          <w:color w:val="000000" w:themeColor="text1"/>
        </w:rPr>
      </w:pPr>
      <w:r w:rsidRPr="0057210B">
        <w:rPr>
          <w:noProof/>
          <w:color w:val="000000" w:themeColor="text1"/>
        </w:rPr>
        <w:drawing>
          <wp:inline distT="0" distB="0" distL="0" distR="0" wp14:anchorId="12E54FB6" wp14:editId="2029B34A">
            <wp:extent cx="5486400" cy="4842510"/>
            <wp:effectExtent l="0" t="0" r="0" b="0"/>
            <wp:docPr id="3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折线图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C151" w14:textId="471E1FA5" w:rsidR="00EC226F" w:rsidRPr="0057210B" w:rsidRDefault="00EC226F" w:rsidP="00EC226F">
      <w:pPr>
        <w:rPr>
          <w:rFonts w:ascii="Times New Roman" w:hAnsi="Times New Roman" w:cs="Times New Roman"/>
          <w:color w:val="000000" w:themeColor="text1"/>
        </w:rPr>
      </w:pPr>
      <w:r w:rsidRPr="0057210B">
        <w:rPr>
          <w:rFonts w:ascii="Times New Roman" w:hAnsi="Times New Roman" w:cs="Times New Roman" w:hint="eastAsia"/>
          <w:b/>
          <w:bCs/>
          <w:color w:val="000000" w:themeColor="text1"/>
        </w:rPr>
        <w:t>S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 xml:space="preserve">upplementary figure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57210B">
        <w:rPr>
          <w:rFonts w:ascii="Times New Roman" w:hAnsi="Times New Roman" w:cs="Times New Roman"/>
          <w:color w:val="000000" w:themeColor="text1"/>
        </w:rPr>
        <w:t xml:space="preserve"> The features extraction consistency analysis.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57210B">
        <w:rPr>
          <w:rFonts w:ascii="Times New Roman" w:hAnsi="Times New Roman" w:cs="Times New Roman"/>
          <w:color w:val="000000" w:themeColor="text1"/>
        </w:rPr>
        <w:t xml:space="preserve">Concordance between perimeters estimated by CNN model and the pathologist.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Bland-Altman plot for perimeter estimation.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c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Concordance between the number of objects estimated by CNN model and the pathologist. </w:t>
      </w:r>
      <w:r w:rsidR="001874BE" w:rsidRPr="0057210B">
        <w:rPr>
          <w:rFonts w:ascii="Times New Roman" w:hAnsi="Times New Roman" w:cs="Times New Roman"/>
          <w:b/>
          <w:bCs/>
          <w:color w:val="000000" w:themeColor="text1"/>
        </w:rPr>
        <w:t>d</w:t>
      </w:r>
      <w:r w:rsidRPr="0057210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57210B">
        <w:rPr>
          <w:rFonts w:ascii="Times New Roman" w:hAnsi="Times New Roman" w:cs="Times New Roman"/>
          <w:color w:val="000000" w:themeColor="text1"/>
        </w:rPr>
        <w:t xml:space="preserve"> Bland-Altman plot for the number of objects estimation.</w:t>
      </w:r>
    </w:p>
    <w:p w14:paraId="62D400D9" w14:textId="31ABEF9D" w:rsidR="00EC226F" w:rsidRPr="0057210B" w:rsidRDefault="00EC226F">
      <w:pPr>
        <w:rPr>
          <w:color w:val="000000" w:themeColor="text1"/>
        </w:rPr>
      </w:pPr>
      <w:r w:rsidRPr="0057210B">
        <w:rPr>
          <w:color w:val="000000" w:themeColor="text1"/>
        </w:rPr>
        <w:br w:type="page"/>
      </w:r>
    </w:p>
    <w:p w14:paraId="2C1422A4" w14:textId="1D384A3B" w:rsidR="00EC226F" w:rsidRPr="0057210B" w:rsidRDefault="00EC226F">
      <w:pPr>
        <w:rPr>
          <w:rFonts w:ascii="Times New Roman" w:eastAsia="宋体" w:hAnsi="Times New Roman" w:cs="Times New Roman"/>
          <w:b/>
          <w:bCs/>
          <w:color w:val="000000" w:themeColor="text1"/>
          <w:szCs w:val="21"/>
          <w:lang w:eastAsia="zh-CN"/>
        </w:rPr>
      </w:pPr>
      <w:r w:rsidRPr="0057210B">
        <w:rPr>
          <w:rFonts w:ascii="Times New Roman" w:eastAsia="宋体" w:hAnsi="Times New Roman" w:cs="Times New Roman"/>
          <w:b/>
          <w:bCs/>
          <w:color w:val="000000" w:themeColor="text1"/>
          <w:szCs w:val="21"/>
          <w:lang w:eastAsia="zh-CN"/>
        </w:rPr>
        <w:t>Supplementa</w:t>
      </w:r>
      <w:r w:rsidR="00286621" w:rsidRPr="0057210B">
        <w:rPr>
          <w:rFonts w:ascii="Times New Roman" w:eastAsia="宋体" w:hAnsi="Times New Roman" w:cs="Times New Roman"/>
          <w:b/>
          <w:bCs/>
          <w:color w:val="000000" w:themeColor="text1"/>
          <w:szCs w:val="21"/>
          <w:lang w:eastAsia="zh-CN"/>
        </w:rPr>
        <w:t xml:space="preserve">ry table 1. </w:t>
      </w:r>
      <w:r w:rsidR="00286621" w:rsidRPr="0057210B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  <w:lang w:eastAsia="zh-CN"/>
        </w:rPr>
        <w:t>The</w:t>
      </w:r>
      <w:r w:rsidR="00286621" w:rsidRPr="0057210B">
        <w:rPr>
          <w:rFonts w:ascii="Times New Roman" w:eastAsia="宋体" w:hAnsi="Times New Roman" w:cs="Times New Roman"/>
          <w:b/>
          <w:bCs/>
          <w:color w:val="000000" w:themeColor="text1"/>
          <w:szCs w:val="21"/>
          <w:lang w:eastAsia="zh-CN"/>
        </w:rPr>
        <w:t xml:space="preserve"> list of abbreviations of all significant features.</w:t>
      </w:r>
    </w:p>
    <w:p w14:paraId="13846F03" w14:textId="77777777" w:rsidR="00286621" w:rsidRPr="0057210B" w:rsidRDefault="00286621">
      <w:pPr>
        <w:rPr>
          <w:color w:val="000000" w:themeColor="text1"/>
        </w:rPr>
      </w:pPr>
    </w:p>
    <w:tbl>
      <w:tblPr>
        <w:tblW w:w="698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5680"/>
        <w:gridCol w:w="1416"/>
      </w:tblGrid>
      <w:tr w:rsidR="0057210B" w:rsidRPr="0057210B" w14:paraId="15A20AD6" w14:textId="77777777" w:rsidTr="00286621">
        <w:trPr>
          <w:trHeight w:val="300"/>
          <w:jc w:val="center"/>
        </w:trPr>
        <w:tc>
          <w:tcPr>
            <w:tcW w:w="5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F621B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result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7982F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abbreviation</w:t>
            </w:r>
          </w:p>
        </w:tc>
      </w:tr>
      <w:tr w:rsidR="0057210B" w:rsidRPr="0057210B" w14:paraId="796A7EFA" w14:textId="77777777" w:rsidTr="00286621">
        <w:trPr>
          <w:trHeight w:val="300"/>
          <w:jc w:val="center"/>
        </w:trPr>
        <w:tc>
          <w:tcPr>
            <w:tcW w:w="568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8663B3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 counts</w:t>
            </w:r>
          </w:p>
        </w:tc>
        <w:tc>
          <w:tcPr>
            <w:tcW w:w="13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AB871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</w:p>
        </w:tc>
      </w:tr>
      <w:tr w:rsidR="0057210B" w:rsidRPr="0057210B" w14:paraId="56E33B1E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596462B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 perimeter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10E9125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</w:p>
        </w:tc>
      </w:tr>
      <w:tr w:rsidR="0057210B" w:rsidRPr="0057210B" w14:paraId="65B39583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65FBF5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 Convex Perimeter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23C7DD2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PC</w:t>
            </w:r>
          </w:p>
        </w:tc>
      </w:tr>
      <w:tr w:rsidR="0057210B" w:rsidRPr="0057210B" w14:paraId="10E1DDC2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357BB39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mean4 mean gray level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A548AC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MGL</w:t>
            </w:r>
          </w:p>
        </w:tc>
      </w:tr>
      <w:tr w:rsidR="0057210B" w:rsidRPr="0057210B" w14:paraId="3EC19736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440504D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mean5 shape factor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9769C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SF</w:t>
            </w:r>
          </w:p>
        </w:tc>
      </w:tr>
      <w:tr w:rsidR="0057210B" w:rsidRPr="0057210B" w14:paraId="7CF0B486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23D2DAF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mean6 convex curvature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281D1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CC</w:t>
            </w:r>
          </w:p>
        </w:tc>
      </w:tr>
      <w:tr w:rsidR="0057210B" w:rsidRPr="0057210B" w14:paraId="4DF726EE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394A694C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mean7 length-width ratio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B662B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LWR</w:t>
            </w:r>
          </w:p>
        </w:tc>
      </w:tr>
      <w:tr w:rsidR="0057210B" w:rsidRPr="0057210B" w14:paraId="33C724D8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1D9D67E2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mean8 Sphericity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A7006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</w:p>
        </w:tc>
      </w:tr>
      <w:tr w:rsidR="0057210B" w:rsidRPr="0057210B" w14:paraId="40D2F76C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79DD397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mean9 Elongation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F3C4D5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</w:p>
        </w:tc>
      </w:tr>
      <w:tr w:rsidR="0057210B" w:rsidRPr="0057210B" w14:paraId="270054E7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786AAE1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mean10 maximum inner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A6A47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MAXID</w:t>
            </w:r>
          </w:p>
        </w:tc>
      </w:tr>
      <w:tr w:rsidR="0057210B" w:rsidRPr="0057210B" w14:paraId="7E5D2B35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52C5FC6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mean11 mean internal diameter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71F1FD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MID</w:t>
            </w:r>
          </w:p>
        </w:tc>
      </w:tr>
      <w:tr w:rsidR="0057210B" w:rsidRPr="0057210B" w14:paraId="4EFFB9A2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574F883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mean12 minimum internal diameter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29787B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MINID</w:t>
            </w:r>
          </w:p>
        </w:tc>
      </w:tr>
      <w:tr w:rsidR="0057210B" w:rsidRPr="0057210B" w14:paraId="6F50B4FB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43816979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mean13 minimum internal equivalent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B816D4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MINIEW</w:t>
            </w:r>
          </w:p>
        </w:tc>
      </w:tr>
      <w:tr w:rsidR="0057210B" w:rsidRPr="0057210B" w14:paraId="2FC9452B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63BE59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mean14 mean internal equivalent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E3949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MIEW</w:t>
            </w:r>
          </w:p>
        </w:tc>
      </w:tr>
      <w:tr w:rsidR="0057210B" w:rsidRPr="0057210B" w14:paraId="5C04FB5E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576F5F4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mean15 minimum distance to the center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A8279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MINDTC</w:t>
            </w:r>
          </w:p>
        </w:tc>
      </w:tr>
      <w:tr w:rsidR="0057210B" w:rsidRPr="0057210B" w14:paraId="24BD24B2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462C219C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mean16 maximum distance to the center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123D0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MAXDTC</w:t>
            </w:r>
          </w:p>
        </w:tc>
      </w:tr>
      <w:tr w:rsidR="0057210B" w:rsidRPr="0057210B" w14:paraId="6DE796F3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73575A4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mean17 mean distance to the center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8EED82A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MDTC</w:t>
            </w:r>
          </w:p>
        </w:tc>
      </w:tr>
      <w:tr w:rsidR="0057210B" w:rsidRPr="0057210B" w14:paraId="07982477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896E45B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mean18 maximum radius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C36F7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MAXR</w:t>
            </w:r>
          </w:p>
        </w:tc>
      </w:tr>
      <w:tr w:rsidR="0057210B" w:rsidRPr="0057210B" w14:paraId="10F9F6F5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72BBA2F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mean19 mean radius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691291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MR</w:t>
            </w:r>
          </w:p>
        </w:tc>
      </w:tr>
      <w:tr w:rsidR="0057210B" w:rsidRPr="0057210B" w14:paraId="1C4D891F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083C3E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mean20 minimum diameter (with an external caliper)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FF903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MINDEC</w:t>
            </w:r>
          </w:p>
        </w:tc>
      </w:tr>
      <w:tr w:rsidR="0057210B" w:rsidRPr="0057210B" w14:paraId="3CD2F195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59221A2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mean21 maximum diameter (with an external caliper)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21269C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MAXDEC</w:t>
            </w:r>
          </w:p>
        </w:tc>
      </w:tr>
      <w:tr w:rsidR="0057210B" w:rsidRPr="0057210B" w14:paraId="1BB3E01D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38AC2D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mean22 mean diameter (with an external caliper)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61602F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MDEC</w:t>
            </w:r>
          </w:p>
        </w:tc>
      </w:tr>
      <w:tr w:rsidR="0057210B" w:rsidRPr="0057210B" w14:paraId="2127718F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5EA987E2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mean23 minimum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8CED0A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MINW</w:t>
            </w:r>
          </w:p>
        </w:tc>
      </w:tr>
      <w:tr w:rsidR="0057210B" w:rsidRPr="0057210B" w14:paraId="4D2A60FB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13C3B1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mean24 maximum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B3A769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MAXW</w:t>
            </w:r>
          </w:p>
        </w:tc>
      </w:tr>
      <w:tr w:rsidR="0057210B" w:rsidRPr="0057210B" w14:paraId="111EDA6B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DD7498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mean25 mean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72CEA21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MW</w:t>
            </w:r>
          </w:p>
        </w:tc>
      </w:tr>
      <w:tr w:rsidR="0057210B" w:rsidRPr="0057210B" w14:paraId="6AABECB2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7ADFA09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mean26 maximum diameter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5E09D5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MAXD</w:t>
            </w:r>
          </w:p>
        </w:tc>
      </w:tr>
      <w:tr w:rsidR="0057210B" w:rsidRPr="0057210B" w14:paraId="4C39BECE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0A44AF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mean27 mean diameter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DCF1ED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MD</w:t>
            </w:r>
          </w:p>
        </w:tc>
      </w:tr>
      <w:tr w:rsidR="0057210B" w:rsidRPr="0057210B" w14:paraId="6015CADB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5E59B708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mean28 maximum equivalent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CF91B6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MAXEW</w:t>
            </w:r>
          </w:p>
        </w:tc>
      </w:tr>
      <w:tr w:rsidR="0057210B" w:rsidRPr="0057210B" w14:paraId="4C4FDEB5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3F14284C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mean29 mean equivalent width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5AC54D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MEW</w:t>
            </w:r>
          </w:p>
        </w:tc>
      </w:tr>
      <w:tr w:rsidR="0057210B" w:rsidRPr="0057210B" w14:paraId="057F17DA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2F1FA763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mean30 mean convex curvature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C654E70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MCC</w:t>
            </w:r>
          </w:p>
        </w:tc>
      </w:tr>
      <w:tr w:rsidR="0057210B" w:rsidRPr="0057210B" w14:paraId="1FF7ECE3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77C2AEBA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mean31 number of classified objects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2B6200B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NCO</w:t>
            </w:r>
          </w:p>
        </w:tc>
      </w:tr>
      <w:tr w:rsidR="0057210B" w:rsidRPr="0057210B" w14:paraId="55047932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05477E5D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mean32 mean perimeter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C75B40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MP</w:t>
            </w:r>
          </w:p>
        </w:tc>
      </w:tr>
      <w:tr w:rsidR="0057210B" w:rsidRPr="0057210B" w14:paraId="7ADDE164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27AA4FED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mean33 number of objects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C90BFE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NO</w:t>
            </w:r>
          </w:p>
        </w:tc>
      </w:tr>
      <w:tr w:rsidR="0057210B" w:rsidRPr="0057210B" w14:paraId="45D70C27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2D1CBC87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mean34 mean shape factor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7962FB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MSF</w:t>
            </w:r>
          </w:p>
        </w:tc>
      </w:tr>
      <w:tr w:rsidR="00EC226F" w:rsidRPr="0057210B" w14:paraId="323EE38A" w14:textId="77777777" w:rsidTr="00286621">
        <w:trPr>
          <w:trHeight w:val="300"/>
          <w:jc w:val="center"/>
        </w:trPr>
        <w:tc>
          <w:tcPr>
            <w:tcW w:w="5680" w:type="dxa"/>
            <w:shd w:val="clear" w:color="auto" w:fill="auto"/>
            <w:noWrap/>
            <w:vAlign w:val="bottom"/>
            <w:hideMark/>
          </w:tcPr>
          <w:p w14:paraId="65FA0D41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mean35 area of region of interest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DB75B1" w14:textId="77777777" w:rsidR="00EC226F" w:rsidRPr="0057210B" w:rsidRDefault="00EC226F" w:rsidP="00EC226F">
            <w:pPr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</w:pPr>
            <w:r w:rsidRPr="0057210B">
              <w:rPr>
                <w:rFonts w:ascii="Times New Roman" w:eastAsia="DengXian" w:hAnsi="Times New Roman" w:cs="Times New Roman"/>
                <w:color w:val="000000" w:themeColor="text1"/>
                <w:lang w:eastAsia="zh-CN"/>
              </w:rPr>
              <w:t>AROI</w:t>
            </w:r>
          </w:p>
        </w:tc>
      </w:tr>
    </w:tbl>
    <w:p w14:paraId="425B320C" w14:textId="77777777" w:rsidR="00EC226F" w:rsidRPr="0057210B" w:rsidRDefault="00EC226F">
      <w:pPr>
        <w:rPr>
          <w:rFonts w:ascii="Times New Roman" w:hAnsi="Times New Roman" w:cs="Times New Roman"/>
          <w:color w:val="000000" w:themeColor="text1"/>
        </w:rPr>
      </w:pPr>
    </w:p>
    <w:sectPr w:rsidR="00EC226F" w:rsidRPr="0057210B" w:rsidSect="009851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98A"/>
    <w:rsid w:val="000B3AFA"/>
    <w:rsid w:val="001874BE"/>
    <w:rsid w:val="001F50B8"/>
    <w:rsid w:val="00286621"/>
    <w:rsid w:val="00341922"/>
    <w:rsid w:val="0057210B"/>
    <w:rsid w:val="005B0313"/>
    <w:rsid w:val="006B6FE4"/>
    <w:rsid w:val="009529CA"/>
    <w:rsid w:val="009851F4"/>
    <w:rsid w:val="00B504D8"/>
    <w:rsid w:val="00BE298A"/>
    <w:rsid w:val="00D5347A"/>
    <w:rsid w:val="00DD27F9"/>
    <w:rsid w:val="00EC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8BD703"/>
  <w14:defaultImageDpi w14:val="300"/>
  <w15:docId w15:val="{3DF229F3-4FB9-D542-8F49-69318B20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D5347A"/>
  </w:style>
  <w:style w:type="character" w:styleId="a4">
    <w:name w:val="Emphasis"/>
    <w:basedOn w:val="a0"/>
    <w:uiPriority w:val="20"/>
    <w:qFormat/>
    <w:rsid w:val="003419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6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367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Coral</dc:creator>
  <cp:keywords/>
  <dc:description/>
  <cp:lastModifiedBy>AF140</cp:lastModifiedBy>
  <cp:revision>3</cp:revision>
  <dcterms:created xsi:type="dcterms:W3CDTF">2022-03-25T12:21:00Z</dcterms:created>
  <dcterms:modified xsi:type="dcterms:W3CDTF">2022-03-25T12:27:00Z</dcterms:modified>
</cp:coreProperties>
</file>