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CBC0" w14:textId="77777777" w:rsidR="00427361" w:rsidRPr="006722AC" w:rsidRDefault="00427361" w:rsidP="00427361">
      <w:pPr>
        <w:pStyle w:val="Heading1"/>
      </w:pPr>
      <w:r w:rsidRPr="006722AC">
        <w:t>Appendix A</w:t>
      </w:r>
    </w:p>
    <w:p w14:paraId="0714621E" w14:textId="77777777" w:rsidR="00427361" w:rsidRPr="006722AC" w:rsidRDefault="00427361" w:rsidP="00427361">
      <w:pPr>
        <w:keepNext/>
        <w:keepLines/>
        <w:spacing w:before="360" w:line="240" w:lineRule="auto"/>
        <w:outlineLvl w:val="1"/>
        <w:rPr>
          <w:rFonts w:eastAsiaTheme="majorEastAsia"/>
          <w:b/>
          <w:sz w:val="28"/>
        </w:rPr>
      </w:pPr>
      <w:r w:rsidRPr="006722AC">
        <w:rPr>
          <w:rFonts w:eastAsiaTheme="majorEastAsia"/>
          <w:b/>
          <w:sz w:val="28"/>
        </w:rPr>
        <w:t>DALY calculation detail</w:t>
      </w:r>
    </w:p>
    <w:p w14:paraId="3404BDEA" w14:textId="77777777" w:rsidR="00427361" w:rsidRPr="006722AC" w:rsidRDefault="00427361" w:rsidP="00427361">
      <w:pPr>
        <w:rPr>
          <w:lang w:val="en-US"/>
        </w:rPr>
      </w:pPr>
      <w:r w:rsidRPr="006722AC">
        <w:rPr>
          <w:lang w:val="en-US"/>
        </w:rPr>
        <w:t>The YLL of a population during a given period is</w:t>
      </w:r>
    </w:p>
    <w:p w14:paraId="34F68982" w14:textId="77777777" w:rsidR="00427361" w:rsidRPr="006722AC" w:rsidRDefault="00427361" w:rsidP="00427361">
      <w:pPr>
        <w:rPr>
          <w:lang w:val="en-US"/>
        </w:rPr>
      </w:pPr>
    </w:p>
    <w:p w14:paraId="71060F59" w14:textId="77777777" w:rsidR="00427361" w:rsidRPr="006722AC" w:rsidRDefault="004679D8" w:rsidP="00427361">
      <w:pPr>
        <w:rPr>
          <w:rFonts w:eastAsiaTheme="minorEastAsia"/>
        </w:rPr>
      </w:pPr>
      <m:oMathPara>
        <m:oMath>
          <m:eqArr>
            <m:eqArrPr>
              <m:maxDist m:val="1"/>
              <m:ctrlPr>
                <w:rPr>
                  <w:rFonts w:ascii="Cambria Math" w:hAnsi="Cambria Math"/>
                </w:rPr>
              </m:ctrlPr>
            </m:eqArrPr>
            <m:e>
              <m:r>
                <w:rPr>
                  <w:rFonts w:ascii="Cambria Math" w:hAnsi="Cambria Math"/>
                </w:rPr>
                <m:t>YLL</m:t>
              </m:r>
              <m:r>
                <m:rPr>
                  <m:sty m:val="p"/>
                </m:rPr>
                <w:rPr>
                  <w:rFonts w:ascii="Cambria Math" w:hAnsi="Cambria Math"/>
                </w:rPr>
                <m:t>=</m:t>
              </m:r>
              <m:r>
                <w:rPr>
                  <w:rFonts w:ascii="Cambria Math" w:hAnsi="Cambria Math"/>
                </w:rPr>
                <m:t>N</m:t>
              </m:r>
              <m:r>
                <m:rPr>
                  <m:sty m:val="p"/>
                </m:rPr>
                <w:rPr>
                  <w:rFonts w:ascii="Cambria Math" w:hAnsi="Cambria Math"/>
                </w:rPr>
                <m:t xml:space="preserve">* </m:t>
              </m:r>
              <m:r>
                <w:rPr>
                  <w:rFonts w:ascii="Cambria Math" w:hAnsi="Cambria Math"/>
                </w:rPr>
                <m:t>L</m:t>
              </m:r>
              <m:r>
                <m:rPr>
                  <m:sty m:val="p"/>
                </m:rPr>
                <w:rPr>
                  <w:rFonts w:ascii="Cambria Math" w:hAnsi="Cambria Math"/>
                </w:rPr>
                <m:t>,#</m:t>
              </m:r>
              <m:d>
                <m:dPr>
                  <m:ctrlPr>
                    <w:rPr>
                      <w:rFonts w:ascii="Cambria Math" w:hAnsi="Cambria Math"/>
                    </w:rPr>
                  </m:ctrlPr>
                </m:dPr>
                <m:e>
                  <m:r>
                    <w:rPr>
                      <w:rFonts w:ascii="Cambria Math" w:hAnsi="Cambria Math"/>
                    </w:rPr>
                    <m:t>B</m:t>
                  </m:r>
                </m:e>
              </m:d>
            </m:e>
          </m:eqArr>
        </m:oMath>
      </m:oMathPara>
    </w:p>
    <w:p w14:paraId="1087C258" w14:textId="77777777" w:rsidR="00427361" w:rsidRPr="006722AC" w:rsidRDefault="00427361" w:rsidP="00427361"/>
    <w:p w14:paraId="43376AEF" w14:textId="60E3E8F1" w:rsidR="00427361" w:rsidRPr="006722AC" w:rsidRDefault="00427361" w:rsidP="00427361">
      <w:r w:rsidRPr="006722AC">
        <w:rPr>
          <w:rFonts w:eastAsiaTheme="minorEastAsia"/>
          <w:lang w:val="en-US"/>
        </w:rPr>
        <w:t xml:space="preserve">where </w:t>
      </w:r>
      <w:r w:rsidRPr="006722AC">
        <w:rPr>
          <w:lang w:val="en-US"/>
        </w:rPr>
        <w:t xml:space="preserve">N is the number of deaths in the population, and L is the population's average remaining life expectancy, in years, at the age of death. Total number of IBD deaths was obtained from the NHS hospital Diagnosis-related group (DRG) database from 2016. The split between UC and CD was calculated using a published mortality ratio for both UC and CD, which was weighted according to IBD population distribution </w:t>
      </w:r>
      <w:r w:rsidR="006722AC">
        <w:t>[24–26]</w:t>
      </w:r>
      <w:r w:rsidRPr="006722AC">
        <w:t xml:space="preserve">. A population’s average remaining life expectancy is </w:t>
      </w:r>
    </w:p>
    <w:p w14:paraId="400E18CF" w14:textId="77777777" w:rsidR="00427361" w:rsidRPr="006722AC" w:rsidRDefault="00427361" w:rsidP="00427361"/>
    <w:p w14:paraId="77DA89B3" w14:textId="77777777" w:rsidR="00427361" w:rsidRPr="006722AC" w:rsidRDefault="004679D8" w:rsidP="00427361">
      <m:oMathPara>
        <m:oMath>
          <m:eqArr>
            <m:eqArrPr>
              <m:maxDist m:val="1"/>
              <m:ctrlPr>
                <w:rPr>
                  <w:rFonts w:ascii="Cambria Math" w:hAnsi="Cambria Math"/>
                </w:rPr>
              </m:ctrlPr>
            </m:eqArrPr>
            <m:e>
              <m:r>
                <w:rPr>
                  <w:rFonts w:ascii="Cambria Math" w:hAnsi="Cambria Math"/>
                </w:rPr>
                <m:t>L</m:t>
              </m:r>
              <m:r>
                <m:rPr>
                  <m:sty m:val="p"/>
                </m:rPr>
                <w:rPr>
                  <w:rFonts w:ascii="Cambria Math" w:hAnsi="Cambria Math"/>
                </w:rPr>
                <m:t xml:space="preserve">= </m:t>
              </m:r>
              <m:sSub>
                <m:sSubPr>
                  <m:ctrlPr>
                    <w:rPr>
                      <w:rFonts w:ascii="Cambria Math" w:hAnsi="Cambria Math"/>
                    </w:rPr>
                  </m:ctrlPr>
                </m:sSubPr>
                <m:e>
                  <m:r>
                    <w:rPr>
                      <w:rFonts w:ascii="Cambria Math" w:hAnsi="Cambria Math"/>
                    </w:rPr>
                    <m:t>Age</m:t>
                  </m:r>
                </m:e>
                <m:sub>
                  <m:r>
                    <w:rPr>
                      <w:rFonts w:ascii="Cambria Math" w:hAnsi="Cambria Math"/>
                    </w:rPr>
                    <m:t>life</m:t>
                  </m:r>
                  <m:r>
                    <m:rPr>
                      <m:sty m:val="p"/>
                    </m:rPr>
                    <w:rPr>
                      <w:rFonts w:ascii="Cambria Math" w:hAnsi="Cambria Math"/>
                    </w:rPr>
                    <m:t xml:space="preserve"> </m:t>
                  </m:r>
                  <m:r>
                    <w:rPr>
                      <w:rFonts w:ascii="Cambria Math" w:hAnsi="Cambria Math"/>
                    </w:rPr>
                    <m:t>expectancy</m:t>
                  </m:r>
                </m:sub>
              </m:sSub>
              <m:r>
                <m:rPr>
                  <m:sty m:val="p"/>
                </m:rPr>
                <w:rPr>
                  <w:rFonts w:ascii="Cambria Math" w:hAnsi="Cambria Math"/>
                </w:rPr>
                <m:t>-</m:t>
              </m:r>
              <m:sSub>
                <m:sSubPr>
                  <m:ctrlPr>
                    <w:rPr>
                      <w:rFonts w:ascii="Cambria Math" w:hAnsi="Cambria Math"/>
                    </w:rPr>
                  </m:ctrlPr>
                </m:sSubPr>
                <m:e>
                  <m:r>
                    <w:rPr>
                      <w:rFonts w:ascii="Cambria Math" w:hAnsi="Cambria Math"/>
                    </w:rPr>
                    <m:t>Age</m:t>
                  </m:r>
                </m:e>
                <m:sub>
                  <m:r>
                    <w:rPr>
                      <w:rFonts w:ascii="Cambria Math" w:hAnsi="Cambria Math"/>
                    </w:rPr>
                    <m:t>of</m:t>
                  </m:r>
                  <m:r>
                    <m:rPr>
                      <m:sty m:val="p"/>
                    </m:rPr>
                    <w:rPr>
                      <w:rFonts w:ascii="Cambria Math" w:hAnsi="Cambria Math"/>
                    </w:rPr>
                    <m:t xml:space="preserve"> </m:t>
                  </m:r>
                  <m:r>
                    <w:rPr>
                      <w:rFonts w:ascii="Cambria Math" w:hAnsi="Cambria Math"/>
                    </w:rPr>
                    <m:t>death</m:t>
                  </m:r>
                </m:sub>
              </m:sSub>
              <m:r>
                <m:rPr>
                  <m:sty m:val="p"/>
                </m:rPr>
                <w:rPr>
                  <w:rFonts w:ascii="Cambria Math" w:hAnsi="Cambria Math"/>
                </w:rPr>
                <m:t>, #</m:t>
              </m:r>
              <m:d>
                <m:dPr>
                  <m:ctrlPr>
                    <w:rPr>
                      <w:rFonts w:ascii="Cambria Math" w:hAnsi="Cambria Math"/>
                    </w:rPr>
                  </m:ctrlPr>
                </m:dPr>
                <m:e>
                  <m:r>
                    <w:rPr>
                      <w:rFonts w:ascii="Cambria Math" w:hAnsi="Cambria Math"/>
                    </w:rPr>
                    <m:t>C</m:t>
                  </m:r>
                </m:e>
              </m:d>
            </m:e>
          </m:eqArr>
        </m:oMath>
      </m:oMathPara>
    </w:p>
    <w:p w14:paraId="15E18354" w14:textId="77777777" w:rsidR="00427361" w:rsidRPr="006722AC" w:rsidRDefault="00427361" w:rsidP="00427361"/>
    <w:p w14:paraId="0777E531" w14:textId="77777777" w:rsidR="00427361" w:rsidRPr="006722AC" w:rsidRDefault="00427361" w:rsidP="00427361">
      <w:pPr>
        <w:rPr>
          <w:lang w:val="en-US"/>
        </w:rPr>
      </w:pPr>
      <w:r w:rsidRPr="006722AC">
        <w:rPr>
          <w:lang w:val="en-US"/>
        </w:rPr>
        <w:t xml:space="preserve">where the average life expectancy is gathered from statistical national data from 2018, and the average age of death is obtained from the NHS hospital DRG database from 2016. </w:t>
      </w:r>
    </w:p>
    <w:p w14:paraId="1DA03AB5" w14:textId="77777777" w:rsidR="00427361" w:rsidRPr="006722AC" w:rsidRDefault="00427361" w:rsidP="00427361">
      <w:pPr>
        <w:rPr>
          <w:lang w:val="en-US"/>
        </w:rPr>
      </w:pPr>
      <w:r w:rsidRPr="006722AC">
        <w:rPr>
          <w:lang w:val="en-US"/>
        </w:rPr>
        <w:t xml:space="preserve">On the other hand, YLD is </w:t>
      </w:r>
    </w:p>
    <w:p w14:paraId="26F8E42F" w14:textId="77777777" w:rsidR="00427361" w:rsidRPr="006722AC" w:rsidRDefault="00427361" w:rsidP="00427361">
      <w:pPr>
        <w:rPr>
          <w:lang w:val="en-US"/>
        </w:rPr>
      </w:pPr>
    </w:p>
    <w:p w14:paraId="35569BEB" w14:textId="77777777" w:rsidR="00427361" w:rsidRPr="006722AC" w:rsidRDefault="004679D8" w:rsidP="00427361">
      <w:pPr>
        <w:rPr>
          <w:rFonts w:eastAsiaTheme="minorEastAsia"/>
        </w:rPr>
      </w:pPr>
      <m:oMathPara>
        <m:oMath>
          <m:eqArr>
            <m:eqArrPr>
              <m:maxDist m:val="1"/>
              <m:ctrlPr>
                <w:rPr>
                  <w:rFonts w:ascii="Cambria Math" w:hAnsi="Cambria Math"/>
                </w:rPr>
              </m:ctrlPr>
            </m:eqArrPr>
            <m:e>
              <m:r>
                <w:rPr>
                  <w:rFonts w:ascii="Cambria Math" w:hAnsi="Cambria Math"/>
                </w:rPr>
                <m:t>YLD</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DW</m:t>
              </m:r>
              <m:r>
                <m:rPr>
                  <m:sty m:val="p"/>
                </m:rPr>
                <w:rPr>
                  <w:rFonts w:ascii="Cambria Math" w:hAnsi="Cambria Math"/>
                </w:rPr>
                <m:t>*</m:t>
              </m:r>
              <m:r>
                <w:rPr>
                  <w:rFonts w:ascii="Cambria Math" w:hAnsi="Cambria Math"/>
                </w:rPr>
                <m:t>L</m:t>
              </m:r>
              <m:r>
                <m:rPr>
                  <m:sty m:val="p"/>
                </m:rPr>
                <w:rPr>
                  <w:rFonts w:ascii="Cambria Math" w:hAnsi="Cambria Math"/>
                </w:rPr>
                <m:t>,#</m:t>
              </m:r>
              <m:d>
                <m:dPr>
                  <m:ctrlPr>
                    <w:rPr>
                      <w:rFonts w:ascii="Cambria Math" w:hAnsi="Cambria Math"/>
                    </w:rPr>
                  </m:ctrlPr>
                </m:dPr>
                <m:e>
                  <m:r>
                    <w:rPr>
                      <w:rFonts w:ascii="Cambria Math" w:hAnsi="Cambria Math"/>
                    </w:rPr>
                    <m:t>D</m:t>
                  </m:r>
                </m:e>
              </m:d>
            </m:e>
          </m:eqArr>
        </m:oMath>
      </m:oMathPara>
    </w:p>
    <w:p w14:paraId="56A84CBA" w14:textId="77777777" w:rsidR="00427361" w:rsidRPr="006722AC" w:rsidRDefault="00427361" w:rsidP="00427361"/>
    <w:p w14:paraId="11946AEB" w14:textId="5C6E99FA" w:rsidR="00427361" w:rsidRPr="006722AC" w:rsidRDefault="00427361" w:rsidP="00427361">
      <w:pPr>
        <w:rPr>
          <w:lang w:val="en-US"/>
        </w:rPr>
      </w:pPr>
      <w:r w:rsidRPr="006722AC">
        <w:rPr>
          <w:lang w:val="en-US"/>
        </w:rPr>
        <w:t xml:space="preserve">where I </w:t>
      </w:r>
      <w:proofErr w:type="gramStart"/>
      <w:r w:rsidRPr="006722AC">
        <w:rPr>
          <w:lang w:val="en-US"/>
        </w:rPr>
        <w:t>is</w:t>
      </w:r>
      <w:proofErr w:type="gramEnd"/>
      <w:r w:rsidRPr="006722AC">
        <w:rPr>
          <w:lang w:val="en-US"/>
        </w:rPr>
        <w:t xml:space="preserve"> the number of incident cases for a particular condition/disease in the population, L is the average length of disability, and W is the disability weight associated with the condition/disease. However, for prevalence-based studies, the Global Burden of Disease (GBD) 2010 </w:t>
      </w:r>
      <w:r w:rsidR="006722AC">
        <w:t>[28]</w:t>
      </w:r>
      <w:r w:rsidRPr="006722AC">
        <w:rPr>
          <w:lang w:val="en-US"/>
        </w:rPr>
        <w:t xml:space="preserve"> study updated the YLD calculation as</w:t>
      </w:r>
    </w:p>
    <w:p w14:paraId="05D669B4" w14:textId="77777777" w:rsidR="00427361" w:rsidRPr="006722AC" w:rsidRDefault="00427361" w:rsidP="00427361">
      <w:pPr>
        <w:rPr>
          <w:lang w:val="en-US"/>
        </w:rPr>
      </w:pPr>
    </w:p>
    <w:p w14:paraId="0DA1D7F0" w14:textId="77777777" w:rsidR="00427361" w:rsidRPr="006722AC" w:rsidRDefault="004679D8" w:rsidP="00427361">
      <m:oMathPara>
        <m:oMath>
          <m:eqArr>
            <m:eqArrPr>
              <m:maxDist m:val="1"/>
              <m:ctrlPr>
                <w:rPr>
                  <w:rFonts w:ascii="Cambria Math" w:hAnsi="Cambria Math"/>
                </w:rPr>
              </m:ctrlPr>
            </m:eqArrPr>
            <m:e>
              <m:r>
                <w:rPr>
                  <w:rFonts w:ascii="Cambria Math" w:hAnsi="Cambria Math"/>
                </w:rPr>
                <m:t>YLD</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DW</m:t>
              </m:r>
              <m:r>
                <m:rPr>
                  <m:sty m:val="p"/>
                </m:rPr>
                <w:rPr>
                  <w:rFonts w:ascii="Cambria Math" w:hAnsi="Cambria Math"/>
                </w:rPr>
                <m:t>, #</m:t>
              </m:r>
              <m:d>
                <m:dPr>
                  <m:ctrlPr>
                    <w:rPr>
                      <w:rFonts w:ascii="Cambria Math" w:hAnsi="Cambria Math"/>
                    </w:rPr>
                  </m:ctrlPr>
                </m:dPr>
                <m:e>
                  <m:r>
                    <w:rPr>
                      <w:rFonts w:ascii="Cambria Math" w:hAnsi="Cambria Math"/>
                    </w:rPr>
                    <m:t>E</m:t>
                  </m:r>
                </m:e>
              </m:d>
            </m:e>
          </m:eqArr>
        </m:oMath>
      </m:oMathPara>
    </w:p>
    <w:p w14:paraId="14E5D8D9" w14:textId="77777777" w:rsidR="00427361" w:rsidRPr="006722AC" w:rsidRDefault="00427361" w:rsidP="00427361"/>
    <w:p w14:paraId="50BCBB52" w14:textId="1798D5E9" w:rsidR="00427361" w:rsidRPr="006722AC" w:rsidRDefault="00427361" w:rsidP="00427361">
      <w:pPr>
        <w:rPr>
          <w:lang w:val="en-US"/>
        </w:rPr>
      </w:pPr>
      <w:r w:rsidRPr="006722AC">
        <w:rPr>
          <w:lang w:val="en-US"/>
        </w:rPr>
        <w:lastRenderedPageBreak/>
        <w:t xml:space="preserve">where P is the number of prevalent cases and DW is the disability weight. The most conservative forecast methodology of the paper from Santiago and colleagues was used, where researchers estimated the prevalence for 2019 based on a previous study from 2010 </w:t>
      </w:r>
      <w:r w:rsidR="006722AC">
        <w:t>[22,27]</w:t>
      </w:r>
      <w:r w:rsidRPr="006722AC">
        <w:rPr>
          <w:lang w:val="en-US"/>
        </w:rPr>
        <w:t>. Disability weight is a weighting factor that reflects the severity of the disease and is quantified between 0, where no disability is quantified and perfect health is considered, and 1, equivalent to death. This parameter was obtained directly from the GBD 2017 study, as it is the latest report regarding the disability weight for IBD. This value is applicable across the whole population of IBD patients and no distinction is made between diseases or its different stages, such as remission or exacerbations.</w:t>
      </w:r>
    </w:p>
    <w:p w14:paraId="736B255B" w14:textId="77777777" w:rsidR="00427361" w:rsidRPr="006722AC" w:rsidRDefault="00427361" w:rsidP="00427361">
      <w:pPr>
        <w:rPr>
          <w:lang w:val="en-US"/>
        </w:rPr>
      </w:pPr>
      <w:r w:rsidRPr="006722AC">
        <w:rPr>
          <w:lang w:val="en-US"/>
        </w:rPr>
        <w:t>A two-way sensitivity analysis was performed for the calculation of YLL using different methods for determining the number of deaths (number of deaths obtained from the mortality ratio published and deaths reported in the NHS hospital DRG data), and age of death (average, adjusted to account for deaths outside hospital and from GBD 2017).</w:t>
      </w:r>
    </w:p>
    <w:p w14:paraId="70851BD3" w14:textId="77777777" w:rsidR="00427361" w:rsidRPr="006722AC" w:rsidRDefault="00427361" w:rsidP="00427361">
      <w:pPr>
        <w:pStyle w:val="Heading1"/>
      </w:pPr>
      <w:r w:rsidRPr="006722AC">
        <w:t>Appendix B</w:t>
      </w:r>
    </w:p>
    <w:p w14:paraId="3D8972F3" w14:textId="77777777" w:rsidR="00427361" w:rsidRPr="006722AC" w:rsidRDefault="00427361" w:rsidP="00427361">
      <w:pPr>
        <w:keepNext/>
        <w:keepLines/>
        <w:spacing w:before="360" w:line="240" w:lineRule="auto"/>
        <w:outlineLvl w:val="1"/>
        <w:rPr>
          <w:rFonts w:eastAsiaTheme="majorEastAsia"/>
          <w:b/>
          <w:sz w:val="28"/>
          <w:lang w:val="en-US"/>
        </w:rPr>
      </w:pPr>
      <w:r w:rsidRPr="006722AC">
        <w:rPr>
          <w:rFonts w:eastAsiaTheme="majorEastAsia"/>
          <w:b/>
          <w:sz w:val="28"/>
        </w:rPr>
        <w:t>Cost calculation detail</w:t>
      </w:r>
    </w:p>
    <w:p w14:paraId="5D0BB382" w14:textId="77777777" w:rsidR="00427361" w:rsidRPr="006722AC" w:rsidRDefault="00427361" w:rsidP="00427361">
      <w:pPr>
        <w:pStyle w:val="Heading3"/>
        <w:spacing w:before="240"/>
        <w:rPr>
          <w:lang w:val="en-GB"/>
        </w:rPr>
      </w:pPr>
      <w:r w:rsidRPr="006722AC">
        <w:rPr>
          <w:lang w:val="en-GB"/>
        </w:rPr>
        <w:t>Direct healthcare costs</w:t>
      </w:r>
    </w:p>
    <w:p w14:paraId="24F27D43" w14:textId="6B973C13" w:rsidR="00427361" w:rsidRPr="006722AC" w:rsidRDefault="00427361" w:rsidP="00427361">
      <w:pPr>
        <w:rPr>
          <w:lang w:val="en-US"/>
        </w:rPr>
      </w:pPr>
      <w:r w:rsidRPr="006722AC">
        <w:rPr>
          <w:lang w:val="en-US"/>
        </w:rPr>
        <w:t xml:space="preserve">This study considered direct costs recorded in hospital settings for the 1,455 patients identified, representing all IBD patients diagnosed and treated in NHS hospitals in 2016 in Portugal. Costs associated with the episodes considered were valued according to the prices set in Portuguese Law </w:t>
      </w:r>
      <w:r w:rsidR="006722AC">
        <w:t>[31]</w:t>
      </w:r>
      <w:r w:rsidRPr="006722AC">
        <w:rPr>
          <w:lang w:val="en-US"/>
        </w:rPr>
        <w:t xml:space="preserve">. Here, national DRG funding values were used as a proxy for the hospital’s costs for the treatment of these patients. These values vary by DRG code, the episode’s level of severity, and whether the episode occurs in ambulatory or inpatient conditions. </w:t>
      </w:r>
    </w:p>
    <w:p w14:paraId="05BC308F" w14:textId="77777777" w:rsidR="00427361" w:rsidRPr="006722AC" w:rsidRDefault="00427361" w:rsidP="00427361">
      <w:pPr>
        <w:rPr>
          <w:lang w:val="en-US"/>
        </w:rPr>
      </w:pPr>
      <w:r w:rsidRPr="006722AC">
        <w:rPr>
          <w:lang w:val="en-US"/>
        </w:rPr>
        <w:t>Direct healthcare includes the following components:</w:t>
      </w:r>
    </w:p>
    <w:p w14:paraId="1F9FA0CA" w14:textId="77777777" w:rsidR="00427361" w:rsidRPr="006722AC" w:rsidRDefault="00427361" w:rsidP="00427361">
      <w:pPr>
        <w:pStyle w:val="Subtitle"/>
        <w:spacing w:after="120"/>
      </w:pPr>
      <w:r w:rsidRPr="006722AC">
        <w:t>Medical hospitalisation: all events codified with a medical DRG according to the NHS hospital DRG database were considered. For cost calculation, DRG established prices were used as a proxy for all coded episodes. DRG for immunomodulators administration in day care hospital were costed separately under the IBD-related drugs category.</w:t>
      </w:r>
    </w:p>
    <w:p w14:paraId="49E819C2" w14:textId="77777777" w:rsidR="00427361" w:rsidRPr="006722AC" w:rsidRDefault="00427361" w:rsidP="00427361">
      <w:pPr>
        <w:pStyle w:val="Subtitle"/>
        <w:spacing w:after="120"/>
      </w:pPr>
      <w:r w:rsidRPr="006722AC">
        <w:t>Surgery: surgical DRGs codified for the selected patient pool were analysed, indicating that a given patient underwent a surgical procedure. Like medical hospitalisations, DRG values were used for calculating costs related to surgery.</w:t>
      </w:r>
    </w:p>
    <w:p w14:paraId="6831000A" w14:textId="5421034C" w:rsidR="00427361" w:rsidRPr="006722AC" w:rsidRDefault="00427361" w:rsidP="00427361">
      <w:pPr>
        <w:pStyle w:val="Subtitle"/>
        <w:spacing w:after="120"/>
      </w:pPr>
      <w:r w:rsidRPr="006722AC">
        <w:t xml:space="preserve">Gastroenterology healthcare professional (HCP) visits: the average number of hospital visits to gastroenterologists by IBD patients was estimated by the local Expert Panel </w:t>
      </w:r>
      <w:r w:rsidRPr="006722AC">
        <w:lastRenderedPageBreak/>
        <w:t xml:space="preserve">for each of the different disease stages – mild, </w:t>
      </w:r>
      <w:proofErr w:type="gramStart"/>
      <w:r w:rsidRPr="006722AC">
        <w:t>moderate</w:t>
      </w:r>
      <w:proofErr w:type="gramEnd"/>
      <w:r w:rsidRPr="006722AC">
        <w:t xml:space="preserve"> and severe. According to Portuguese law, hospital groups have a fixed funding price per appointment, which was used to calculate the average price, assuming NHS patient data distribution per hospital group </w:t>
      </w:r>
      <w:r w:rsidR="006722AC">
        <w:t>[32]</w:t>
      </w:r>
      <w:r w:rsidRPr="006722AC">
        <w:t xml:space="preserve">. According to Portuguese law, a patient is exempt from </w:t>
      </w:r>
      <w:r w:rsidR="00D32234">
        <w:t>out-of-pocket costs</w:t>
      </w:r>
      <w:r w:rsidRPr="006722AC">
        <w:t xml:space="preserve"> if s/he has a 60% or higher degree of disability </w:t>
      </w:r>
      <w:r w:rsidR="00C452A9">
        <w:t>[33]</w:t>
      </w:r>
      <w:r w:rsidRPr="006722AC">
        <w:t>. The number of patients that meet this criterion was obtained through the patient study.</w:t>
      </w:r>
      <w:r w:rsidR="00C452A9" w:rsidRPr="00C452A9">
        <w:t xml:space="preserve"> </w:t>
      </w:r>
      <w:r w:rsidR="00C452A9" w:rsidRPr="006722AC">
        <w:t xml:space="preserve">Regarding the </w:t>
      </w:r>
      <w:r w:rsidR="00D32234">
        <w:t>out-of-pocket costs</w:t>
      </w:r>
      <w:r w:rsidR="00C452A9" w:rsidRPr="006722AC">
        <w:t xml:space="preserve">, a fixed price applied to all appointments was also taken into consideration for all patients that where not exempt from this charge </w:t>
      </w:r>
      <w:r w:rsidR="00C452A9">
        <w:t>[34]</w:t>
      </w:r>
      <w:r w:rsidR="00C452A9" w:rsidRPr="006722AC">
        <w:t>.</w:t>
      </w:r>
    </w:p>
    <w:p w14:paraId="3ADB744C" w14:textId="3544FB26" w:rsidR="00427361" w:rsidRPr="006722AC" w:rsidRDefault="00427361" w:rsidP="00427361">
      <w:pPr>
        <w:pStyle w:val="Subtitle"/>
        <w:spacing w:after="120"/>
      </w:pPr>
      <w:r w:rsidRPr="006722AC">
        <w:t xml:space="preserve">Other specialty HCP visits: the average number of hospital visits to surgery, rheumatology, infectiology / immunomodulation, </w:t>
      </w:r>
      <w:proofErr w:type="gramStart"/>
      <w:r w:rsidRPr="006722AC">
        <w:t>dermatology</w:t>
      </w:r>
      <w:proofErr w:type="gramEnd"/>
      <w:r w:rsidRPr="006722AC">
        <w:t xml:space="preserve"> and other medical specialties was estimated by the local Expert Panel. The same appointment price calculated for gastroenterology HCP visits was applied to determine the costs of other specialty HCP visits, and the same rationale used for </w:t>
      </w:r>
      <w:r w:rsidR="00D32234">
        <w:t>out-of-pocket costs</w:t>
      </w:r>
      <w:r w:rsidRPr="006722AC">
        <w:t xml:space="preserve"> was applied </w:t>
      </w:r>
      <w:r w:rsidR="00C452A9">
        <w:t>[34]</w:t>
      </w:r>
      <w:r w:rsidRPr="006722AC">
        <w:t>.</w:t>
      </w:r>
    </w:p>
    <w:p w14:paraId="10095A55" w14:textId="70F8D636" w:rsidR="00427361" w:rsidRPr="006722AC" w:rsidRDefault="00427361" w:rsidP="00427361">
      <w:pPr>
        <w:pStyle w:val="Subtitle"/>
        <w:spacing w:after="120"/>
      </w:pPr>
      <w:r w:rsidRPr="006722AC">
        <w:t>Emergency visits: the average number of emergency hospital visits by IBD patients was estimated by the local Expert Panel according to the different disease stages. Emergency visits leading to hospitalisation were not considered in this category as they were accounted for in “hospitalisations”. Only emergency episodes that did not result in an inpatient episode were costed here. Each hospital has a signed contract which comprises the typology of emergencies (</w:t>
      </w:r>
      <w:r w:rsidRPr="006722AC">
        <w:rPr>
          <w:i/>
        </w:rPr>
        <w:t>Multi-faceted Emergency Service, Medical-surgical Emergency Service and General Emergency Service</w:t>
      </w:r>
      <w:r w:rsidRPr="006722AC">
        <w:t xml:space="preserve">) that each hospital must cover. Fixed funding prices for each type of emergency service were used to determine the cost, assuming NHS patient data distribution per hospital group. </w:t>
      </w:r>
      <w:r w:rsidR="00D32234">
        <w:t>Out-of-pocket costs</w:t>
      </w:r>
      <w:r w:rsidRPr="006722AC">
        <w:t xml:space="preserve"> were considered for non-exempted patients and the price was determined by splitting the emergencies according to each emergency type and applying the corresponding legislated price </w:t>
      </w:r>
      <w:r w:rsidR="00C452A9">
        <w:t>[34]</w:t>
      </w:r>
      <w:r w:rsidRPr="006722AC">
        <w:t>.</w:t>
      </w:r>
    </w:p>
    <w:p w14:paraId="51DB36BC" w14:textId="23ECD2A8" w:rsidR="00427361" w:rsidRPr="006722AC" w:rsidRDefault="00427361" w:rsidP="00427361">
      <w:pPr>
        <w:pStyle w:val="Subtitle"/>
        <w:spacing w:after="120"/>
      </w:pPr>
      <w:r w:rsidRPr="006722AC">
        <w:t xml:space="preserve">Exams and laboratory tests: </w:t>
      </w:r>
      <w:r w:rsidR="00B75038" w:rsidRPr="003124DA">
        <w:t xml:space="preserve">the expert panel estimated the most common exams and laboratory </w:t>
      </w:r>
      <w:r w:rsidR="00B75038">
        <w:t>tests</w:t>
      </w:r>
      <w:r w:rsidR="00B75038" w:rsidRPr="003124DA">
        <w:t xml:space="preserve"> performed for IBD patients as well as their annual frequency</w:t>
      </w:r>
      <w:r w:rsidRPr="006722AC">
        <w:t xml:space="preserve">. According to Portuguese law, medical exams and laboratory tests have a fixed funding price for NHS hospitals, as well as a user charge associated, which were used to calculate costs </w:t>
      </w:r>
      <w:r w:rsidR="00C452A9">
        <w:t>[31]</w:t>
      </w:r>
      <w:r w:rsidRPr="006722AC">
        <w:t xml:space="preserve">. </w:t>
      </w:r>
    </w:p>
    <w:p w14:paraId="61CFAB8D" w14:textId="2DE15C53" w:rsidR="00427361" w:rsidRPr="006722AC" w:rsidRDefault="00427361" w:rsidP="00427361">
      <w:pPr>
        <w:pStyle w:val="Subtitle"/>
        <w:spacing w:after="120"/>
      </w:pPr>
      <w:r w:rsidRPr="006722AC">
        <w:t xml:space="preserve">Pharmacologic treatment: for retail, the molecules considered were Azathioprine, Budesonide, Hydrocortisone, Mesalazine, Methotrexate and Sulfasalazine. Molecule share for IBD was based on its allocation to the ATC3 (Anatomical Therapeutic Classification) A07E – Intestinal anti-inflammatory drugs category. Furthermore, patient’s co-payment was assessed, by applying the reimbursement rates defined by law for each drug </w:t>
      </w:r>
      <w:r w:rsidR="00900CA9">
        <w:t>[36]</w:t>
      </w:r>
      <w:r w:rsidRPr="006722AC">
        <w:t xml:space="preserve">. In the hospital scope, molecules considered were Adalimumab, Budesonide, Certolizumab, Ciclosporin, Golimumab, Hydrocortisone, Infliximab, Mercaptopurine, Mesalazine, Methotrexate Methylprednisolone, Prednisone, Sulfasalazine, Tacrolimus, Ustekinumab and Vedolizumab. The consumption allocated to IBD was determined by calculating the share of each molecule in the gastroenterology cost centre. Additionally, drugs administration cost in </w:t>
      </w:r>
      <w:r w:rsidRPr="006722AC">
        <w:lastRenderedPageBreak/>
        <w:t>day care facilities was estimated according to the number of day hospital visits in the NHS 2016 database DRG codes. Costs split between UC and CD, for both retail and hospital settings, were estimated with the expert panel, where a treatment algorithm was accessed for each disease and disease stage and thus distributed accordingly.</w:t>
      </w:r>
    </w:p>
    <w:p w14:paraId="76F53795" w14:textId="77777777" w:rsidR="00427361" w:rsidRPr="006722AC" w:rsidRDefault="00427361" w:rsidP="00427361">
      <w:pPr>
        <w:pStyle w:val="Heading3"/>
        <w:spacing w:before="240"/>
        <w:rPr>
          <w:lang w:val="en-GB"/>
        </w:rPr>
      </w:pPr>
      <w:r w:rsidRPr="006722AC">
        <w:rPr>
          <w:lang w:val="en-GB"/>
        </w:rPr>
        <w:t>Direct non-healthcare costs</w:t>
      </w:r>
    </w:p>
    <w:p w14:paraId="38623688" w14:textId="40EFABFE" w:rsidR="00427361" w:rsidRPr="006722AC" w:rsidRDefault="00427361" w:rsidP="00427361">
      <w:pPr>
        <w:rPr>
          <w:lang w:val="en-US"/>
        </w:rPr>
      </w:pPr>
      <w:r w:rsidRPr="006722AC">
        <w:rPr>
          <w:lang w:val="en-US"/>
        </w:rPr>
        <w:t xml:space="preserve">This study estimated costs associated with IBD patient transportation due to HCP visits for consultation, emergency visits, treatment sessions, surgery, and </w:t>
      </w:r>
      <w:r w:rsidR="00272804" w:rsidRPr="006722AC">
        <w:rPr>
          <w:lang w:val="en-US"/>
        </w:rPr>
        <w:t>hospitalizations</w:t>
      </w:r>
      <w:r w:rsidRPr="006722AC">
        <w:rPr>
          <w:lang w:val="en-US"/>
        </w:rPr>
        <w:t>. The NHS hospital DRG database concerning hospital production contains data on patients’ residential districts and hospitals visited, enabling the quantification of the number of patients treated outside their district of residence. The transportation cost was then calculated according to four possible situations:</w:t>
      </w:r>
    </w:p>
    <w:p w14:paraId="2AD2CC5C" w14:textId="77777777" w:rsidR="00427361" w:rsidRPr="006722AC" w:rsidRDefault="00427361" w:rsidP="00427361">
      <w:pPr>
        <w:pStyle w:val="Subtitle"/>
        <w:numPr>
          <w:ilvl w:val="0"/>
          <w:numId w:val="3"/>
        </w:numPr>
      </w:pPr>
      <w:r w:rsidRPr="006722AC">
        <w:t>Patient residence and treatment hospital in the same district</w:t>
      </w:r>
    </w:p>
    <w:p w14:paraId="73F6ADCD" w14:textId="77777777" w:rsidR="00427361" w:rsidRPr="006722AC" w:rsidRDefault="00427361" w:rsidP="00427361">
      <w:pPr>
        <w:pStyle w:val="Subtitle"/>
        <w:numPr>
          <w:ilvl w:val="1"/>
          <w:numId w:val="2"/>
        </w:numPr>
        <w:rPr>
          <w:rStyle w:val="Emphasis"/>
          <w:color w:val="auto"/>
        </w:rPr>
      </w:pPr>
      <w:r w:rsidRPr="006722AC">
        <w:rPr>
          <w:rStyle w:val="Emphasis"/>
          <w:color w:val="auto"/>
        </w:rPr>
        <w:t xml:space="preserve">Programmed </w:t>
      </w:r>
      <w:proofErr w:type="gramStart"/>
      <w:r w:rsidRPr="006722AC">
        <w:rPr>
          <w:rStyle w:val="Emphasis"/>
          <w:color w:val="auto"/>
        </w:rPr>
        <w:t>appointment;</w:t>
      </w:r>
      <w:proofErr w:type="gramEnd"/>
    </w:p>
    <w:p w14:paraId="59767D25" w14:textId="77777777" w:rsidR="00427361" w:rsidRPr="006722AC" w:rsidRDefault="00427361" w:rsidP="00427361">
      <w:pPr>
        <w:pStyle w:val="Subtitle"/>
        <w:numPr>
          <w:ilvl w:val="1"/>
          <w:numId w:val="2"/>
        </w:numPr>
        <w:rPr>
          <w:rStyle w:val="Emphasis"/>
          <w:color w:val="auto"/>
        </w:rPr>
      </w:pPr>
      <w:r w:rsidRPr="006722AC">
        <w:rPr>
          <w:rStyle w:val="Emphasis"/>
          <w:color w:val="auto"/>
        </w:rPr>
        <w:t>Emergency visit.</w:t>
      </w:r>
    </w:p>
    <w:p w14:paraId="31ABCF08" w14:textId="77777777" w:rsidR="00427361" w:rsidRPr="006722AC" w:rsidRDefault="00427361" w:rsidP="00427361">
      <w:pPr>
        <w:pStyle w:val="Subtitle"/>
      </w:pPr>
      <w:r w:rsidRPr="006722AC">
        <w:t>Patient residence and treatment hospital not in the same district</w:t>
      </w:r>
    </w:p>
    <w:p w14:paraId="27323089" w14:textId="77777777" w:rsidR="00427361" w:rsidRPr="006722AC" w:rsidRDefault="00427361" w:rsidP="00427361">
      <w:pPr>
        <w:pStyle w:val="Subtitle"/>
        <w:numPr>
          <w:ilvl w:val="1"/>
          <w:numId w:val="2"/>
        </w:numPr>
        <w:rPr>
          <w:rStyle w:val="Emphasis"/>
          <w:color w:val="auto"/>
        </w:rPr>
      </w:pPr>
      <w:r w:rsidRPr="006722AC">
        <w:rPr>
          <w:rStyle w:val="Emphasis"/>
          <w:color w:val="auto"/>
        </w:rPr>
        <w:t xml:space="preserve">Programmed </w:t>
      </w:r>
      <w:proofErr w:type="gramStart"/>
      <w:r w:rsidRPr="006722AC">
        <w:rPr>
          <w:rStyle w:val="Emphasis"/>
          <w:color w:val="auto"/>
        </w:rPr>
        <w:t>appointment;</w:t>
      </w:r>
      <w:proofErr w:type="gramEnd"/>
    </w:p>
    <w:p w14:paraId="4B7CCE50" w14:textId="77777777" w:rsidR="00427361" w:rsidRPr="006722AC" w:rsidRDefault="00427361" w:rsidP="00427361">
      <w:pPr>
        <w:pStyle w:val="Subtitle"/>
        <w:numPr>
          <w:ilvl w:val="1"/>
          <w:numId w:val="2"/>
        </w:numPr>
        <w:rPr>
          <w:rStyle w:val="Emphasis"/>
          <w:color w:val="auto"/>
        </w:rPr>
      </w:pPr>
      <w:r w:rsidRPr="006722AC">
        <w:rPr>
          <w:rStyle w:val="Emphasis"/>
          <w:color w:val="auto"/>
        </w:rPr>
        <w:t>Emergency visit.</w:t>
      </w:r>
    </w:p>
    <w:p w14:paraId="0E03A50A" w14:textId="61FF9C2E" w:rsidR="00427361" w:rsidRPr="006722AC" w:rsidRDefault="00427361" w:rsidP="00427361">
      <w:pPr>
        <w:rPr>
          <w:lang w:val="en-US"/>
        </w:rPr>
      </w:pPr>
      <w:r w:rsidRPr="006722AC">
        <w:rPr>
          <w:lang w:val="en-US"/>
        </w:rPr>
        <w:t xml:space="preserve">The maximum NHS payment price for these two situations varies according to the vehicle used by the patient – ambulance vs. private vehicle – and is established in Portuguese law, as shown in table </w:t>
      </w:r>
      <w:r w:rsidRPr="006722AC">
        <w:fldChar w:fldCharType="begin"/>
      </w:r>
      <w:r w:rsidRPr="006722AC">
        <w:rPr>
          <w:lang w:val="en-US"/>
        </w:rPr>
        <w:instrText xml:space="preserve"> REF _Ref30685536 \#0 \h  \* MERGEFORMAT </w:instrText>
      </w:r>
      <w:r w:rsidRPr="006722AC">
        <w:fldChar w:fldCharType="separate"/>
      </w:r>
      <w:r w:rsidRPr="006722AC">
        <w:rPr>
          <w:lang w:val="en-US"/>
        </w:rPr>
        <w:t>2</w:t>
      </w:r>
      <w:r w:rsidRPr="006722AC">
        <w:fldChar w:fldCharType="end"/>
      </w:r>
      <w:r w:rsidRPr="006722AC">
        <w:rPr>
          <w:lang w:val="en-US"/>
        </w:rPr>
        <w:t xml:space="preserve"> </w:t>
      </w:r>
      <w:r w:rsidR="00C452A9">
        <w:t>[30]</w:t>
      </w:r>
      <w:r w:rsidRPr="006722AC">
        <w:rPr>
          <w:lang w:val="en-US"/>
        </w:rPr>
        <w:t>. The allocation of transportation costs to whether patients or NHS, by distributing the types of vehicle used, was attained from the patient study.</w:t>
      </w:r>
    </w:p>
    <w:p w14:paraId="3CDF192B" w14:textId="77777777" w:rsidR="00427361" w:rsidRPr="006722AC" w:rsidRDefault="00427361" w:rsidP="00427361">
      <w:pPr>
        <w:rPr>
          <w:lang w:val="en-US"/>
        </w:rPr>
      </w:pPr>
      <w:r w:rsidRPr="006722AC">
        <w:rPr>
          <w:lang w:val="en-US"/>
        </w:rPr>
        <w:t>For episodes that did not occur in the same district, the patient’s residential address was taken as the district’s main hospital address. An average cost per visit was then calculated according to the number of selected episodes recorded for both programmed and emergency transportations.</w:t>
      </w:r>
    </w:p>
    <w:p w14:paraId="55D56AB9" w14:textId="77777777" w:rsidR="00427361" w:rsidRPr="006722AC" w:rsidRDefault="00427361" w:rsidP="00427361">
      <w:pPr>
        <w:pStyle w:val="Heading3"/>
        <w:spacing w:before="240"/>
        <w:rPr>
          <w:lang w:val="en-GB"/>
        </w:rPr>
      </w:pPr>
      <w:r w:rsidRPr="006722AC">
        <w:rPr>
          <w:lang w:val="en-GB"/>
        </w:rPr>
        <w:t>Indirect costs</w:t>
      </w:r>
    </w:p>
    <w:p w14:paraId="776C2ED1" w14:textId="64E68AC2" w:rsidR="00427361" w:rsidRPr="006722AC" w:rsidRDefault="00427361" w:rsidP="00427361">
      <w:pPr>
        <w:rPr>
          <w:lang w:val="en-US"/>
        </w:rPr>
      </w:pPr>
      <w:r w:rsidRPr="006722AC">
        <w:rPr>
          <w:rStyle w:val="Emphasis"/>
          <w:color w:val="auto"/>
        </w:rPr>
        <w:t xml:space="preserve">The employment rate in IBD patients was obtained from the APDI patient study. The average daily wage for the Portuguese population in 2019, €73, was collected from the National Institute of Statistics (INE) and assumed to be similar for IBD patients </w:t>
      </w:r>
      <w:r w:rsidR="00900CA9">
        <w:rPr>
          <w:rStyle w:val="Emphasis"/>
          <w:color w:val="auto"/>
        </w:rPr>
        <w:t>[35]</w:t>
      </w:r>
      <w:r w:rsidR="00900CA9" w:rsidRPr="006722AC">
        <w:rPr>
          <w:rStyle w:val="Emphasis"/>
          <w:color w:val="auto"/>
        </w:rPr>
        <w:t>.</w:t>
      </w:r>
    </w:p>
    <w:p w14:paraId="0C4D128C" w14:textId="77777777" w:rsidR="00427361" w:rsidRPr="006722AC" w:rsidRDefault="00427361" w:rsidP="00427361">
      <w:pPr>
        <w:rPr>
          <w:lang w:val="en-US"/>
        </w:rPr>
      </w:pPr>
      <w:r w:rsidRPr="006722AC">
        <w:rPr>
          <w:lang w:val="en-US"/>
        </w:rPr>
        <w:t>As such, indirect costs include the following components:</w:t>
      </w:r>
    </w:p>
    <w:p w14:paraId="03CD39D6" w14:textId="77777777" w:rsidR="00427361" w:rsidRPr="006722AC" w:rsidRDefault="00427361" w:rsidP="00427361">
      <w:pPr>
        <w:pStyle w:val="Subtitle"/>
        <w:numPr>
          <w:ilvl w:val="0"/>
          <w:numId w:val="3"/>
        </w:numPr>
        <w:spacing w:after="120"/>
      </w:pPr>
      <w:r w:rsidRPr="006722AC">
        <w:t xml:space="preserve">Patient work absences </w:t>
      </w:r>
      <w:r w:rsidRPr="006722AC">
        <w:rPr>
          <w:rStyle w:val="Emphasis"/>
          <w:color w:val="auto"/>
        </w:rPr>
        <w:t>–</w:t>
      </w:r>
      <w:r w:rsidRPr="006722AC">
        <w:t xml:space="preserve"> the average number of days a patient is absent from work was estimated as the sum of the following:</w:t>
      </w:r>
    </w:p>
    <w:p w14:paraId="73308A53" w14:textId="77777777" w:rsidR="00427361" w:rsidRPr="006722AC" w:rsidRDefault="00427361" w:rsidP="00427361">
      <w:pPr>
        <w:pStyle w:val="Subtitle"/>
        <w:numPr>
          <w:ilvl w:val="1"/>
          <w:numId w:val="2"/>
        </w:numPr>
        <w:spacing w:after="120"/>
        <w:rPr>
          <w:rStyle w:val="Emphasis"/>
          <w:color w:val="auto"/>
        </w:rPr>
      </w:pPr>
      <w:r w:rsidRPr="006722AC">
        <w:rPr>
          <w:rStyle w:val="Emphasis"/>
          <w:color w:val="auto"/>
        </w:rPr>
        <w:lastRenderedPageBreak/>
        <w:t xml:space="preserve">Inpatient time – time spent during medical hospitalisation and surgical hospitalisations, obtained in the NHS DRG 2016 </w:t>
      </w:r>
      <w:proofErr w:type="gramStart"/>
      <w:r w:rsidRPr="006722AC">
        <w:rPr>
          <w:rStyle w:val="Emphasis"/>
          <w:color w:val="auto"/>
        </w:rPr>
        <w:t>data;</w:t>
      </w:r>
      <w:proofErr w:type="gramEnd"/>
    </w:p>
    <w:p w14:paraId="28378C36" w14:textId="77777777" w:rsidR="00427361" w:rsidRPr="006722AC" w:rsidRDefault="00427361" w:rsidP="00427361">
      <w:pPr>
        <w:pStyle w:val="Subtitle"/>
        <w:numPr>
          <w:ilvl w:val="1"/>
          <w:numId w:val="2"/>
        </w:numPr>
        <w:spacing w:after="120"/>
        <w:rPr>
          <w:rStyle w:val="Emphasis"/>
          <w:color w:val="auto"/>
        </w:rPr>
      </w:pPr>
      <w:r w:rsidRPr="006722AC">
        <w:rPr>
          <w:rStyle w:val="Emphasis"/>
          <w:color w:val="auto"/>
        </w:rPr>
        <w:t xml:space="preserve">Medical appointment time – time spent in all appointments or emergency visits related to IBD, obtained through the direct costs. A factor of 0.5 days was considered for each </w:t>
      </w:r>
      <w:proofErr w:type="gramStart"/>
      <w:r w:rsidRPr="006722AC">
        <w:rPr>
          <w:rStyle w:val="Emphasis"/>
          <w:color w:val="auto"/>
        </w:rPr>
        <w:t>event;</w:t>
      </w:r>
      <w:proofErr w:type="gramEnd"/>
    </w:p>
    <w:p w14:paraId="760AC968" w14:textId="77777777" w:rsidR="00427361" w:rsidRPr="006722AC" w:rsidRDefault="00427361" w:rsidP="00427361">
      <w:pPr>
        <w:pStyle w:val="Subtitle"/>
        <w:numPr>
          <w:ilvl w:val="1"/>
          <w:numId w:val="2"/>
        </w:numPr>
        <w:spacing w:after="120"/>
        <w:rPr>
          <w:rStyle w:val="Emphasis"/>
          <w:color w:val="auto"/>
        </w:rPr>
      </w:pPr>
      <w:r w:rsidRPr="006722AC">
        <w:t>Day care facilities time</w:t>
      </w:r>
      <w:r w:rsidRPr="006722AC">
        <w:rPr>
          <w:rStyle w:val="Emphasis"/>
          <w:color w:val="auto"/>
        </w:rPr>
        <w:t xml:space="preserve"> – time spent in all day hospital sessions was obtained from the NHS 2016 data. A factor of 0.5 days was considered for each </w:t>
      </w:r>
      <w:proofErr w:type="gramStart"/>
      <w:r w:rsidRPr="006722AC">
        <w:rPr>
          <w:rStyle w:val="Emphasis"/>
          <w:color w:val="auto"/>
        </w:rPr>
        <w:t>session;</w:t>
      </w:r>
      <w:proofErr w:type="gramEnd"/>
    </w:p>
    <w:p w14:paraId="16DD9A2A" w14:textId="77777777" w:rsidR="00427361" w:rsidRPr="006722AC" w:rsidRDefault="00427361" w:rsidP="00427361">
      <w:pPr>
        <w:pStyle w:val="Subtitle"/>
        <w:numPr>
          <w:ilvl w:val="1"/>
          <w:numId w:val="2"/>
        </w:numPr>
        <w:spacing w:after="120"/>
        <w:rPr>
          <w:rStyle w:val="Emphasis"/>
          <w:color w:val="auto"/>
        </w:rPr>
      </w:pPr>
      <w:r w:rsidRPr="006722AC">
        <w:rPr>
          <w:rStyle w:val="Emphasis"/>
          <w:color w:val="auto"/>
        </w:rPr>
        <w:t xml:space="preserve">Sick leave – The number of days patients were on sick leave was collected via patient </w:t>
      </w:r>
      <w:proofErr w:type="gramStart"/>
      <w:r w:rsidRPr="006722AC">
        <w:rPr>
          <w:rStyle w:val="Emphasis"/>
          <w:color w:val="auto"/>
        </w:rPr>
        <w:t>study;</w:t>
      </w:r>
      <w:proofErr w:type="gramEnd"/>
    </w:p>
    <w:p w14:paraId="4E6FE8A4" w14:textId="77777777" w:rsidR="00427361" w:rsidRPr="006722AC" w:rsidRDefault="00427361" w:rsidP="00427361">
      <w:pPr>
        <w:pStyle w:val="Subtitle"/>
        <w:spacing w:after="120"/>
      </w:pPr>
      <w:r w:rsidRPr="006722AC">
        <w:t xml:space="preserve">Caretaker work absences: the number of days patients’ caretakers were absent from work was obtained from the APDI </w:t>
      </w:r>
      <w:r w:rsidRPr="006722AC">
        <w:rPr>
          <w:rStyle w:val="Emphasis"/>
          <w:color w:val="auto"/>
        </w:rPr>
        <w:t>patient study</w:t>
      </w:r>
      <w:r w:rsidRPr="006722AC">
        <w:t>, where information regarding the number of patients accompanied by a caretaker was collected, as well as their employment rate and the average number of days used by the caretaker in patient support;</w:t>
      </w:r>
    </w:p>
    <w:p w14:paraId="363CBBF0" w14:textId="77777777" w:rsidR="00427361" w:rsidRPr="006722AC" w:rsidRDefault="00427361" w:rsidP="00427361">
      <w:pPr>
        <w:pStyle w:val="Subtitle"/>
        <w:spacing w:after="120"/>
      </w:pPr>
      <w:r w:rsidRPr="006722AC">
        <w:t xml:space="preserve">Presenteeism: representing the reduced productivity of a patient due to disease, the number of working days patients lost to presenteeism was obtained through the APDI </w:t>
      </w:r>
      <w:r w:rsidRPr="006722AC">
        <w:rPr>
          <w:rStyle w:val="Emphasis"/>
          <w:color w:val="auto"/>
        </w:rPr>
        <w:t>patient study</w:t>
      </w:r>
      <w:r w:rsidRPr="006722AC">
        <w:t xml:space="preserve">. Specifically, patients reported how many hours they worked and how many of those hours were unproductive due to their IBD condition, generating an efficiency rate which was applied against 220 working </w:t>
      </w:r>
      <w:proofErr w:type="gramStart"/>
      <w:r w:rsidRPr="006722AC">
        <w:t>days;</w:t>
      </w:r>
      <w:proofErr w:type="gramEnd"/>
    </w:p>
    <w:p w14:paraId="5302B04A" w14:textId="60D8B4A6" w:rsidR="00427361" w:rsidRPr="006722AC" w:rsidRDefault="00427361" w:rsidP="00427361">
      <w:pPr>
        <w:pStyle w:val="Subtitle"/>
        <w:spacing w:after="120"/>
      </w:pPr>
      <w:r w:rsidRPr="006722AC">
        <w:t xml:space="preserve">Premature death: the median age of death obtained from the NHS 2016 data was compared with the national average life expectancy, generating the number of years lost, which was computed with the number of deaths. Costs were obtained by multiplying this figure by the national average social security income per capita, €3,372, a measure of the contribution of each resident per year to the state </w:t>
      </w:r>
      <w:r w:rsidR="00900CA9">
        <w:t>[35]</w:t>
      </w:r>
      <w:r w:rsidRPr="006722AC">
        <w:t>.</w:t>
      </w:r>
    </w:p>
    <w:p w14:paraId="2931F960" w14:textId="66212F74" w:rsidR="00427361" w:rsidRPr="006722AC" w:rsidRDefault="00427361" w:rsidP="00427361">
      <w:pPr>
        <w:pStyle w:val="Subtitle"/>
        <w:spacing w:after="120"/>
      </w:pPr>
      <w:r w:rsidRPr="006722AC">
        <w:t xml:space="preserve">Early retirement: the number of </w:t>
      </w:r>
      <w:proofErr w:type="gramStart"/>
      <w:r w:rsidRPr="006722AC">
        <w:t>work</w:t>
      </w:r>
      <w:proofErr w:type="gramEnd"/>
      <w:r w:rsidRPr="006722AC">
        <w:t xml:space="preserve"> lost due to early retirement associated with IBD was collected through the </w:t>
      </w:r>
      <w:r w:rsidRPr="006722AC">
        <w:rPr>
          <w:rStyle w:val="Emphasis"/>
          <w:color w:val="auto"/>
        </w:rPr>
        <w:t>patient study</w:t>
      </w:r>
      <w:r w:rsidRPr="006722AC">
        <w:t xml:space="preserve">. The average IBD patients’ age of retirement was subtracted from the national average age of retirement, 62.6 years, and multiplied by the number of retired patients. Again, national average social security income per capita was used to determine the cost </w:t>
      </w:r>
      <w:r w:rsidR="00900CA9">
        <w:t>[35]</w:t>
      </w:r>
      <w:r w:rsidRPr="006722AC">
        <w:t>.</w:t>
      </w:r>
    </w:p>
    <w:p w14:paraId="7D38A054" w14:textId="77777777" w:rsidR="00427361" w:rsidRPr="006722AC" w:rsidRDefault="00427361" w:rsidP="00427361">
      <w:pPr>
        <w:pStyle w:val="Heading1"/>
      </w:pPr>
      <w:bookmarkStart w:id="0" w:name="_Hlk60949983"/>
      <w:r w:rsidRPr="006722AC">
        <w:t>Appendix C</w:t>
      </w:r>
      <w:bookmarkEnd w:id="0"/>
    </w:p>
    <w:p w14:paraId="006BA929" w14:textId="77777777" w:rsidR="00427361" w:rsidRPr="006722AC" w:rsidRDefault="00427361" w:rsidP="00427361">
      <w:pPr>
        <w:keepNext/>
        <w:keepLines/>
        <w:spacing w:before="360" w:line="240" w:lineRule="auto"/>
        <w:outlineLvl w:val="1"/>
        <w:rPr>
          <w:rFonts w:eastAsiaTheme="majorEastAsia"/>
          <w:b/>
          <w:sz w:val="28"/>
          <w:lang w:val="en-US"/>
        </w:rPr>
      </w:pPr>
      <w:r w:rsidRPr="006722AC">
        <w:rPr>
          <w:rFonts w:eastAsiaTheme="majorEastAsia"/>
          <w:b/>
          <w:sz w:val="28"/>
        </w:rPr>
        <w:t>International Classification of Diseases (ICD-9) codes</w:t>
      </w:r>
    </w:p>
    <w:p w14:paraId="3D453A13" w14:textId="77777777" w:rsidR="00427361" w:rsidRPr="006722AC" w:rsidRDefault="00427361" w:rsidP="00427361">
      <w:pPr>
        <w:pStyle w:val="ListParagraph"/>
        <w:numPr>
          <w:ilvl w:val="0"/>
          <w:numId w:val="1"/>
        </w:numPr>
        <w:rPr>
          <w:lang w:val="en-GB"/>
        </w:rPr>
      </w:pPr>
      <w:r w:rsidRPr="006722AC">
        <w:rPr>
          <w:lang w:val="en-GB"/>
        </w:rPr>
        <w:t>Ulcerative Colitis</w:t>
      </w:r>
    </w:p>
    <w:p w14:paraId="23D1BCE1" w14:textId="77777777" w:rsidR="00427361" w:rsidRPr="006722AC" w:rsidRDefault="00427361" w:rsidP="00427361">
      <w:pPr>
        <w:pStyle w:val="ListParagraph"/>
        <w:numPr>
          <w:ilvl w:val="1"/>
          <w:numId w:val="1"/>
        </w:numPr>
        <w:rPr>
          <w:lang w:val="en-GB"/>
        </w:rPr>
      </w:pPr>
      <w:r w:rsidRPr="006722AC">
        <w:rPr>
          <w:lang w:val="en-GB"/>
        </w:rPr>
        <w:t xml:space="preserve">556.0 - Ulcerative (chronic) </w:t>
      </w:r>
      <w:proofErr w:type="gramStart"/>
      <w:r w:rsidRPr="006722AC">
        <w:rPr>
          <w:lang w:val="en-GB"/>
        </w:rPr>
        <w:t>enterocolitis;</w:t>
      </w:r>
      <w:proofErr w:type="gramEnd"/>
    </w:p>
    <w:p w14:paraId="4047B7BD" w14:textId="77777777" w:rsidR="00427361" w:rsidRPr="006722AC" w:rsidRDefault="00427361" w:rsidP="00427361">
      <w:pPr>
        <w:pStyle w:val="ListParagraph"/>
        <w:numPr>
          <w:ilvl w:val="1"/>
          <w:numId w:val="1"/>
        </w:numPr>
        <w:rPr>
          <w:lang w:val="en-GB"/>
        </w:rPr>
      </w:pPr>
      <w:r w:rsidRPr="006722AC">
        <w:rPr>
          <w:lang w:val="en-GB"/>
        </w:rPr>
        <w:t xml:space="preserve">556.1 - Ulcerative (chronic) </w:t>
      </w:r>
      <w:proofErr w:type="gramStart"/>
      <w:r w:rsidRPr="006722AC">
        <w:rPr>
          <w:lang w:val="en-GB"/>
        </w:rPr>
        <w:t>colitis;</w:t>
      </w:r>
      <w:proofErr w:type="gramEnd"/>
    </w:p>
    <w:p w14:paraId="1A60A9C0" w14:textId="77777777" w:rsidR="00427361" w:rsidRPr="006722AC" w:rsidRDefault="00427361" w:rsidP="00427361">
      <w:pPr>
        <w:pStyle w:val="ListParagraph"/>
        <w:numPr>
          <w:ilvl w:val="1"/>
          <w:numId w:val="1"/>
        </w:numPr>
        <w:rPr>
          <w:lang w:val="en-GB"/>
        </w:rPr>
      </w:pPr>
      <w:r w:rsidRPr="006722AC">
        <w:rPr>
          <w:lang w:val="en-GB"/>
        </w:rPr>
        <w:lastRenderedPageBreak/>
        <w:t xml:space="preserve">556.2 - Ulcerative (chronic) </w:t>
      </w:r>
      <w:proofErr w:type="gramStart"/>
      <w:r w:rsidRPr="006722AC">
        <w:rPr>
          <w:lang w:val="en-GB"/>
        </w:rPr>
        <w:t>proctitis;</w:t>
      </w:r>
      <w:proofErr w:type="gramEnd"/>
    </w:p>
    <w:p w14:paraId="095CE74C" w14:textId="77777777" w:rsidR="00427361" w:rsidRPr="006722AC" w:rsidRDefault="00427361" w:rsidP="00427361">
      <w:pPr>
        <w:pStyle w:val="ListParagraph"/>
        <w:numPr>
          <w:ilvl w:val="1"/>
          <w:numId w:val="1"/>
        </w:numPr>
        <w:rPr>
          <w:lang w:val="en-GB"/>
        </w:rPr>
      </w:pPr>
      <w:r w:rsidRPr="006722AC">
        <w:rPr>
          <w:lang w:val="en-GB"/>
        </w:rPr>
        <w:t xml:space="preserve">556.3 - Ulcerative (chronic) </w:t>
      </w:r>
      <w:proofErr w:type="gramStart"/>
      <w:r w:rsidRPr="006722AC">
        <w:rPr>
          <w:lang w:val="en-GB"/>
        </w:rPr>
        <w:t>proctosigmoiditis;</w:t>
      </w:r>
      <w:proofErr w:type="gramEnd"/>
    </w:p>
    <w:p w14:paraId="4C21F918" w14:textId="77777777" w:rsidR="00427361" w:rsidRPr="006722AC" w:rsidRDefault="00427361" w:rsidP="00427361">
      <w:pPr>
        <w:pStyle w:val="ListParagraph"/>
        <w:numPr>
          <w:ilvl w:val="1"/>
          <w:numId w:val="1"/>
        </w:numPr>
        <w:rPr>
          <w:lang w:val="en-GB"/>
        </w:rPr>
      </w:pPr>
      <w:r w:rsidRPr="006722AC">
        <w:rPr>
          <w:lang w:val="en-GB"/>
        </w:rPr>
        <w:t xml:space="preserve">556.5 - Left-sided ulcerative (chronic) </w:t>
      </w:r>
      <w:proofErr w:type="gramStart"/>
      <w:r w:rsidRPr="006722AC">
        <w:rPr>
          <w:lang w:val="en-GB"/>
        </w:rPr>
        <w:t>colitis;</w:t>
      </w:r>
      <w:proofErr w:type="gramEnd"/>
    </w:p>
    <w:p w14:paraId="4E5DE72F" w14:textId="77777777" w:rsidR="00427361" w:rsidRPr="006722AC" w:rsidRDefault="00427361" w:rsidP="00427361">
      <w:pPr>
        <w:pStyle w:val="ListParagraph"/>
        <w:numPr>
          <w:ilvl w:val="1"/>
          <w:numId w:val="1"/>
        </w:numPr>
        <w:rPr>
          <w:lang w:val="en-GB"/>
        </w:rPr>
      </w:pPr>
      <w:r w:rsidRPr="006722AC">
        <w:rPr>
          <w:lang w:val="en-GB"/>
        </w:rPr>
        <w:t xml:space="preserve">556.6 - Universal ulcerative (chronic) </w:t>
      </w:r>
      <w:proofErr w:type="gramStart"/>
      <w:r w:rsidRPr="006722AC">
        <w:rPr>
          <w:lang w:val="en-GB"/>
        </w:rPr>
        <w:t>colitis;</w:t>
      </w:r>
      <w:proofErr w:type="gramEnd"/>
    </w:p>
    <w:p w14:paraId="037ACB46" w14:textId="77777777" w:rsidR="00427361" w:rsidRPr="006722AC" w:rsidRDefault="00427361" w:rsidP="00427361">
      <w:pPr>
        <w:pStyle w:val="ListParagraph"/>
        <w:numPr>
          <w:ilvl w:val="1"/>
          <w:numId w:val="1"/>
        </w:numPr>
        <w:rPr>
          <w:lang w:val="en-GB"/>
        </w:rPr>
      </w:pPr>
      <w:r w:rsidRPr="006722AC">
        <w:rPr>
          <w:lang w:val="en-GB"/>
        </w:rPr>
        <w:t xml:space="preserve">556.8 - Other ulcerative </w:t>
      </w:r>
      <w:proofErr w:type="gramStart"/>
      <w:r w:rsidRPr="006722AC">
        <w:rPr>
          <w:lang w:val="en-GB"/>
        </w:rPr>
        <w:t>colitis;</w:t>
      </w:r>
      <w:proofErr w:type="gramEnd"/>
    </w:p>
    <w:p w14:paraId="18D4DDB3" w14:textId="77777777" w:rsidR="00427361" w:rsidRPr="006722AC" w:rsidRDefault="00427361" w:rsidP="00427361">
      <w:pPr>
        <w:pStyle w:val="ListParagraph"/>
        <w:numPr>
          <w:ilvl w:val="1"/>
          <w:numId w:val="1"/>
        </w:numPr>
        <w:rPr>
          <w:lang w:val="en-GB"/>
        </w:rPr>
      </w:pPr>
      <w:r w:rsidRPr="006722AC">
        <w:rPr>
          <w:lang w:val="en-GB"/>
        </w:rPr>
        <w:t>556.9 - Ulcerative colitis, unspecified.</w:t>
      </w:r>
    </w:p>
    <w:p w14:paraId="3949E861" w14:textId="77777777" w:rsidR="00427361" w:rsidRPr="006722AC" w:rsidRDefault="00427361" w:rsidP="00427361">
      <w:pPr>
        <w:pStyle w:val="ListParagraph"/>
        <w:numPr>
          <w:ilvl w:val="0"/>
          <w:numId w:val="1"/>
        </w:numPr>
        <w:rPr>
          <w:lang w:val="en-GB"/>
        </w:rPr>
      </w:pPr>
      <w:r w:rsidRPr="006722AC">
        <w:rPr>
          <w:lang w:val="en-GB"/>
        </w:rPr>
        <w:t>Crohn’s Disease</w:t>
      </w:r>
    </w:p>
    <w:p w14:paraId="6364AE99" w14:textId="77777777" w:rsidR="00427361" w:rsidRPr="006722AC" w:rsidRDefault="00427361" w:rsidP="00427361">
      <w:pPr>
        <w:pStyle w:val="ListParagraph"/>
        <w:numPr>
          <w:ilvl w:val="1"/>
          <w:numId w:val="1"/>
        </w:numPr>
        <w:rPr>
          <w:lang w:val="en-GB"/>
        </w:rPr>
      </w:pPr>
      <w:r w:rsidRPr="006722AC">
        <w:rPr>
          <w:lang w:val="en-GB"/>
        </w:rPr>
        <w:t xml:space="preserve">555.0 - Regional enteritis of small </w:t>
      </w:r>
      <w:proofErr w:type="gramStart"/>
      <w:r w:rsidRPr="006722AC">
        <w:rPr>
          <w:lang w:val="en-GB"/>
        </w:rPr>
        <w:t>intestine;</w:t>
      </w:r>
      <w:proofErr w:type="gramEnd"/>
    </w:p>
    <w:p w14:paraId="288B09DC" w14:textId="77777777" w:rsidR="00427361" w:rsidRPr="006722AC" w:rsidRDefault="00427361" w:rsidP="00427361">
      <w:pPr>
        <w:pStyle w:val="ListParagraph"/>
        <w:numPr>
          <w:ilvl w:val="1"/>
          <w:numId w:val="1"/>
        </w:numPr>
        <w:rPr>
          <w:lang w:val="en-GB"/>
        </w:rPr>
      </w:pPr>
      <w:r w:rsidRPr="006722AC">
        <w:rPr>
          <w:lang w:val="en-GB"/>
        </w:rPr>
        <w:t xml:space="preserve">555.1 - Regional enteritis of large </w:t>
      </w:r>
      <w:proofErr w:type="gramStart"/>
      <w:r w:rsidRPr="006722AC">
        <w:rPr>
          <w:lang w:val="en-GB"/>
        </w:rPr>
        <w:t>intestine;</w:t>
      </w:r>
      <w:proofErr w:type="gramEnd"/>
    </w:p>
    <w:p w14:paraId="7906146F" w14:textId="77777777" w:rsidR="00427361" w:rsidRPr="006722AC" w:rsidRDefault="00427361" w:rsidP="00427361">
      <w:pPr>
        <w:pStyle w:val="ListParagraph"/>
        <w:numPr>
          <w:ilvl w:val="1"/>
          <w:numId w:val="1"/>
        </w:numPr>
        <w:rPr>
          <w:lang w:val="en-GB"/>
        </w:rPr>
      </w:pPr>
      <w:r w:rsidRPr="006722AC">
        <w:rPr>
          <w:lang w:val="en-GB"/>
        </w:rPr>
        <w:t xml:space="preserve">555.2 - Regional enteritis of small intestine with large </w:t>
      </w:r>
      <w:proofErr w:type="gramStart"/>
      <w:r w:rsidRPr="006722AC">
        <w:rPr>
          <w:lang w:val="en-GB"/>
        </w:rPr>
        <w:t>intestine;</w:t>
      </w:r>
      <w:proofErr w:type="gramEnd"/>
    </w:p>
    <w:p w14:paraId="794AEC85" w14:textId="77777777" w:rsidR="00427361" w:rsidRPr="006722AC" w:rsidRDefault="00427361" w:rsidP="00427361">
      <w:r w:rsidRPr="006722AC">
        <w:t>555.9 - Regional enteritis of unspecified site</w:t>
      </w:r>
    </w:p>
    <w:p w14:paraId="4A609072" w14:textId="77777777" w:rsidR="00427361" w:rsidRPr="006722AC" w:rsidRDefault="00427361" w:rsidP="00427361">
      <w:pPr>
        <w:pStyle w:val="Heading1"/>
      </w:pPr>
      <w:r w:rsidRPr="006722AC">
        <w:t>Appendix D</w:t>
      </w:r>
    </w:p>
    <w:p w14:paraId="75922F11" w14:textId="77777777" w:rsidR="00427361" w:rsidRPr="006722AC" w:rsidRDefault="00427361" w:rsidP="00427361">
      <w:pPr>
        <w:keepNext/>
        <w:keepLines/>
        <w:spacing w:before="360" w:line="240" w:lineRule="auto"/>
        <w:outlineLvl w:val="1"/>
        <w:rPr>
          <w:rFonts w:eastAsiaTheme="majorEastAsia"/>
          <w:b/>
          <w:sz w:val="28"/>
          <w:lang w:val="en-US"/>
        </w:rPr>
      </w:pPr>
      <w:r w:rsidRPr="006722AC">
        <w:rPr>
          <w:rFonts w:eastAsiaTheme="majorEastAsia"/>
          <w:b/>
          <w:sz w:val="28"/>
        </w:rPr>
        <w:t>Drug costs detail per molecule</w:t>
      </w:r>
    </w:p>
    <w:p w14:paraId="04248E39" w14:textId="77777777" w:rsidR="00427361" w:rsidRPr="006722AC" w:rsidRDefault="00427361" w:rsidP="00427361">
      <w:pPr>
        <w:pStyle w:val="Heading3"/>
        <w:spacing w:before="240"/>
        <w:rPr>
          <w:lang w:val="en-GB"/>
        </w:rPr>
      </w:pPr>
      <w:r w:rsidRPr="006722AC">
        <w:rPr>
          <w:lang w:val="en-GB"/>
        </w:rPr>
        <w:t>Retail costs</w:t>
      </w:r>
    </w:p>
    <w:tbl>
      <w:tblPr>
        <w:tblStyle w:val="PlainTable2"/>
        <w:tblW w:w="6720" w:type="dxa"/>
        <w:tblLook w:val="0600" w:firstRow="0" w:lastRow="0" w:firstColumn="0" w:lastColumn="0" w:noHBand="1" w:noVBand="1"/>
      </w:tblPr>
      <w:tblGrid>
        <w:gridCol w:w="1865"/>
        <w:gridCol w:w="561"/>
        <w:gridCol w:w="1866"/>
        <w:gridCol w:w="562"/>
        <w:gridCol w:w="1866"/>
      </w:tblGrid>
      <w:tr w:rsidR="006722AC" w:rsidRPr="006722AC" w14:paraId="65870B29" w14:textId="77777777" w:rsidTr="00B51775">
        <w:trPr>
          <w:trHeight w:val="371"/>
        </w:trPr>
        <w:tc>
          <w:tcPr>
            <w:tcW w:w="1860" w:type="dxa"/>
            <w:hideMark/>
          </w:tcPr>
          <w:p w14:paraId="0970DBAE" w14:textId="77777777" w:rsidR="00427361" w:rsidRPr="006722AC" w:rsidRDefault="00427361" w:rsidP="00B51775">
            <w:pPr>
              <w:rPr>
                <w:lang w:val="pt-PT"/>
              </w:rPr>
            </w:pPr>
            <w:r w:rsidRPr="006722AC">
              <w:rPr>
                <w:b/>
                <w:bCs/>
              </w:rPr>
              <w:t>Molecule</w:t>
            </w:r>
          </w:p>
        </w:tc>
        <w:tc>
          <w:tcPr>
            <w:tcW w:w="560" w:type="dxa"/>
            <w:hideMark/>
          </w:tcPr>
          <w:p w14:paraId="49A853D0" w14:textId="77777777" w:rsidR="00427361" w:rsidRPr="006722AC" w:rsidRDefault="00427361" w:rsidP="00B51775">
            <w:pPr>
              <w:rPr>
                <w:lang w:val="pt-PT"/>
              </w:rPr>
            </w:pPr>
          </w:p>
        </w:tc>
        <w:tc>
          <w:tcPr>
            <w:tcW w:w="1860" w:type="dxa"/>
            <w:hideMark/>
          </w:tcPr>
          <w:p w14:paraId="59A435D7" w14:textId="77777777" w:rsidR="00427361" w:rsidRPr="006722AC" w:rsidRDefault="00427361" w:rsidP="00B51775">
            <w:pPr>
              <w:rPr>
                <w:lang w:val="pt-PT"/>
              </w:rPr>
            </w:pPr>
            <w:r w:rsidRPr="006722AC">
              <w:rPr>
                <w:b/>
                <w:bCs/>
              </w:rPr>
              <w:t>UC</w:t>
            </w:r>
          </w:p>
        </w:tc>
        <w:tc>
          <w:tcPr>
            <w:tcW w:w="560" w:type="dxa"/>
            <w:hideMark/>
          </w:tcPr>
          <w:p w14:paraId="0BB26CCC" w14:textId="77777777" w:rsidR="00427361" w:rsidRPr="006722AC" w:rsidRDefault="00427361" w:rsidP="00B51775">
            <w:pPr>
              <w:rPr>
                <w:lang w:val="pt-PT"/>
              </w:rPr>
            </w:pPr>
          </w:p>
        </w:tc>
        <w:tc>
          <w:tcPr>
            <w:tcW w:w="1860" w:type="dxa"/>
            <w:hideMark/>
          </w:tcPr>
          <w:p w14:paraId="570492F8" w14:textId="77777777" w:rsidR="00427361" w:rsidRPr="006722AC" w:rsidRDefault="00427361" w:rsidP="00B51775">
            <w:pPr>
              <w:rPr>
                <w:lang w:val="pt-PT"/>
              </w:rPr>
            </w:pPr>
            <w:r w:rsidRPr="006722AC">
              <w:rPr>
                <w:b/>
                <w:bCs/>
              </w:rPr>
              <w:t>CD</w:t>
            </w:r>
          </w:p>
        </w:tc>
      </w:tr>
      <w:tr w:rsidR="006722AC" w:rsidRPr="006722AC" w14:paraId="3880CEE0" w14:textId="77777777" w:rsidTr="00B51775">
        <w:trPr>
          <w:trHeight w:val="170"/>
        </w:trPr>
        <w:tc>
          <w:tcPr>
            <w:tcW w:w="1077" w:type="dxa"/>
            <w:hideMark/>
          </w:tcPr>
          <w:p w14:paraId="08C40049" w14:textId="77777777" w:rsidR="00427361" w:rsidRPr="006722AC" w:rsidRDefault="00427361" w:rsidP="00B51775">
            <w:pPr>
              <w:rPr>
                <w:lang w:val="pt-PT"/>
              </w:rPr>
            </w:pPr>
            <w:r w:rsidRPr="006722AC">
              <w:rPr>
                <w:lang w:val="en-US"/>
              </w:rPr>
              <w:t>Azathioprine</w:t>
            </w:r>
          </w:p>
        </w:tc>
        <w:tc>
          <w:tcPr>
            <w:tcW w:w="560" w:type="dxa"/>
            <w:hideMark/>
          </w:tcPr>
          <w:p w14:paraId="624BA292" w14:textId="77777777" w:rsidR="00427361" w:rsidRPr="006722AC" w:rsidRDefault="00427361" w:rsidP="00B51775">
            <w:pPr>
              <w:rPr>
                <w:lang w:val="pt-PT"/>
              </w:rPr>
            </w:pPr>
          </w:p>
        </w:tc>
        <w:tc>
          <w:tcPr>
            <w:tcW w:w="1860" w:type="dxa"/>
            <w:hideMark/>
          </w:tcPr>
          <w:p w14:paraId="0AA8A1C5" w14:textId="444443C1" w:rsidR="00427361" w:rsidRPr="006722AC" w:rsidRDefault="00427361" w:rsidP="00B51775">
            <w:pPr>
              <w:rPr>
                <w:lang w:val="pt-PT"/>
              </w:rPr>
            </w:pPr>
            <w:r w:rsidRPr="006722AC">
              <w:rPr>
                <w:lang w:val="en-US"/>
              </w:rPr>
              <w:t>320</w:t>
            </w:r>
            <w:r w:rsidR="00E17944" w:rsidRPr="006722AC">
              <w:rPr>
                <w:lang w:val="en-US"/>
              </w:rPr>
              <w:t>,</w:t>
            </w:r>
            <w:r w:rsidRPr="006722AC">
              <w:rPr>
                <w:lang w:val="en-US"/>
              </w:rPr>
              <w:t>506 €</w:t>
            </w:r>
          </w:p>
        </w:tc>
        <w:tc>
          <w:tcPr>
            <w:tcW w:w="560" w:type="dxa"/>
            <w:hideMark/>
          </w:tcPr>
          <w:p w14:paraId="0252B72C" w14:textId="77777777" w:rsidR="00427361" w:rsidRPr="006722AC" w:rsidRDefault="00427361" w:rsidP="00B51775">
            <w:pPr>
              <w:rPr>
                <w:lang w:val="pt-PT"/>
              </w:rPr>
            </w:pPr>
          </w:p>
        </w:tc>
        <w:tc>
          <w:tcPr>
            <w:tcW w:w="1860" w:type="dxa"/>
            <w:hideMark/>
          </w:tcPr>
          <w:p w14:paraId="3A49B3BB" w14:textId="68E085A3" w:rsidR="00427361" w:rsidRPr="006722AC" w:rsidRDefault="00427361" w:rsidP="00B51775">
            <w:pPr>
              <w:rPr>
                <w:lang w:val="pt-PT"/>
              </w:rPr>
            </w:pPr>
            <w:r w:rsidRPr="006722AC">
              <w:rPr>
                <w:lang w:val="en-US"/>
              </w:rPr>
              <w:t>996</w:t>
            </w:r>
            <w:r w:rsidR="006722AC" w:rsidRPr="006722AC">
              <w:rPr>
                <w:lang w:val="en-US"/>
              </w:rPr>
              <w:t>,</w:t>
            </w:r>
            <w:r w:rsidRPr="006722AC">
              <w:rPr>
                <w:lang w:val="en-US"/>
              </w:rPr>
              <w:t xml:space="preserve">805 € </w:t>
            </w:r>
          </w:p>
        </w:tc>
      </w:tr>
      <w:tr w:rsidR="006722AC" w:rsidRPr="006722AC" w14:paraId="1001B4E3" w14:textId="77777777" w:rsidTr="00B51775">
        <w:trPr>
          <w:trHeight w:val="170"/>
        </w:trPr>
        <w:tc>
          <w:tcPr>
            <w:tcW w:w="1077" w:type="dxa"/>
            <w:hideMark/>
          </w:tcPr>
          <w:p w14:paraId="408D2BDC" w14:textId="77777777" w:rsidR="00427361" w:rsidRPr="006722AC" w:rsidRDefault="00427361" w:rsidP="00B51775">
            <w:pPr>
              <w:rPr>
                <w:lang w:val="pt-PT"/>
              </w:rPr>
            </w:pPr>
            <w:r w:rsidRPr="006722AC">
              <w:rPr>
                <w:lang w:val="en-US"/>
              </w:rPr>
              <w:t>Budesonide</w:t>
            </w:r>
          </w:p>
        </w:tc>
        <w:tc>
          <w:tcPr>
            <w:tcW w:w="560" w:type="dxa"/>
            <w:hideMark/>
          </w:tcPr>
          <w:p w14:paraId="02D87184" w14:textId="77777777" w:rsidR="00427361" w:rsidRPr="006722AC" w:rsidRDefault="00427361" w:rsidP="00B51775">
            <w:pPr>
              <w:rPr>
                <w:lang w:val="pt-PT"/>
              </w:rPr>
            </w:pPr>
          </w:p>
        </w:tc>
        <w:tc>
          <w:tcPr>
            <w:tcW w:w="1860" w:type="dxa"/>
            <w:hideMark/>
          </w:tcPr>
          <w:p w14:paraId="44877938" w14:textId="299183F8" w:rsidR="00427361" w:rsidRPr="006722AC" w:rsidRDefault="00427361" w:rsidP="00B51775">
            <w:pPr>
              <w:rPr>
                <w:lang w:val="pt-PT"/>
              </w:rPr>
            </w:pPr>
            <w:r w:rsidRPr="006722AC">
              <w:rPr>
                <w:lang w:val="en-US"/>
              </w:rPr>
              <w:t>142</w:t>
            </w:r>
            <w:r w:rsidR="00E17944" w:rsidRPr="006722AC">
              <w:rPr>
                <w:lang w:val="en-US"/>
              </w:rPr>
              <w:t>,</w:t>
            </w:r>
            <w:r w:rsidRPr="006722AC">
              <w:rPr>
                <w:lang w:val="en-US"/>
              </w:rPr>
              <w:t>619 €</w:t>
            </w:r>
          </w:p>
        </w:tc>
        <w:tc>
          <w:tcPr>
            <w:tcW w:w="560" w:type="dxa"/>
            <w:hideMark/>
          </w:tcPr>
          <w:p w14:paraId="1C422FE4" w14:textId="77777777" w:rsidR="00427361" w:rsidRPr="006722AC" w:rsidRDefault="00427361" w:rsidP="00B51775">
            <w:pPr>
              <w:rPr>
                <w:lang w:val="pt-PT"/>
              </w:rPr>
            </w:pPr>
          </w:p>
        </w:tc>
        <w:tc>
          <w:tcPr>
            <w:tcW w:w="1860" w:type="dxa"/>
            <w:hideMark/>
          </w:tcPr>
          <w:p w14:paraId="32340071" w14:textId="580726F4" w:rsidR="00427361" w:rsidRPr="006722AC" w:rsidRDefault="00427361" w:rsidP="00B51775">
            <w:pPr>
              <w:rPr>
                <w:lang w:val="pt-PT"/>
              </w:rPr>
            </w:pPr>
            <w:r w:rsidRPr="006722AC">
              <w:rPr>
                <w:lang w:val="en-US"/>
              </w:rPr>
              <w:t>359</w:t>
            </w:r>
            <w:r w:rsidR="006722AC" w:rsidRPr="006722AC">
              <w:rPr>
                <w:lang w:val="en-US"/>
              </w:rPr>
              <w:t>,</w:t>
            </w:r>
            <w:r w:rsidRPr="006722AC">
              <w:rPr>
                <w:lang w:val="en-US"/>
              </w:rPr>
              <w:t xml:space="preserve">752 € </w:t>
            </w:r>
          </w:p>
        </w:tc>
      </w:tr>
      <w:tr w:rsidR="006722AC" w:rsidRPr="006722AC" w14:paraId="5F087D58" w14:textId="77777777" w:rsidTr="00B51775">
        <w:trPr>
          <w:trHeight w:val="196"/>
        </w:trPr>
        <w:tc>
          <w:tcPr>
            <w:tcW w:w="1077" w:type="dxa"/>
            <w:hideMark/>
          </w:tcPr>
          <w:p w14:paraId="2C852708" w14:textId="77777777" w:rsidR="00427361" w:rsidRPr="006722AC" w:rsidRDefault="00427361" w:rsidP="00B51775">
            <w:pPr>
              <w:rPr>
                <w:lang w:val="pt-PT"/>
              </w:rPr>
            </w:pPr>
            <w:r w:rsidRPr="006722AC">
              <w:rPr>
                <w:lang w:val="en-US"/>
              </w:rPr>
              <w:t>Hydrocortisone</w:t>
            </w:r>
          </w:p>
        </w:tc>
        <w:tc>
          <w:tcPr>
            <w:tcW w:w="560" w:type="dxa"/>
            <w:hideMark/>
          </w:tcPr>
          <w:p w14:paraId="0B372B16" w14:textId="77777777" w:rsidR="00427361" w:rsidRPr="006722AC" w:rsidRDefault="00427361" w:rsidP="00B51775">
            <w:pPr>
              <w:rPr>
                <w:lang w:val="pt-PT"/>
              </w:rPr>
            </w:pPr>
          </w:p>
        </w:tc>
        <w:tc>
          <w:tcPr>
            <w:tcW w:w="1860" w:type="dxa"/>
            <w:hideMark/>
          </w:tcPr>
          <w:p w14:paraId="5E7CA1EA" w14:textId="33497C97" w:rsidR="00427361" w:rsidRPr="006722AC" w:rsidRDefault="00427361" w:rsidP="00B51775">
            <w:pPr>
              <w:rPr>
                <w:lang w:val="pt-PT"/>
              </w:rPr>
            </w:pPr>
            <w:r w:rsidRPr="006722AC">
              <w:rPr>
                <w:lang w:val="en-US"/>
              </w:rPr>
              <w:t>56</w:t>
            </w:r>
            <w:r w:rsidR="00E17944" w:rsidRPr="006722AC">
              <w:rPr>
                <w:lang w:val="en-US"/>
              </w:rPr>
              <w:t>,</w:t>
            </w:r>
            <w:r w:rsidRPr="006722AC">
              <w:rPr>
                <w:lang w:val="en-US"/>
              </w:rPr>
              <w:t>394 €</w:t>
            </w:r>
          </w:p>
        </w:tc>
        <w:tc>
          <w:tcPr>
            <w:tcW w:w="560" w:type="dxa"/>
            <w:hideMark/>
          </w:tcPr>
          <w:p w14:paraId="6E5C6D50" w14:textId="77777777" w:rsidR="00427361" w:rsidRPr="006722AC" w:rsidRDefault="00427361" w:rsidP="00B51775">
            <w:pPr>
              <w:rPr>
                <w:lang w:val="pt-PT"/>
              </w:rPr>
            </w:pPr>
          </w:p>
        </w:tc>
        <w:tc>
          <w:tcPr>
            <w:tcW w:w="1860" w:type="dxa"/>
            <w:hideMark/>
          </w:tcPr>
          <w:p w14:paraId="6ADA9810" w14:textId="0FDB7F79" w:rsidR="00427361" w:rsidRPr="006722AC" w:rsidRDefault="00427361" w:rsidP="00B51775">
            <w:pPr>
              <w:rPr>
                <w:lang w:val="pt-PT"/>
              </w:rPr>
            </w:pPr>
            <w:r w:rsidRPr="006722AC">
              <w:rPr>
                <w:lang w:val="en-US"/>
              </w:rPr>
              <w:t>142</w:t>
            </w:r>
            <w:r w:rsidR="006722AC" w:rsidRPr="006722AC">
              <w:rPr>
                <w:lang w:val="en-US"/>
              </w:rPr>
              <w:t>,</w:t>
            </w:r>
            <w:r w:rsidRPr="006722AC">
              <w:rPr>
                <w:lang w:val="en-US"/>
              </w:rPr>
              <w:t xml:space="preserve">253 € </w:t>
            </w:r>
          </w:p>
        </w:tc>
      </w:tr>
      <w:tr w:rsidR="006722AC" w:rsidRPr="006722AC" w14:paraId="53772017" w14:textId="77777777" w:rsidTr="00B51775">
        <w:trPr>
          <w:trHeight w:val="170"/>
        </w:trPr>
        <w:tc>
          <w:tcPr>
            <w:tcW w:w="1077" w:type="dxa"/>
            <w:hideMark/>
          </w:tcPr>
          <w:p w14:paraId="63BD8996" w14:textId="77777777" w:rsidR="00427361" w:rsidRPr="006722AC" w:rsidRDefault="00427361" w:rsidP="00B51775">
            <w:pPr>
              <w:rPr>
                <w:lang w:val="pt-PT"/>
              </w:rPr>
            </w:pPr>
            <w:r w:rsidRPr="006722AC">
              <w:rPr>
                <w:lang w:val="en-US"/>
              </w:rPr>
              <w:t>Mesalazine</w:t>
            </w:r>
          </w:p>
        </w:tc>
        <w:tc>
          <w:tcPr>
            <w:tcW w:w="560" w:type="dxa"/>
            <w:hideMark/>
          </w:tcPr>
          <w:p w14:paraId="7954198E" w14:textId="77777777" w:rsidR="00427361" w:rsidRPr="006722AC" w:rsidRDefault="00427361" w:rsidP="00B51775">
            <w:pPr>
              <w:rPr>
                <w:lang w:val="pt-PT"/>
              </w:rPr>
            </w:pPr>
          </w:p>
        </w:tc>
        <w:tc>
          <w:tcPr>
            <w:tcW w:w="1860" w:type="dxa"/>
            <w:hideMark/>
          </w:tcPr>
          <w:p w14:paraId="2A65432A" w14:textId="4DCFE345" w:rsidR="00427361" w:rsidRPr="006722AC" w:rsidRDefault="00427361" w:rsidP="00B51775">
            <w:pPr>
              <w:rPr>
                <w:lang w:val="pt-PT"/>
              </w:rPr>
            </w:pPr>
            <w:r w:rsidRPr="006722AC">
              <w:rPr>
                <w:lang w:val="en-US"/>
              </w:rPr>
              <w:t>10</w:t>
            </w:r>
            <w:r w:rsidR="00E17944" w:rsidRPr="006722AC">
              <w:rPr>
                <w:lang w:val="en-US"/>
              </w:rPr>
              <w:t>,</w:t>
            </w:r>
            <w:r w:rsidRPr="006722AC">
              <w:rPr>
                <w:lang w:val="en-US"/>
              </w:rPr>
              <w:t>118</w:t>
            </w:r>
            <w:r w:rsidR="00E17944" w:rsidRPr="006722AC">
              <w:rPr>
                <w:lang w:val="en-US"/>
              </w:rPr>
              <w:t>,</w:t>
            </w:r>
            <w:r w:rsidRPr="006722AC">
              <w:rPr>
                <w:lang w:val="en-US"/>
              </w:rPr>
              <w:t>105 €</w:t>
            </w:r>
          </w:p>
        </w:tc>
        <w:tc>
          <w:tcPr>
            <w:tcW w:w="560" w:type="dxa"/>
            <w:hideMark/>
          </w:tcPr>
          <w:p w14:paraId="09CE6F5D" w14:textId="77777777" w:rsidR="00427361" w:rsidRPr="006722AC" w:rsidRDefault="00427361" w:rsidP="00B51775">
            <w:pPr>
              <w:rPr>
                <w:lang w:val="pt-PT"/>
              </w:rPr>
            </w:pPr>
          </w:p>
        </w:tc>
        <w:tc>
          <w:tcPr>
            <w:tcW w:w="1860" w:type="dxa"/>
            <w:hideMark/>
          </w:tcPr>
          <w:p w14:paraId="4F92F2BD" w14:textId="497032DA" w:rsidR="00427361" w:rsidRPr="006722AC" w:rsidRDefault="00427361" w:rsidP="00B51775">
            <w:pPr>
              <w:rPr>
                <w:lang w:val="pt-PT"/>
              </w:rPr>
            </w:pPr>
            <w:r w:rsidRPr="006722AC">
              <w:rPr>
                <w:lang w:val="en-US"/>
              </w:rPr>
              <w:t>1,647</w:t>
            </w:r>
            <w:r w:rsidR="006722AC" w:rsidRPr="006722AC">
              <w:rPr>
                <w:lang w:val="en-US"/>
              </w:rPr>
              <w:t>,</w:t>
            </w:r>
            <w:r w:rsidRPr="006722AC">
              <w:rPr>
                <w:lang w:val="en-US"/>
              </w:rPr>
              <w:t>133 €</w:t>
            </w:r>
          </w:p>
        </w:tc>
      </w:tr>
      <w:tr w:rsidR="006722AC" w:rsidRPr="006722AC" w14:paraId="4F9C4E84" w14:textId="77777777" w:rsidTr="00B51775">
        <w:trPr>
          <w:trHeight w:val="170"/>
        </w:trPr>
        <w:tc>
          <w:tcPr>
            <w:tcW w:w="1077" w:type="dxa"/>
            <w:hideMark/>
          </w:tcPr>
          <w:p w14:paraId="1C16ED9F" w14:textId="77777777" w:rsidR="00427361" w:rsidRPr="006722AC" w:rsidRDefault="00427361" w:rsidP="00B51775">
            <w:pPr>
              <w:rPr>
                <w:lang w:val="pt-PT"/>
              </w:rPr>
            </w:pPr>
            <w:r w:rsidRPr="006722AC">
              <w:rPr>
                <w:lang w:val="en-US"/>
              </w:rPr>
              <w:t>Methotrexate</w:t>
            </w:r>
          </w:p>
        </w:tc>
        <w:tc>
          <w:tcPr>
            <w:tcW w:w="560" w:type="dxa"/>
            <w:hideMark/>
          </w:tcPr>
          <w:p w14:paraId="36A6A961" w14:textId="77777777" w:rsidR="00427361" w:rsidRPr="006722AC" w:rsidRDefault="00427361" w:rsidP="00B51775">
            <w:pPr>
              <w:rPr>
                <w:lang w:val="pt-PT"/>
              </w:rPr>
            </w:pPr>
          </w:p>
        </w:tc>
        <w:tc>
          <w:tcPr>
            <w:tcW w:w="1860" w:type="dxa"/>
            <w:hideMark/>
          </w:tcPr>
          <w:p w14:paraId="32BCC60E" w14:textId="53D13DD9" w:rsidR="00427361" w:rsidRPr="006722AC" w:rsidRDefault="00427361" w:rsidP="00B51775">
            <w:pPr>
              <w:rPr>
                <w:lang w:val="pt-PT"/>
              </w:rPr>
            </w:pPr>
            <w:r w:rsidRPr="006722AC">
              <w:rPr>
                <w:lang w:val="en-US"/>
              </w:rPr>
              <w:t>144</w:t>
            </w:r>
            <w:r w:rsidR="00E17944" w:rsidRPr="006722AC">
              <w:rPr>
                <w:lang w:val="en-US"/>
              </w:rPr>
              <w:t>,</w:t>
            </w:r>
            <w:r w:rsidRPr="006722AC">
              <w:rPr>
                <w:lang w:val="en-US"/>
              </w:rPr>
              <w:t>550 €</w:t>
            </w:r>
          </w:p>
        </w:tc>
        <w:tc>
          <w:tcPr>
            <w:tcW w:w="560" w:type="dxa"/>
            <w:hideMark/>
          </w:tcPr>
          <w:p w14:paraId="0F06DC6F" w14:textId="77777777" w:rsidR="00427361" w:rsidRPr="006722AC" w:rsidRDefault="00427361" w:rsidP="00B51775">
            <w:pPr>
              <w:rPr>
                <w:lang w:val="pt-PT"/>
              </w:rPr>
            </w:pPr>
          </w:p>
        </w:tc>
        <w:tc>
          <w:tcPr>
            <w:tcW w:w="1860" w:type="dxa"/>
            <w:hideMark/>
          </w:tcPr>
          <w:p w14:paraId="15433D88" w14:textId="068512E5" w:rsidR="00427361" w:rsidRPr="006722AC" w:rsidRDefault="00427361" w:rsidP="00B51775">
            <w:pPr>
              <w:rPr>
                <w:lang w:val="pt-PT"/>
              </w:rPr>
            </w:pPr>
            <w:r w:rsidRPr="006722AC">
              <w:rPr>
                <w:lang w:val="en-US"/>
              </w:rPr>
              <w:t>449</w:t>
            </w:r>
            <w:r w:rsidR="006722AC" w:rsidRPr="006722AC">
              <w:rPr>
                <w:lang w:val="en-US"/>
              </w:rPr>
              <w:t>,</w:t>
            </w:r>
            <w:r w:rsidRPr="006722AC">
              <w:rPr>
                <w:lang w:val="en-US"/>
              </w:rPr>
              <w:t xml:space="preserve">564 € </w:t>
            </w:r>
          </w:p>
        </w:tc>
      </w:tr>
      <w:tr w:rsidR="006722AC" w:rsidRPr="006722AC" w14:paraId="5EC5559B" w14:textId="77777777" w:rsidTr="00B51775">
        <w:trPr>
          <w:trHeight w:val="170"/>
        </w:trPr>
        <w:tc>
          <w:tcPr>
            <w:tcW w:w="1077" w:type="dxa"/>
            <w:hideMark/>
          </w:tcPr>
          <w:p w14:paraId="3A7CFC10" w14:textId="77777777" w:rsidR="00427361" w:rsidRPr="006722AC" w:rsidRDefault="00427361" w:rsidP="00B51775">
            <w:pPr>
              <w:rPr>
                <w:lang w:val="pt-PT"/>
              </w:rPr>
            </w:pPr>
            <w:r w:rsidRPr="006722AC">
              <w:rPr>
                <w:lang w:val="en-US"/>
              </w:rPr>
              <w:t>Sulfasalazine</w:t>
            </w:r>
          </w:p>
        </w:tc>
        <w:tc>
          <w:tcPr>
            <w:tcW w:w="560" w:type="dxa"/>
            <w:hideMark/>
          </w:tcPr>
          <w:p w14:paraId="67DED10B" w14:textId="77777777" w:rsidR="00427361" w:rsidRPr="006722AC" w:rsidRDefault="00427361" w:rsidP="00B51775">
            <w:pPr>
              <w:rPr>
                <w:lang w:val="pt-PT"/>
              </w:rPr>
            </w:pPr>
          </w:p>
        </w:tc>
        <w:tc>
          <w:tcPr>
            <w:tcW w:w="1860" w:type="dxa"/>
            <w:hideMark/>
          </w:tcPr>
          <w:p w14:paraId="6A068E07" w14:textId="05434800" w:rsidR="00427361" w:rsidRPr="006722AC" w:rsidRDefault="00427361" w:rsidP="00B51775">
            <w:pPr>
              <w:rPr>
                <w:lang w:val="pt-PT"/>
              </w:rPr>
            </w:pPr>
            <w:r w:rsidRPr="006722AC">
              <w:rPr>
                <w:lang w:val="en-US"/>
              </w:rPr>
              <w:t>531</w:t>
            </w:r>
            <w:r w:rsidR="00E17944" w:rsidRPr="006722AC">
              <w:rPr>
                <w:lang w:val="en-US"/>
              </w:rPr>
              <w:t>,</w:t>
            </w:r>
            <w:r w:rsidRPr="006722AC">
              <w:rPr>
                <w:lang w:val="en-US"/>
              </w:rPr>
              <w:t>472 €</w:t>
            </w:r>
          </w:p>
        </w:tc>
        <w:tc>
          <w:tcPr>
            <w:tcW w:w="560" w:type="dxa"/>
            <w:hideMark/>
          </w:tcPr>
          <w:p w14:paraId="18838620" w14:textId="77777777" w:rsidR="00427361" w:rsidRPr="006722AC" w:rsidRDefault="00427361" w:rsidP="00B51775">
            <w:pPr>
              <w:rPr>
                <w:lang w:val="pt-PT"/>
              </w:rPr>
            </w:pPr>
          </w:p>
        </w:tc>
        <w:tc>
          <w:tcPr>
            <w:tcW w:w="1860" w:type="dxa"/>
            <w:hideMark/>
          </w:tcPr>
          <w:p w14:paraId="08BD3C77" w14:textId="42D6EDEE" w:rsidR="00427361" w:rsidRPr="006722AC" w:rsidRDefault="00427361" w:rsidP="00B51775">
            <w:pPr>
              <w:rPr>
                <w:lang w:val="pt-PT"/>
              </w:rPr>
            </w:pPr>
            <w:r w:rsidRPr="006722AC">
              <w:rPr>
                <w:lang w:val="en-US"/>
              </w:rPr>
              <w:t>86</w:t>
            </w:r>
            <w:r w:rsidR="006722AC" w:rsidRPr="006722AC">
              <w:rPr>
                <w:lang w:val="en-US"/>
              </w:rPr>
              <w:t>,</w:t>
            </w:r>
            <w:r w:rsidRPr="006722AC">
              <w:rPr>
                <w:lang w:val="en-US"/>
              </w:rPr>
              <w:t xml:space="preserve">519 € </w:t>
            </w:r>
          </w:p>
        </w:tc>
      </w:tr>
    </w:tbl>
    <w:p w14:paraId="5371F3DF" w14:textId="77777777" w:rsidR="00427361" w:rsidRPr="006722AC" w:rsidRDefault="00427361" w:rsidP="00427361"/>
    <w:p w14:paraId="55A5A6AD" w14:textId="77777777" w:rsidR="00427361" w:rsidRPr="006722AC" w:rsidRDefault="00427361" w:rsidP="00427361">
      <w:pPr>
        <w:pStyle w:val="Heading3"/>
        <w:spacing w:before="240"/>
        <w:rPr>
          <w:lang w:val="en-GB"/>
        </w:rPr>
      </w:pPr>
      <w:r w:rsidRPr="006722AC">
        <w:rPr>
          <w:lang w:val="en-GB"/>
        </w:rPr>
        <w:t>Hospital costs</w:t>
      </w:r>
    </w:p>
    <w:tbl>
      <w:tblPr>
        <w:tblStyle w:val="PlainTable2"/>
        <w:tblW w:w="7844" w:type="dxa"/>
        <w:tblLook w:val="0600" w:firstRow="0" w:lastRow="0" w:firstColumn="0" w:lastColumn="0" w:noHBand="1" w:noVBand="1"/>
      </w:tblPr>
      <w:tblGrid>
        <w:gridCol w:w="6956"/>
        <w:gridCol w:w="222"/>
        <w:gridCol w:w="222"/>
        <w:gridCol w:w="222"/>
        <w:gridCol w:w="222"/>
      </w:tblGrid>
      <w:tr w:rsidR="006722AC" w:rsidRPr="006722AC" w14:paraId="737571D4" w14:textId="77777777" w:rsidTr="00B51775">
        <w:trPr>
          <w:trHeight w:val="170"/>
        </w:trPr>
        <w:tc>
          <w:tcPr>
            <w:tcW w:w="6956" w:type="dxa"/>
          </w:tcPr>
          <w:tbl>
            <w:tblPr>
              <w:tblW w:w="6720" w:type="dxa"/>
              <w:tblCellMar>
                <w:left w:w="0" w:type="dxa"/>
                <w:right w:w="0" w:type="dxa"/>
              </w:tblCellMar>
              <w:tblLook w:val="0600" w:firstRow="0" w:lastRow="0" w:firstColumn="0" w:lastColumn="0" w:noHBand="1" w:noVBand="1"/>
            </w:tblPr>
            <w:tblGrid>
              <w:gridCol w:w="1964"/>
              <w:gridCol w:w="545"/>
              <w:gridCol w:w="1831"/>
              <w:gridCol w:w="545"/>
              <w:gridCol w:w="1835"/>
            </w:tblGrid>
            <w:tr w:rsidR="006722AC" w:rsidRPr="006722AC" w14:paraId="09E867B4" w14:textId="77777777" w:rsidTr="00B51775">
              <w:trPr>
                <w:trHeight w:val="20"/>
              </w:trPr>
              <w:tc>
                <w:tcPr>
                  <w:tcW w:w="1860" w:type="dxa"/>
                  <w:tcBorders>
                    <w:top w:val="single" w:sz="8" w:space="0" w:color="FFFFFF"/>
                    <w:left w:val="single" w:sz="8" w:space="0" w:color="FFFFFF"/>
                    <w:bottom w:val="single" w:sz="8" w:space="0" w:color="FFFFFF"/>
                    <w:right w:val="single" w:sz="8" w:space="0" w:color="FFFFFF"/>
                  </w:tcBorders>
                  <w:shd w:val="clear" w:color="auto" w:fill="auto"/>
                  <w:tcMar>
                    <w:top w:w="57" w:type="dxa"/>
                    <w:left w:w="57" w:type="dxa"/>
                    <w:bottom w:w="57" w:type="dxa"/>
                    <w:right w:w="57" w:type="dxa"/>
                  </w:tcMar>
                  <w:vAlign w:val="center"/>
                  <w:hideMark/>
                </w:tcPr>
                <w:p w14:paraId="4EF80D91" w14:textId="77777777" w:rsidR="00427361" w:rsidRPr="006722AC" w:rsidRDefault="00427361" w:rsidP="00B51775">
                  <w:pPr>
                    <w:rPr>
                      <w:b/>
                      <w:bCs/>
                      <w:lang w:val="pt-PT"/>
                    </w:rPr>
                  </w:pPr>
                  <w:r w:rsidRPr="006722AC">
                    <w:rPr>
                      <w:b/>
                      <w:bCs/>
                    </w:rPr>
                    <w:t>Molecule</w:t>
                  </w:r>
                </w:p>
              </w:tc>
              <w:tc>
                <w:tcPr>
                  <w:tcW w:w="560" w:type="dxa"/>
                  <w:tcBorders>
                    <w:top w:val="single" w:sz="8" w:space="0" w:color="FFFFFF"/>
                    <w:left w:val="single" w:sz="8" w:space="0" w:color="FFFFFF"/>
                    <w:bottom w:val="nil"/>
                    <w:right w:val="single" w:sz="8" w:space="0" w:color="FFFFFF"/>
                  </w:tcBorders>
                  <w:shd w:val="clear" w:color="auto" w:fill="auto"/>
                  <w:tcMar>
                    <w:top w:w="57" w:type="dxa"/>
                    <w:left w:w="57" w:type="dxa"/>
                    <w:bottom w:w="57" w:type="dxa"/>
                    <w:right w:w="57" w:type="dxa"/>
                  </w:tcMar>
                  <w:vAlign w:val="center"/>
                  <w:hideMark/>
                </w:tcPr>
                <w:p w14:paraId="1D2D61E6" w14:textId="77777777" w:rsidR="00427361" w:rsidRPr="006722AC" w:rsidRDefault="00427361" w:rsidP="00B51775">
                  <w:pPr>
                    <w:rPr>
                      <w:b/>
                      <w:bCs/>
                      <w:lang w:val="pt-PT"/>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57" w:type="dxa"/>
                    <w:left w:w="57" w:type="dxa"/>
                    <w:bottom w:w="57" w:type="dxa"/>
                    <w:right w:w="57" w:type="dxa"/>
                  </w:tcMar>
                  <w:vAlign w:val="center"/>
                  <w:hideMark/>
                </w:tcPr>
                <w:p w14:paraId="71116F72" w14:textId="77777777" w:rsidR="00427361" w:rsidRPr="006722AC" w:rsidRDefault="00427361" w:rsidP="00B51775">
                  <w:pPr>
                    <w:rPr>
                      <w:b/>
                      <w:bCs/>
                      <w:lang w:val="pt-PT"/>
                    </w:rPr>
                  </w:pPr>
                  <w:r w:rsidRPr="006722AC">
                    <w:rPr>
                      <w:b/>
                      <w:bCs/>
                    </w:rPr>
                    <w:t>UC</w:t>
                  </w:r>
                </w:p>
              </w:tc>
              <w:tc>
                <w:tcPr>
                  <w:tcW w:w="560" w:type="dxa"/>
                  <w:tcBorders>
                    <w:top w:val="single" w:sz="8" w:space="0" w:color="FFFFFF"/>
                    <w:left w:val="single" w:sz="8" w:space="0" w:color="FFFFFF"/>
                    <w:bottom w:val="nil"/>
                    <w:right w:val="single" w:sz="8" w:space="0" w:color="FFFFFF"/>
                  </w:tcBorders>
                  <w:shd w:val="clear" w:color="auto" w:fill="auto"/>
                  <w:tcMar>
                    <w:top w:w="57" w:type="dxa"/>
                    <w:left w:w="57" w:type="dxa"/>
                    <w:bottom w:w="57" w:type="dxa"/>
                    <w:right w:w="57" w:type="dxa"/>
                  </w:tcMar>
                  <w:vAlign w:val="center"/>
                  <w:hideMark/>
                </w:tcPr>
                <w:p w14:paraId="44ED5FC6" w14:textId="77777777" w:rsidR="00427361" w:rsidRPr="006722AC" w:rsidRDefault="00427361" w:rsidP="00B51775">
                  <w:pPr>
                    <w:rPr>
                      <w:b/>
                      <w:bCs/>
                      <w:lang w:val="pt-PT"/>
                    </w:rPr>
                  </w:pPr>
                </w:p>
              </w:tc>
              <w:tc>
                <w:tcPr>
                  <w:tcW w:w="1860" w:type="dxa"/>
                  <w:tcBorders>
                    <w:top w:val="single" w:sz="8" w:space="0" w:color="FFFFFF"/>
                    <w:left w:val="single" w:sz="8" w:space="0" w:color="FFFFFF"/>
                    <w:bottom w:val="single" w:sz="8" w:space="0" w:color="FFFFFF"/>
                    <w:right w:val="single" w:sz="8" w:space="0" w:color="FFFFFF"/>
                  </w:tcBorders>
                  <w:shd w:val="clear" w:color="auto" w:fill="auto"/>
                  <w:tcMar>
                    <w:top w:w="57" w:type="dxa"/>
                    <w:left w:w="57" w:type="dxa"/>
                    <w:bottom w:w="57" w:type="dxa"/>
                    <w:right w:w="57" w:type="dxa"/>
                  </w:tcMar>
                  <w:vAlign w:val="center"/>
                  <w:hideMark/>
                </w:tcPr>
                <w:p w14:paraId="61801667" w14:textId="77777777" w:rsidR="00427361" w:rsidRPr="006722AC" w:rsidRDefault="00427361" w:rsidP="00B51775">
                  <w:pPr>
                    <w:rPr>
                      <w:b/>
                      <w:bCs/>
                      <w:lang w:val="pt-PT"/>
                    </w:rPr>
                  </w:pPr>
                  <w:r w:rsidRPr="006722AC">
                    <w:rPr>
                      <w:b/>
                      <w:bCs/>
                    </w:rPr>
                    <w:t>CD</w:t>
                  </w:r>
                </w:p>
              </w:tc>
            </w:tr>
            <w:tr w:rsidR="006722AC" w:rsidRPr="006722AC" w14:paraId="28CAA093" w14:textId="77777777" w:rsidTr="00B51775">
              <w:trPr>
                <w:trHeight w:val="20"/>
              </w:trPr>
              <w:tc>
                <w:tcPr>
                  <w:tcW w:w="1860" w:type="dxa"/>
                  <w:tcBorders>
                    <w:top w:val="single" w:sz="8" w:space="0" w:color="FFF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3DF28A7" w14:textId="77777777" w:rsidR="00427361" w:rsidRPr="006722AC" w:rsidRDefault="00427361" w:rsidP="00B51775">
                  <w:pPr>
                    <w:rPr>
                      <w:lang w:val="pt-PT"/>
                    </w:rPr>
                  </w:pPr>
                  <w:r w:rsidRPr="006722AC">
                    <w:rPr>
                      <w:lang w:val="en-US"/>
                    </w:rPr>
                    <w:t>Adalimumab</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327545B" w14:textId="77777777" w:rsidR="00427361" w:rsidRPr="006722AC" w:rsidRDefault="00427361" w:rsidP="00B51775">
                  <w:pPr>
                    <w:rPr>
                      <w:lang w:val="pt-PT"/>
                    </w:rPr>
                  </w:pPr>
                </w:p>
              </w:tc>
              <w:tc>
                <w:tcPr>
                  <w:tcW w:w="1860" w:type="dxa"/>
                  <w:tcBorders>
                    <w:top w:val="single" w:sz="8" w:space="0" w:color="FFF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6DBD7AF" w14:textId="4BD0B62B" w:rsidR="00427361" w:rsidRPr="006722AC" w:rsidRDefault="00427361" w:rsidP="00B51775">
                  <w:pPr>
                    <w:rPr>
                      <w:lang w:val="pt-PT"/>
                    </w:rPr>
                  </w:pPr>
                  <w:r w:rsidRPr="006722AC">
                    <w:rPr>
                      <w:lang w:val="en-US"/>
                    </w:rPr>
                    <w:t>5</w:t>
                  </w:r>
                  <w:r w:rsidR="00E17944" w:rsidRPr="006722AC">
                    <w:rPr>
                      <w:lang w:val="en-US"/>
                    </w:rPr>
                    <w:t>,</w:t>
                  </w:r>
                  <w:r w:rsidRPr="006722AC">
                    <w:rPr>
                      <w:lang w:val="en-US"/>
                    </w:rPr>
                    <w:t>287</w:t>
                  </w:r>
                  <w:r w:rsidR="00E17944" w:rsidRPr="006722AC">
                    <w:rPr>
                      <w:lang w:val="en-US"/>
                    </w:rPr>
                    <w:t>,</w:t>
                  </w:r>
                  <w:r w:rsidRPr="006722AC">
                    <w:rPr>
                      <w:lang w:val="en-US"/>
                    </w:rPr>
                    <w:t>393 €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AEE505C" w14:textId="77777777" w:rsidR="00427361" w:rsidRPr="006722AC" w:rsidRDefault="00427361" w:rsidP="00B51775">
                  <w:pPr>
                    <w:rPr>
                      <w:lang w:val="pt-PT"/>
                    </w:rPr>
                  </w:pPr>
                </w:p>
              </w:tc>
              <w:tc>
                <w:tcPr>
                  <w:tcW w:w="1860" w:type="dxa"/>
                  <w:tcBorders>
                    <w:top w:val="single" w:sz="8" w:space="0" w:color="FFF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438D8F98" w14:textId="7BF06518" w:rsidR="00427361" w:rsidRPr="006722AC" w:rsidRDefault="00427361" w:rsidP="00B51775">
                  <w:pPr>
                    <w:rPr>
                      <w:lang w:val="pt-PT"/>
                    </w:rPr>
                  </w:pPr>
                  <w:r w:rsidRPr="006722AC">
                    <w:rPr>
                      <w:lang w:val="en-US"/>
                    </w:rPr>
                    <w:t>9</w:t>
                  </w:r>
                  <w:r w:rsidR="00E17944" w:rsidRPr="006722AC">
                    <w:rPr>
                      <w:lang w:val="en-US"/>
                    </w:rPr>
                    <w:t>,</w:t>
                  </w:r>
                  <w:r w:rsidRPr="006722AC">
                    <w:rPr>
                      <w:lang w:val="en-US"/>
                    </w:rPr>
                    <w:t>552</w:t>
                  </w:r>
                  <w:r w:rsidR="00E17944" w:rsidRPr="006722AC">
                    <w:rPr>
                      <w:lang w:val="en-US"/>
                    </w:rPr>
                    <w:t>,</w:t>
                  </w:r>
                  <w:r w:rsidRPr="006722AC">
                    <w:rPr>
                      <w:lang w:val="en-US"/>
                    </w:rPr>
                    <w:t>438 €</w:t>
                  </w:r>
                </w:p>
              </w:tc>
            </w:tr>
            <w:tr w:rsidR="006722AC" w:rsidRPr="006722AC" w14:paraId="097315CA"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007EDF87" w14:textId="77777777" w:rsidR="00427361" w:rsidRPr="006722AC" w:rsidRDefault="00427361" w:rsidP="00B51775">
                  <w:pPr>
                    <w:rPr>
                      <w:lang w:val="pt-PT"/>
                    </w:rPr>
                  </w:pPr>
                  <w:r w:rsidRPr="006722AC">
                    <w:rPr>
                      <w:lang w:val="en-US"/>
                    </w:rPr>
                    <w:lastRenderedPageBreak/>
                    <w:t>Azathioprine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E51F365"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48F329C2" w14:textId="77777777" w:rsidR="00427361" w:rsidRPr="006722AC" w:rsidRDefault="00427361" w:rsidP="00B51775">
                  <w:pPr>
                    <w:rPr>
                      <w:lang w:val="pt-PT"/>
                    </w:rPr>
                  </w:pPr>
                  <w:r w:rsidRPr="006722AC">
                    <w:rPr>
                      <w:lang w:val="en-US"/>
                    </w:rPr>
                    <w:t>423 €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395C212"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342EC62" w14:textId="0DBE418C" w:rsidR="00427361" w:rsidRPr="006722AC" w:rsidRDefault="00427361" w:rsidP="00B51775">
                  <w:pPr>
                    <w:rPr>
                      <w:lang w:val="pt-PT"/>
                    </w:rPr>
                  </w:pPr>
                  <w:r w:rsidRPr="006722AC">
                    <w:rPr>
                      <w:lang w:val="en-US"/>
                    </w:rPr>
                    <w:t>1</w:t>
                  </w:r>
                  <w:r w:rsidR="00E17944" w:rsidRPr="006722AC">
                    <w:rPr>
                      <w:lang w:val="en-US"/>
                    </w:rPr>
                    <w:t>,</w:t>
                  </w:r>
                  <w:r w:rsidRPr="006722AC">
                    <w:rPr>
                      <w:lang w:val="en-US"/>
                    </w:rPr>
                    <w:t>317 €</w:t>
                  </w:r>
                </w:p>
              </w:tc>
            </w:tr>
            <w:tr w:rsidR="006722AC" w:rsidRPr="006722AC" w14:paraId="18A83E0C"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F17A3FA" w14:textId="77777777" w:rsidR="00427361" w:rsidRPr="006722AC" w:rsidRDefault="00427361" w:rsidP="00B51775">
                  <w:pPr>
                    <w:rPr>
                      <w:lang w:val="pt-PT"/>
                    </w:rPr>
                  </w:pPr>
                  <w:r w:rsidRPr="006722AC">
                    <w:rPr>
                      <w:lang w:val="en-US"/>
                    </w:rPr>
                    <w:t>Budesonide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8FA6D22"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A399DD8" w14:textId="38C0EECC" w:rsidR="00427361" w:rsidRPr="006722AC" w:rsidRDefault="00427361" w:rsidP="00B51775">
                  <w:pPr>
                    <w:rPr>
                      <w:lang w:val="pt-PT"/>
                    </w:rPr>
                  </w:pPr>
                  <w:r w:rsidRPr="006722AC">
                    <w:rPr>
                      <w:lang w:val="en-US"/>
                    </w:rPr>
                    <w:t>3</w:t>
                  </w:r>
                  <w:r w:rsidR="00E17944" w:rsidRPr="006722AC">
                    <w:rPr>
                      <w:lang w:val="en-US"/>
                    </w:rPr>
                    <w:t>,</w:t>
                  </w:r>
                  <w:r w:rsidRPr="006722AC">
                    <w:rPr>
                      <w:lang w:val="en-US"/>
                    </w:rPr>
                    <w:t>085 €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F696845"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49D2021F" w14:textId="7DF2CE78" w:rsidR="00427361" w:rsidRPr="006722AC" w:rsidRDefault="00427361" w:rsidP="00B51775">
                  <w:pPr>
                    <w:rPr>
                      <w:lang w:val="pt-PT"/>
                    </w:rPr>
                  </w:pPr>
                  <w:r w:rsidRPr="006722AC">
                    <w:rPr>
                      <w:lang w:val="en-US"/>
                    </w:rPr>
                    <w:t>7</w:t>
                  </w:r>
                  <w:r w:rsidR="00E17944" w:rsidRPr="006722AC">
                    <w:rPr>
                      <w:lang w:val="en-US"/>
                    </w:rPr>
                    <w:t>,</w:t>
                  </w:r>
                  <w:r w:rsidRPr="006722AC">
                    <w:rPr>
                      <w:lang w:val="en-US"/>
                    </w:rPr>
                    <w:t>781 €</w:t>
                  </w:r>
                </w:p>
              </w:tc>
            </w:tr>
            <w:tr w:rsidR="006722AC" w:rsidRPr="006722AC" w14:paraId="3D0E19C3"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09612396" w14:textId="77777777" w:rsidR="00427361" w:rsidRPr="006722AC" w:rsidRDefault="00427361" w:rsidP="00B51775">
                  <w:pPr>
                    <w:rPr>
                      <w:lang w:val="pt-PT"/>
                    </w:rPr>
                  </w:pPr>
                  <w:r w:rsidRPr="006722AC">
                    <w:rPr>
                      <w:lang w:val="en-US"/>
                    </w:rPr>
                    <w:t>Certolizumab</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E9EE112"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02D567D" w14:textId="77777777" w:rsidR="00427361" w:rsidRPr="006722AC" w:rsidRDefault="00427361" w:rsidP="00B51775">
                  <w:pPr>
                    <w:rPr>
                      <w:lang w:val="pt-PT"/>
                    </w:rPr>
                  </w:pPr>
                  <w:r w:rsidRPr="006722AC">
                    <w:rPr>
                      <w:lang w:val="en-US"/>
                    </w:rPr>
                    <w:t>864 €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465BE96E"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4F16E9A4" w14:textId="680EDDEB" w:rsidR="00427361" w:rsidRPr="006722AC" w:rsidRDefault="00427361" w:rsidP="00B51775">
                  <w:pPr>
                    <w:rPr>
                      <w:lang w:val="pt-PT"/>
                    </w:rPr>
                  </w:pPr>
                  <w:r w:rsidRPr="006722AC">
                    <w:rPr>
                      <w:lang w:val="en-US"/>
                    </w:rPr>
                    <w:t>1</w:t>
                  </w:r>
                  <w:r w:rsidR="00E17944" w:rsidRPr="006722AC">
                    <w:rPr>
                      <w:lang w:val="en-US"/>
                    </w:rPr>
                    <w:t>,</w:t>
                  </w:r>
                  <w:r w:rsidRPr="006722AC">
                    <w:rPr>
                      <w:lang w:val="en-US"/>
                    </w:rPr>
                    <w:t>561 €</w:t>
                  </w:r>
                </w:p>
              </w:tc>
            </w:tr>
            <w:tr w:rsidR="006722AC" w:rsidRPr="006722AC" w14:paraId="04B533B5"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0FF17DE" w14:textId="77777777" w:rsidR="00427361" w:rsidRPr="006722AC" w:rsidRDefault="00427361" w:rsidP="00B51775">
                  <w:pPr>
                    <w:rPr>
                      <w:lang w:val="pt-PT"/>
                    </w:rPr>
                  </w:pPr>
                  <w:r w:rsidRPr="006722AC">
                    <w:rPr>
                      <w:lang w:val="en-US"/>
                    </w:rPr>
                    <w:t>Ciclosporin</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5438B2C"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B3EE38F" w14:textId="77777777" w:rsidR="00427361" w:rsidRPr="006722AC" w:rsidRDefault="00427361" w:rsidP="00B51775">
                  <w:pPr>
                    <w:rPr>
                      <w:lang w:val="pt-PT"/>
                    </w:rPr>
                  </w:pPr>
                  <w:r w:rsidRPr="006722AC">
                    <w:rPr>
                      <w:lang w:val="en-US"/>
                    </w:rPr>
                    <w:t>115 €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6ACD737"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FC932F9" w14:textId="77777777" w:rsidR="00427361" w:rsidRPr="006722AC" w:rsidRDefault="00427361" w:rsidP="00B51775">
                  <w:pPr>
                    <w:rPr>
                      <w:lang w:val="pt-PT"/>
                    </w:rPr>
                  </w:pPr>
                  <w:r w:rsidRPr="006722AC">
                    <w:rPr>
                      <w:lang w:val="en-US"/>
                    </w:rPr>
                    <w:t>358 €</w:t>
                  </w:r>
                </w:p>
              </w:tc>
            </w:tr>
            <w:tr w:rsidR="006722AC" w:rsidRPr="006722AC" w14:paraId="2D3F808E"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68D518A" w14:textId="77777777" w:rsidR="00427361" w:rsidRPr="006722AC" w:rsidRDefault="00427361" w:rsidP="00B51775">
                  <w:pPr>
                    <w:rPr>
                      <w:lang w:val="pt-PT"/>
                    </w:rPr>
                  </w:pPr>
                  <w:r w:rsidRPr="006722AC">
                    <w:rPr>
                      <w:lang w:val="en-US"/>
                    </w:rPr>
                    <w:t>Golimumab</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67DEA1B"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078AF8E3" w14:textId="41B28879" w:rsidR="00427361" w:rsidRPr="006722AC" w:rsidRDefault="00E17944" w:rsidP="00B51775">
                  <w:pPr>
                    <w:rPr>
                      <w:lang w:val="pt-PT"/>
                    </w:rPr>
                  </w:pPr>
                  <w:r w:rsidRPr="006722AC">
                    <w:rPr>
                      <w:lang w:val="en-US"/>
                    </w:rPr>
                    <w:t>1</w:t>
                  </w:r>
                  <w:r w:rsidRPr="006722AC">
                    <w:rPr>
                      <w:lang w:val="en-US"/>
                    </w:rPr>
                    <w:t>,</w:t>
                  </w:r>
                  <w:r w:rsidRPr="006722AC">
                    <w:rPr>
                      <w:lang w:val="en-US"/>
                    </w:rPr>
                    <w:t>536</w:t>
                  </w:r>
                  <w:r w:rsidRPr="006722AC">
                    <w:rPr>
                      <w:lang w:val="en-US"/>
                    </w:rPr>
                    <w:t>,</w:t>
                  </w:r>
                  <w:r w:rsidRPr="006722AC">
                    <w:rPr>
                      <w:lang w:val="en-US"/>
                    </w:rPr>
                    <w:t>379</w:t>
                  </w:r>
                  <w:r w:rsidR="00427361" w:rsidRPr="006722AC">
                    <w:rPr>
                      <w:lang w:val="en-US"/>
                    </w:rPr>
                    <w:t xml:space="preserve">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797ABF3A"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5071F0F" w14:textId="792A55C8" w:rsidR="00427361" w:rsidRPr="006722AC" w:rsidRDefault="00E17944" w:rsidP="00B51775">
                  <w:pPr>
                    <w:rPr>
                      <w:lang w:val="pt-PT"/>
                    </w:rPr>
                  </w:pPr>
                  <w:r w:rsidRPr="006722AC">
                    <w:rPr>
                      <w:lang w:val="en-US"/>
                    </w:rPr>
                    <w:t>0</w:t>
                  </w:r>
                  <w:r w:rsidR="00427361" w:rsidRPr="006722AC">
                    <w:rPr>
                      <w:lang w:val="en-US"/>
                    </w:rPr>
                    <w:t xml:space="preserve"> €</w:t>
                  </w:r>
                </w:p>
              </w:tc>
            </w:tr>
            <w:tr w:rsidR="006722AC" w:rsidRPr="006722AC" w14:paraId="6CF4A34D"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8339608" w14:textId="77777777" w:rsidR="00427361" w:rsidRPr="006722AC" w:rsidRDefault="00427361" w:rsidP="00B51775">
                  <w:pPr>
                    <w:rPr>
                      <w:lang w:val="pt-PT"/>
                    </w:rPr>
                  </w:pPr>
                  <w:r w:rsidRPr="006722AC">
                    <w:rPr>
                      <w:lang w:val="en-US"/>
                    </w:rPr>
                    <w:t>Hydrocortisone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E0FB7ED"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C0FE539" w14:textId="2FDABBA1" w:rsidR="00427361" w:rsidRPr="006722AC" w:rsidRDefault="00427361" w:rsidP="00B51775">
                  <w:pPr>
                    <w:rPr>
                      <w:lang w:val="pt-PT"/>
                    </w:rPr>
                  </w:pPr>
                  <w:r w:rsidRPr="006722AC">
                    <w:rPr>
                      <w:lang w:val="en-US"/>
                    </w:rPr>
                    <w:t>3</w:t>
                  </w:r>
                  <w:r w:rsidR="00E17944" w:rsidRPr="006722AC">
                    <w:rPr>
                      <w:lang w:val="en-US"/>
                    </w:rPr>
                    <w:t>,</w:t>
                  </w:r>
                  <w:r w:rsidRPr="006722AC">
                    <w:rPr>
                      <w:lang w:val="en-US"/>
                    </w:rPr>
                    <w:t>398 €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8D9ABBA"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19DC754" w14:textId="050BF43F" w:rsidR="00427361" w:rsidRPr="006722AC" w:rsidRDefault="00427361" w:rsidP="00B51775">
                  <w:pPr>
                    <w:rPr>
                      <w:lang w:val="pt-PT"/>
                    </w:rPr>
                  </w:pPr>
                  <w:r w:rsidRPr="006722AC">
                    <w:rPr>
                      <w:lang w:val="en-US"/>
                    </w:rPr>
                    <w:t>8</w:t>
                  </w:r>
                  <w:r w:rsidR="00E17944" w:rsidRPr="006722AC">
                    <w:rPr>
                      <w:lang w:val="en-US"/>
                    </w:rPr>
                    <w:t>,</w:t>
                  </w:r>
                  <w:r w:rsidRPr="006722AC">
                    <w:rPr>
                      <w:lang w:val="en-US"/>
                    </w:rPr>
                    <w:t>570 €</w:t>
                  </w:r>
                </w:p>
              </w:tc>
            </w:tr>
            <w:tr w:rsidR="006722AC" w:rsidRPr="006722AC" w14:paraId="68A594ED"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0029AD40" w14:textId="77777777" w:rsidR="00427361" w:rsidRPr="006722AC" w:rsidRDefault="00427361" w:rsidP="00B51775">
                  <w:pPr>
                    <w:rPr>
                      <w:lang w:val="pt-PT"/>
                    </w:rPr>
                  </w:pPr>
                  <w:r w:rsidRPr="006722AC">
                    <w:rPr>
                      <w:lang w:val="en-US"/>
                    </w:rPr>
                    <w:t>Infliximab</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9E80F7E"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6A74B2A" w14:textId="1356EB1F" w:rsidR="00427361" w:rsidRPr="006722AC" w:rsidRDefault="00427361" w:rsidP="00B51775">
                  <w:pPr>
                    <w:rPr>
                      <w:lang w:val="pt-PT"/>
                    </w:rPr>
                  </w:pPr>
                  <w:r w:rsidRPr="006722AC">
                    <w:rPr>
                      <w:lang w:val="en-US"/>
                    </w:rPr>
                    <w:t>6</w:t>
                  </w:r>
                  <w:r w:rsidR="00E17944" w:rsidRPr="006722AC">
                    <w:rPr>
                      <w:lang w:val="en-US"/>
                    </w:rPr>
                    <w:t>,</w:t>
                  </w:r>
                  <w:r w:rsidRPr="006722AC">
                    <w:rPr>
                      <w:lang w:val="en-US"/>
                    </w:rPr>
                    <w:t>472</w:t>
                  </w:r>
                  <w:r w:rsidR="00E17944" w:rsidRPr="006722AC">
                    <w:rPr>
                      <w:lang w:val="en-US"/>
                    </w:rPr>
                    <w:t>,</w:t>
                  </w:r>
                  <w:r w:rsidRPr="006722AC">
                    <w:rPr>
                      <w:lang w:val="en-US"/>
                    </w:rPr>
                    <w:t>238 €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4AFB4BD2"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5988EA8" w14:textId="422EBA06" w:rsidR="00427361" w:rsidRPr="006722AC" w:rsidRDefault="00427361" w:rsidP="00B51775">
                  <w:pPr>
                    <w:rPr>
                      <w:lang w:val="pt-PT"/>
                    </w:rPr>
                  </w:pPr>
                  <w:r w:rsidRPr="006722AC">
                    <w:rPr>
                      <w:lang w:val="en-US"/>
                    </w:rPr>
                    <w:t>11</w:t>
                  </w:r>
                  <w:r w:rsidR="00E17944" w:rsidRPr="006722AC">
                    <w:rPr>
                      <w:lang w:val="en-US"/>
                    </w:rPr>
                    <w:t>,</w:t>
                  </w:r>
                  <w:r w:rsidRPr="006722AC">
                    <w:rPr>
                      <w:lang w:val="en-US"/>
                    </w:rPr>
                    <w:t>693</w:t>
                  </w:r>
                  <w:r w:rsidR="00E17944" w:rsidRPr="006722AC">
                    <w:rPr>
                      <w:lang w:val="en-US"/>
                    </w:rPr>
                    <w:t>,</w:t>
                  </w:r>
                  <w:r w:rsidRPr="006722AC">
                    <w:rPr>
                      <w:lang w:val="en-US"/>
                    </w:rPr>
                    <w:t>033 €</w:t>
                  </w:r>
                </w:p>
              </w:tc>
            </w:tr>
            <w:tr w:rsidR="006722AC" w:rsidRPr="006722AC" w14:paraId="327135C3"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34F3665" w14:textId="77777777" w:rsidR="00427361" w:rsidRPr="006722AC" w:rsidRDefault="00427361" w:rsidP="00B51775">
                  <w:pPr>
                    <w:rPr>
                      <w:lang w:val="pt-PT"/>
                    </w:rPr>
                  </w:pPr>
                  <w:r w:rsidRPr="006722AC">
                    <w:rPr>
                      <w:lang w:val="en-US"/>
                    </w:rPr>
                    <w:t>Mercaptopurine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00E6828F"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62B4E77" w14:textId="33AB1AAD" w:rsidR="00427361" w:rsidRPr="006722AC" w:rsidRDefault="00427361" w:rsidP="00B51775">
                  <w:pPr>
                    <w:rPr>
                      <w:lang w:val="pt-PT"/>
                    </w:rPr>
                  </w:pPr>
                  <w:r w:rsidRPr="006722AC">
                    <w:rPr>
                      <w:lang w:val="en-US"/>
                    </w:rPr>
                    <w:t>3</w:t>
                  </w:r>
                  <w:r w:rsidR="00E17944" w:rsidRPr="006722AC">
                    <w:rPr>
                      <w:lang w:val="en-US"/>
                    </w:rPr>
                    <w:t>,</w:t>
                  </w:r>
                  <w:r w:rsidRPr="006722AC">
                    <w:rPr>
                      <w:lang w:val="en-US"/>
                    </w:rPr>
                    <w:t>935 €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66DECA4"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21C4AE0" w14:textId="03DCC198" w:rsidR="00427361" w:rsidRPr="006722AC" w:rsidRDefault="00427361" w:rsidP="00B51775">
                  <w:pPr>
                    <w:rPr>
                      <w:lang w:val="pt-PT"/>
                    </w:rPr>
                  </w:pPr>
                  <w:r w:rsidRPr="006722AC">
                    <w:rPr>
                      <w:lang w:val="en-US"/>
                    </w:rPr>
                    <w:t>12</w:t>
                  </w:r>
                  <w:r w:rsidR="00E17944" w:rsidRPr="006722AC">
                    <w:rPr>
                      <w:lang w:val="en-US"/>
                    </w:rPr>
                    <w:t>,</w:t>
                  </w:r>
                  <w:r w:rsidRPr="006722AC">
                    <w:rPr>
                      <w:lang w:val="en-US"/>
                    </w:rPr>
                    <w:t>237 €</w:t>
                  </w:r>
                </w:p>
              </w:tc>
            </w:tr>
            <w:tr w:rsidR="006722AC" w:rsidRPr="006722AC" w14:paraId="0B1ABC2A"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C285122" w14:textId="77777777" w:rsidR="00427361" w:rsidRPr="006722AC" w:rsidRDefault="00427361" w:rsidP="00B51775">
                  <w:pPr>
                    <w:rPr>
                      <w:lang w:val="pt-PT"/>
                    </w:rPr>
                  </w:pPr>
                  <w:r w:rsidRPr="006722AC">
                    <w:rPr>
                      <w:lang w:val="en-US"/>
                    </w:rPr>
                    <w:t>Mesalazine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71BD5047"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06BDA636" w14:textId="5164E424" w:rsidR="00427361" w:rsidRPr="006722AC" w:rsidRDefault="00427361" w:rsidP="00B51775">
                  <w:pPr>
                    <w:rPr>
                      <w:lang w:val="pt-PT"/>
                    </w:rPr>
                  </w:pPr>
                  <w:r w:rsidRPr="006722AC">
                    <w:rPr>
                      <w:lang w:val="en-US"/>
                    </w:rPr>
                    <w:t>14</w:t>
                  </w:r>
                  <w:r w:rsidR="00E17944" w:rsidRPr="006722AC">
                    <w:rPr>
                      <w:lang w:val="en-US"/>
                    </w:rPr>
                    <w:t>,</w:t>
                  </w:r>
                  <w:r w:rsidRPr="006722AC">
                    <w:rPr>
                      <w:lang w:val="en-US"/>
                    </w:rPr>
                    <w:t>232 €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49E272E"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251E714" w14:textId="3EDA439C" w:rsidR="00427361" w:rsidRPr="006722AC" w:rsidRDefault="00427361" w:rsidP="00B51775">
                  <w:pPr>
                    <w:rPr>
                      <w:lang w:val="pt-PT"/>
                    </w:rPr>
                  </w:pPr>
                  <w:r w:rsidRPr="006722AC">
                    <w:rPr>
                      <w:lang w:val="en-US"/>
                    </w:rPr>
                    <w:t>2</w:t>
                  </w:r>
                  <w:r w:rsidR="00E17944" w:rsidRPr="006722AC">
                    <w:rPr>
                      <w:lang w:val="en-US"/>
                    </w:rPr>
                    <w:t>,</w:t>
                  </w:r>
                  <w:r w:rsidRPr="006722AC">
                    <w:rPr>
                      <w:lang w:val="en-US"/>
                    </w:rPr>
                    <w:t>317 €</w:t>
                  </w:r>
                </w:p>
              </w:tc>
            </w:tr>
            <w:tr w:rsidR="006722AC" w:rsidRPr="006722AC" w14:paraId="4CC54229"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BB15F31" w14:textId="77777777" w:rsidR="00427361" w:rsidRPr="006722AC" w:rsidRDefault="00427361" w:rsidP="00B51775">
                  <w:pPr>
                    <w:rPr>
                      <w:lang w:val="pt-PT"/>
                    </w:rPr>
                  </w:pPr>
                  <w:r w:rsidRPr="006722AC">
                    <w:rPr>
                      <w:lang w:val="en-US"/>
                    </w:rPr>
                    <w:t>Methotrexate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7E9D9CA9"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F8FF2A1" w14:textId="27C60514" w:rsidR="00427361" w:rsidRPr="006722AC" w:rsidRDefault="00427361" w:rsidP="00B51775">
                  <w:pPr>
                    <w:rPr>
                      <w:lang w:val="pt-PT"/>
                    </w:rPr>
                  </w:pPr>
                  <w:r w:rsidRPr="006722AC">
                    <w:rPr>
                      <w:lang w:val="en-US"/>
                    </w:rPr>
                    <w:t>1</w:t>
                  </w:r>
                  <w:r w:rsidR="00E17944" w:rsidRPr="006722AC">
                    <w:rPr>
                      <w:lang w:val="en-US"/>
                    </w:rPr>
                    <w:t>,</w:t>
                  </w:r>
                  <w:r w:rsidRPr="006722AC">
                    <w:rPr>
                      <w:lang w:val="en-US"/>
                    </w:rPr>
                    <w:t>794 €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505C18C7"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82F61BB" w14:textId="6DAD0816" w:rsidR="00427361" w:rsidRPr="006722AC" w:rsidRDefault="00427361" w:rsidP="00B51775">
                  <w:pPr>
                    <w:rPr>
                      <w:lang w:val="pt-PT"/>
                    </w:rPr>
                  </w:pPr>
                  <w:r w:rsidRPr="006722AC">
                    <w:rPr>
                      <w:lang w:val="en-US"/>
                    </w:rPr>
                    <w:t>5</w:t>
                  </w:r>
                  <w:r w:rsidR="00E17944" w:rsidRPr="006722AC">
                    <w:rPr>
                      <w:lang w:val="en-US"/>
                    </w:rPr>
                    <w:t>,</w:t>
                  </w:r>
                  <w:r w:rsidRPr="006722AC">
                    <w:rPr>
                      <w:lang w:val="en-US"/>
                    </w:rPr>
                    <w:t>580 €</w:t>
                  </w:r>
                </w:p>
              </w:tc>
            </w:tr>
            <w:tr w:rsidR="006722AC" w:rsidRPr="006722AC" w14:paraId="75D7345B"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46880938" w14:textId="77777777" w:rsidR="00427361" w:rsidRPr="006722AC" w:rsidRDefault="00427361" w:rsidP="00B51775">
                  <w:pPr>
                    <w:rPr>
                      <w:lang w:val="pt-PT"/>
                    </w:rPr>
                  </w:pPr>
                  <w:r w:rsidRPr="006722AC">
                    <w:rPr>
                      <w:lang w:val="en-US"/>
                    </w:rPr>
                    <w:t>Methylprednisolone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BD67984"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E00A46E" w14:textId="7A109D44" w:rsidR="00427361" w:rsidRPr="006722AC" w:rsidRDefault="00427361" w:rsidP="00B51775">
                  <w:pPr>
                    <w:rPr>
                      <w:lang w:val="pt-PT"/>
                    </w:rPr>
                  </w:pPr>
                  <w:r w:rsidRPr="006722AC">
                    <w:rPr>
                      <w:lang w:val="en-US"/>
                    </w:rPr>
                    <w:t>4</w:t>
                  </w:r>
                  <w:r w:rsidR="00E17944" w:rsidRPr="006722AC">
                    <w:rPr>
                      <w:lang w:val="en-US"/>
                    </w:rPr>
                    <w:t>,</w:t>
                  </w:r>
                  <w:r w:rsidRPr="006722AC">
                    <w:rPr>
                      <w:lang w:val="en-US"/>
                    </w:rPr>
                    <w:t>223 €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9B0E3F5"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225F93C" w14:textId="2D6D4689" w:rsidR="00427361" w:rsidRPr="006722AC" w:rsidRDefault="00427361" w:rsidP="00B51775">
                  <w:pPr>
                    <w:rPr>
                      <w:lang w:val="pt-PT"/>
                    </w:rPr>
                  </w:pPr>
                  <w:r w:rsidRPr="006722AC">
                    <w:rPr>
                      <w:lang w:val="en-US"/>
                    </w:rPr>
                    <w:t>10</w:t>
                  </w:r>
                  <w:r w:rsidR="00E17944" w:rsidRPr="006722AC">
                    <w:rPr>
                      <w:lang w:val="en-US"/>
                    </w:rPr>
                    <w:t>,</w:t>
                  </w:r>
                  <w:r w:rsidRPr="006722AC">
                    <w:rPr>
                      <w:lang w:val="en-US"/>
                    </w:rPr>
                    <w:t>652 €</w:t>
                  </w:r>
                </w:p>
              </w:tc>
            </w:tr>
            <w:tr w:rsidR="006722AC" w:rsidRPr="006722AC" w14:paraId="17CE50BB"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5C0084C9" w14:textId="77777777" w:rsidR="00427361" w:rsidRPr="006722AC" w:rsidRDefault="00427361" w:rsidP="00B51775">
                  <w:pPr>
                    <w:rPr>
                      <w:lang w:val="pt-PT"/>
                    </w:rPr>
                  </w:pPr>
                  <w:r w:rsidRPr="006722AC">
                    <w:rPr>
                      <w:lang w:val="en-US"/>
                    </w:rPr>
                    <w:t>Prednisolone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AF30B6F"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90A50D3" w14:textId="20E43423" w:rsidR="00427361" w:rsidRPr="006722AC" w:rsidRDefault="00427361" w:rsidP="00B51775">
                  <w:pPr>
                    <w:rPr>
                      <w:lang w:val="pt-PT"/>
                    </w:rPr>
                  </w:pPr>
                  <w:r w:rsidRPr="006722AC">
                    <w:rPr>
                      <w:lang w:val="en-US"/>
                    </w:rPr>
                    <w:t>3</w:t>
                  </w:r>
                  <w:r w:rsidR="00E17944" w:rsidRPr="006722AC">
                    <w:rPr>
                      <w:lang w:val="en-US"/>
                    </w:rPr>
                    <w:t>,</w:t>
                  </w:r>
                  <w:r w:rsidRPr="006722AC">
                    <w:rPr>
                      <w:lang w:val="en-US"/>
                    </w:rPr>
                    <w:t>639 €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BCBB500"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0EB8EB3" w14:textId="379F5EBC" w:rsidR="00427361" w:rsidRPr="006722AC" w:rsidRDefault="00427361" w:rsidP="00B51775">
                  <w:pPr>
                    <w:rPr>
                      <w:lang w:val="pt-PT"/>
                    </w:rPr>
                  </w:pPr>
                  <w:r w:rsidRPr="006722AC">
                    <w:rPr>
                      <w:lang w:val="en-US"/>
                    </w:rPr>
                    <w:t>9</w:t>
                  </w:r>
                  <w:r w:rsidR="00E17944" w:rsidRPr="006722AC">
                    <w:rPr>
                      <w:lang w:val="en-US"/>
                    </w:rPr>
                    <w:t>,</w:t>
                  </w:r>
                  <w:r w:rsidRPr="006722AC">
                    <w:rPr>
                      <w:lang w:val="en-US"/>
                    </w:rPr>
                    <w:t>180 €</w:t>
                  </w:r>
                </w:p>
              </w:tc>
            </w:tr>
            <w:tr w:rsidR="006722AC" w:rsidRPr="006722AC" w14:paraId="2CA0CC94"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0FBD865" w14:textId="77777777" w:rsidR="00427361" w:rsidRPr="006722AC" w:rsidRDefault="00427361" w:rsidP="00B51775">
                  <w:pPr>
                    <w:rPr>
                      <w:lang w:val="pt-PT"/>
                    </w:rPr>
                  </w:pPr>
                  <w:r w:rsidRPr="006722AC">
                    <w:rPr>
                      <w:lang w:val="en-US"/>
                    </w:rPr>
                    <w:t>Sulfasalazine</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8A978F4"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5891EF72" w14:textId="77777777" w:rsidR="00427361" w:rsidRPr="006722AC" w:rsidRDefault="00427361" w:rsidP="00B51775">
                  <w:pPr>
                    <w:rPr>
                      <w:lang w:val="pt-PT"/>
                    </w:rPr>
                  </w:pPr>
                  <w:r w:rsidRPr="006722AC">
                    <w:rPr>
                      <w:lang w:val="en-US"/>
                    </w:rPr>
                    <w:t>101 €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719BDB34"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03353E39" w14:textId="77777777" w:rsidR="00427361" w:rsidRPr="006722AC" w:rsidRDefault="00427361" w:rsidP="00B51775">
                  <w:pPr>
                    <w:rPr>
                      <w:lang w:val="pt-PT"/>
                    </w:rPr>
                  </w:pPr>
                  <w:r w:rsidRPr="006722AC">
                    <w:rPr>
                      <w:lang w:val="en-US"/>
                    </w:rPr>
                    <w:t>16 €</w:t>
                  </w:r>
                </w:p>
              </w:tc>
            </w:tr>
            <w:tr w:rsidR="006722AC" w:rsidRPr="006722AC" w14:paraId="534DB86A"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FD50244" w14:textId="77777777" w:rsidR="00427361" w:rsidRPr="006722AC" w:rsidRDefault="00427361" w:rsidP="00B51775">
                  <w:pPr>
                    <w:rPr>
                      <w:lang w:val="pt-PT"/>
                    </w:rPr>
                  </w:pPr>
                  <w:r w:rsidRPr="006722AC">
                    <w:rPr>
                      <w:lang w:val="en-US"/>
                    </w:rPr>
                    <w:t>Tacrolimus</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19C4B389"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A285787" w14:textId="66CCE019" w:rsidR="00427361" w:rsidRPr="006722AC" w:rsidRDefault="00427361" w:rsidP="00B51775">
                  <w:pPr>
                    <w:rPr>
                      <w:lang w:val="pt-PT"/>
                    </w:rPr>
                  </w:pPr>
                  <w:r w:rsidRPr="006722AC">
                    <w:rPr>
                      <w:lang w:val="en-US"/>
                    </w:rPr>
                    <w:t>15</w:t>
                  </w:r>
                  <w:r w:rsidR="00E17944" w:rsidRPr="006722AC">
                    <w:rPr>
                      <w:lang w:val="en-US"/>
                    </w:rPr>
                    <w:t>,</w:t>
                  </w:r>
                  <w:r w:rsidRPr="006722AC">
                    <w:rPr>
                      <w:lang w:val="en-US"/>
                    </w:rPr>
                    <w:t>564 €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68B297D4"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6778C4A" w14:textId="0744424E" w:rsidR="00427361" w:rsidRPr="006722AC" w:rsidRDefault="00427361" w:rsidP="00B51775">
                  <w:pPr>
                    <w:rPr>
                      <w:lang w:val="pt-PT"/>
                    </w:rPr>
                  </w:pPr>
                  <w:r w:rsidRPr="006722AC">
                    <w:rPr>
                      <w:lang w:val="en-US"/>
                    </w:rPr>
                    <w:t>48</w:t>
                  </w:r>
                  <w:r w:rsidR="00E17944" w:rsidRPr="006722AC">
                    <w:rPr>
                      <w:lang w:val="en-US"/>
                    </w:rPr>
                    <w:t>,</w:t>
                  </w:r>
                  <w:r w:rsidRPr="006722AC">
                    <w:rPr>
                      <w:lang w:val="en-US"/>
                    </w:rPr>
                    <w:t>407 €</w:t>
                  </w:r>
                </w:p>
              </w:tc>
            </w:tr>
            <w:tr w:rsidR="006722AC" w:rsidRPr="006722AC" w14:paraId="01E7EC75"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67A8A9ED" w14:textId="77777777" w:rsidR="00427361" w:rsidRPr="006722AC" w:rsidRDefault="00427361" w:rsidP="00B51775">
                  <w:pPr>
                    <w:rPr>
                      <w:lang w:val="pt-PT"/>
                    </w:rPr>
                  </w:pPr>
                  <w:r w:rsidRPr="006722AC">
                    <w:rPr>
                      <w:lang w:val="en-US"/>
                    </w:rPr>
                    <w:t>Ustekinumab</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4C8BC6C2"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2954DC44" w14:textId="77777777" w:rsidR="00427361" w:rsidRPr="006722AC" w:rsidRDefault="00427361" w:rsidP="00B51775">
                  <w:pPr>
                    <w:rPr>
                      <w:lang w:val="pt-PT"/>
                    </w:rPr>
                  </w:pPr>
                  <w:r w:rsidRPr="006722AC">
                    <w:rPr>
                      <w:lang w:val="en-US"/>
                    </w:rPr>
                    <w:t>0 €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792E3BC"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93784A2" w14:textId="69034947" w:rsidR="00427361" w:rsidRPr="006722AC" w:rsidRDefault="00427361" w:rsidP="00B51775">
                  <w:pPr>
                    <w:rPr>
                      <w:lang w:val="pt-PT"/>
                    </w:rPr>
                  </w:pPr>
                  <w:r w:rsidRPr="006722AC">
                    <w:rPr>
                      <w:lang w:val="en-US"/>
                    </w:rPr>
                    <w:t>3</w:t>
                  </w:r>
                  <w:r w:rsidR="00E17944" w:rsidRPr="006722AC">
                    <w:rPr>
                      <w:lang w:val="en-US"/>
                    </w:rPr>
                    <w:t>,</w:t>
                  </w:r>
                  <w:r w:rsidRPr="006722AC">
                    <w:rPr>
                      <w:lang w:val="en-US"/>
                    </w:rPr>
                    <w:t>754</w:t>
                  </w:r>
                  <w:r w:rsidR="00E17944" w:rsidRPr="006722AC">
                    <w:rPr>
                      <w:lang w:val="en-US"/>
                    </w:rPr>
                    <w:t>,</w:t>
                  </w:r>
                  <w:r w:rsidRPr="006722AC">
                    <w:rPr>
                      <w:lang w:val="en-US"/>
                    </w:rPr>
                    <w:t>364 €</w:t>
                  </w:r>
                </w:p>
              </w:tc>
            </w:tr>
            <w:tr w:rsidR="006722AC" w:rsidRPr="006722AC" w14:paraId="7E3EF8D5" w14:textId="77777777" w:rsidTr="00B51775">
              <w:trPr>
                <w:trHeight w:val="20"/>
              </w:trPr>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3967016C" w14:textId="77777777" w:rsidR="00427361" w:rsidRPr="006722AC" w:rsidRDefault="00427361" w:rsidP="00B51775">
                  <w:pPr>
                    <w:rPr>
                      <w:lang w:val="pt-PT"/>
                    </w:rPr>
                  </w:pPr>
                  <w:r w:rsidRPr="006722AC">
                    <w:rPr>
                      <w:lang w:val="en-US"/>
                    </w:rPr>
                    <w:t>Vedolizumab</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FAE5990"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1EAEC52D" w14:textId="5BDA9CF6" w:rsidR="00427361" w:rsidRPr="006722AC" w:rsidRDefault="00427361" w:rsidP="00B51775">
                  <w:pPr>
                    <w:rPr>
                      <w:lang w:val="pt-PT"/>
                    </w:rPr>
                  </w:pPr>
                  <w:r w:rsidRPr="006722AC">
                    <w:rPr>
                      <w:lang w:val="en-US"/>
                    </w:rPr>
                    <w:t>2</w:t>
                  </w:r>
                  <w:r w:rsidR="00E17944" w:rsidRPr="006722AC">
                    <w:rPr>
                      <w:lang w:val="en-US"/>
                    </w:rPr>
                    <w:t>,</w:t>
                  </w:r>
                  <w:r w:rsidRPr="006722AC">
                    <w:rPr>
                      <w:lang w:val="en-US"/>
                    </w:rPr>
                    <w:t>936</w:t>
                  </w:r>
                  <w:r w:rsidR="00E17944" w:rsidRPr="006722AC">
                    <w:rPr>
                      <w:lang w:val="en-US"/>
                    </w:rPr>
                    <w:t>,</w:t>
                  </w:r>
                  <w:r w:rsidRPr="006722AC">
                    <w:rPr>
                      <w:lang w:val="en-US"/>
                    </w:rPr>
                    <w:t>699 €</w:t>
                  </w:r>
                </w:p>
              </w:tc>
              <w:tc>
                <w:tcPr>
                  <w:tcW w:w="560" w:type="dxa"/>
                  <w:tcBorders>
                    <w:top w:val="nil"/>
                    <w:left w:val="single" w:sz="8" w:space="0" w:color="FFFFFF"/>
                    <w:bottom w:val="nil"/>
                    <w:right w:val="single" w:sz="8" w:space="0" w:color="FFFFFF"/>
                  </w:tcBorders>
                  <w:shd w:val="clear" w:color="auto" w:fill="auto"/>
                  <w:tcMar>
                    <w:top w:w="15" w:type="dxa"/>
                    <w:left w:w="15" w:type="dxa"/>
                    <w:bottom w:w="0" w:type="dxa"/>
                    <w:right w:w="15" w:type="dxa"/>
                  </w:tcMar>
                  <w:vAlign w:val="center"/>
                  <w:hideMark/>
                </w:tcPr>
                <w:p w14:paraId="31CF1D59" w14:textId="77777777" w:rsidR="00427361" w:rsidRPr="006722AC" w:rsidRDefault="00427361" w:rsidP="00B51775">
                  <w:pPr>
                    <w:rPr>
                      <w:lang w:val="pt-PT"/>
                    </w:rPr>
                  </w:pPr>
                </w:p>
              </w:tc>
              <w:tc>
                <w:tcPr>
                  <w:tcW w:w="1860" w:type="dxa"/>
                  <w:tcBorders>
                    <w:top w:val="single" w:sz="8" w:space="0" w:color="C6EFFF"/>
                    <w:left w:val="single" w:sz="8" w:space="0" w:color="FFFFFF"/>
                    <w:bottom w:val="single" w:sz="8" w:space="0" w:color="C6EFFF"/>
                    <w:right w:val="single" w:sz="8" w:space="0" w:color="FFFFFF"/>
                  </w:tcBorders>
                  <w:shd w:val="clear" w:color="auto" w:fill="FFFFFF"/>
                  <w:tcMar>
                    <w:top w:w="15" w:type="dxa"/>
                    <w:left w:w="15" w:type="dxa"/>
                    <w:bottom w:w="0" w:type="dxa"/>
                    <w:right w:w="15" w:type="dxa"/>
                  </w:tcMar>
                  <w:vAlign w:val="center"/>
                  <w:hideMark/>
                </w:tcPr>
                <w:p w14:paraId="71A5BC8A" w14:textId="43F8629C" w:rsidR="00427361" w:rsidRPr="006722AC" w:rsidRDefault="00427361" w:rsidP="00B51775">
                  <w:pPr>
                    <w:rPr>
                      <w:lang w:val="pt-PT"/>
                    </w:rPr>
                  </w:pPr>
                  <w:r w:rsidRPr="006722AC">
                    <w:rPr>
                      <w:lang w:val="en-US"/>
                    </w:rPr>
                    <w:t>5</w:t>
                  </w:r>
                  <w:r w:rsidR="00E17944" w:rsidRPr="006722AC">
                    <w:rPr>
                      <w:lang w:val="en-US"/>
                    </w:rPr>
                    <w:t>,</w:t>
                  </w:r>
                  <w:r w:rsidRPr="006722AC">
                    <w:rPr>
                      <w:lang w:val="en-US"/>
                    </w:rPr>
                    <w:t>305</w:t>
                  </w:r>
                  <w:r w:rsidR="00E17944" w:rsidRPr="006722AC">
                    <w:rPr>
                      <w:lang w:val="en-US"/>
                    </w:rPr>
                    <w:t>,</w:t>
                  </w:r>
                  <w:r w:rsidRPr="006722AC">
                    <w:rPr>
                      <w:lang w:val="en-US"/>
                    </w:rPr>
                    <w:t>570 €</w:t>
                  </w:r>
                </w:p>
              </w:tc>
            </w:tr>
          </w:tbl>
          <w:p w14:paraId="50DD0993" w14:textId="77777777" w:rsidR="00427361" w:rsidRPr="006722AC" w:rsidRDefault="00427361" w:rsidP="00B51775">
            <w:pPr>
              <w:rPr>
                <w:lang w:val="pt-PT"/>
              </w:rPr>
            </w:pPr>
          </w:p>
        </w:tc>
        <w:tc>
          <w:tcPr>
            <w:tcW w:w="222" w:type="dxa"/>
          </w:tcPr>
          <w:p w14:paraId="4AC53287" w14:textId="77777777" w:rsidR="00427361" w:rsidRPr="006722AC" w:rsidRDefault="00427361" w:rsidP="00B51775">
            <w:pPr>
              <w:rPr>
                <w:lang w:val="pt-PT"/>
              </w:rPr>
            </w:pPr>
          </w:p>
        </w:tc>
        <w:tc>
          <w:tcPr>
            <w:tcW w:w="222" w:type="dxa"/>
          </w:tcPr>
          <w:p w14:paraId="0A3054FD" w14:textId="77777777" w:rsidR="00427361" w:rsidRPr="006722AC" w:rsidRDefault="00427361" w:rsidP="00B51775">
            <w:pPr>
              <w:rPr>
                <w:lang w:val="pt-PT"/>
              </w:rPr>
            </w:pPr>
          </w:p>
        </w:tc>
        <w:tc>
          <w:tcPr>
            <w:tcW w:w="222" w:type="dxa"/>
          </w:tcPr>
          <w:p w14:paraId="7B392F9E" w14:textId="77777777" w:rsidR="00427361" w:rsidRPr="006722AC" w:rsidRDefault="00427361" w:rsidP="00B51775">
            <w:pPr>
              <w:rPr>
                <w:lang w:val="pt-PT"/>
              </w:rPr>
            </w:pPr>
          </w:p>
        </w:tc>
        <w:tc>
          <w:tcPr>
            <w:tcW w:w="222" w:type="dxa"/>
          </w:tcPr>
          <w:p w14:paraId="5BE4CC10" w14:textId="77777777" w:rsidR="00427361" w:rsidRPr="006722AC" w:rsidRDefault="00427361" w:rsidP="00B51775">
            <w:pPr>
              <w:rPr>
                <w:lang w:val="pt-PT"/>
              </w:rPr>
            </w:pPr>
          </w:p>
        </w:tc>
      </w:tr>
    </w:tbl>
    <w:p w14:paraId="12D84B47" w14:textId="7B9CC10E" w:rsidR="00C94D29" w:rsidRPr="006722AC" w:rsidRDefault="00427361">
      <w:r w:rsidRPr="006722AC">
        <w:br w:type="page"/>
      </w:r>
    </w:p>
    <w:sectPr w:rsidR="00C94D29" w:rsidRPr="006722AC" w:rsidSect="001869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C15"/>
    <w:multiLevelType w:val="multilevel"/>
    <w:tmpl w:val="6CAEE97A"/>
    <w:lvl w:ilvl="0">
      <w:start w:val="1"/>
      <w:numFmt w:val="decimal"/>
      <w:lvlText w:val="%1."/>
      <w:lvlJc w:val="left"/>
      <w:pPr>
        <w:ind w:left="420" w:hanging="360"/>
      </w:pPr>
      <w:rPr>
        <w:rFonts w:hint="default"/>
      </w:rPr>
    </w:lvl>
    <w:lvl w:ilvl="1">
      <w:start w:val="1"/>
      <w:numFmt w:val="bullet"/>
      <w:lvlText w:val=""/>
      <w:lvlJc w:val="left"/>
      <w:pPr>
        <w:ind w:left="1140" w:hanging="360"/>
      </w:pPr>
      <w:rPr>
        <w:rFonts w:ascii="Symbol" w:hAnsi="Symbol" w:hint="default"/>
        <w:color w:val="auto"/>
      </w:rPr>
    </w:lvl>
    <w:lvl w:ilvl="2">
      <w:start w:val="1"/>
      <w:numFmt w:val="bullet"/>
      <w:lvlText w:val=""/>
      <w:lvlJc w:val="left"/>
      <w:pPr>
        <w:ind w:left="1860" w:hanging="180"/>
      </w:pPr>
      <w:rPr>
        <w:rFonts w:ascii="Symbol" w:hAnsi="Symbol" w:hint="default"/>
        <w:color w:val="auto"/>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 w15:restartNumberingAfterBreak="0">
    <w:nsid w:val="423825BE"/>
    <w:multiLevelType w:val="multilevel"/>
    <w:tmpl w:val="56928A1C"/>
    <w:lvl w:ilvl="0">
      <w:start w:val="1"/>
      <w:numFmt w:val="upperLetter"/>
      <w:pStyle w:val="Subtitle"/>
      <w:lvlText w:val="%1)"/>
      <w:lvlJc w:val="left"/>
      <w:pPr>
        <w:ind w:left="113" w:firstLine="114"/>
      </w:pPr>
      <w:rPr>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680" w:hanging="283"/>
      </w:pPr>
      <w:rPr>
        <w:rFonts w:hint="default"/>
      </w:rPr>
    </w:lvl>
    <w:lvl w:ilvl="2">
      <w:start w:val="1"/>
      <w:numFmt w:val="bullet"/>
      <w:lvlText w:val=""/>
      <w:lvlJc w:val="left"/>
      <w:pPr>
        <w:ind w:left="1134" w:hanging="340"/>
      </w:pPr>
      <w:rPr>
        <w:rFonts w:ascii="Symbol" w:hAnsi="Symbol" w:hint="default"/>
        <w:color w:val="auto"/>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61"/>
    <w:rsid w:val="0018693B"/>
    <w:rsid w:val="00272804"/>
    <w:rsid w:val="00427361"/>
    <w:rsid w:val="00436138"/>
    <w:rsid w:val="004679D8"/>
    <w:rsid w:val="0066372F"/>
    <w:rsid w:val="006722AC"/>
    <w:rsid w:val="00771830"/>
    <w:rsid w:val="00837B36"/>
    <w:rsid w:val="00900CA9"/>
    <w:rsid w:val="00B75038"/>
    <w:rsid w:val="00C452A9"/>
    <w:rsid w:val="00C94D29"/>
    <w:rsid w:val="00D32234"/>
    <w:rsid w:val="00E17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642"/>
  <w15:chartTrackingRefBased/>
  <w15:docId w15:val="{137CDFFF-074E-4B1B-92FE-A11038D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61"/>
    <w:pPr>
      <w:spacing w:before="120" w:after="120" w:line="288" w:lineRule="auto"/>
      <w:jc w:val="both"/>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27361"/>
    <w:pPr>
      <w:spacing w:before="600"/>
      <w:outlineLvl w:val="0"/>
    </w:pPr>
    <w:rPr>
      <w:b/>
      <w:sz w:val="32"/>
      <w:shd w:val="clear" w:color="auto" w:fill="FFFFFF"/>
    </w:rPr>
  </w:style>
  <w:style w:type="paragraph" w:styleId="Heading3">
    <w:name w:val="heading 3"/>
    <w:basedOn w:val="Normal"/>
    <w:next w:val="Normal"/>
    <w:link w:val="Heading3Char"/>
    <w:uiPriority w:val="9"/>
    <w:unhideWhenUsed/>
    <w:qFormat/>
    <w:rsid w:val="00427361"/>
    <w:pPr>
      <w:keepNext/>
      <w:keepLines/>
      <w:spacing w:before="360" w:line="240" w:lineRule="auto"/>
      <w:outlineLvl w:val="2"/>
    </w:pPr>
    <w:rPr>
      <w:rFonts w:eastAsiaTheme="majorEastAsia"/>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361"/>
    <w:rPr>
      <w:rFonts w:ascii="Times New Roman" w:hAnsi="Times New Roman" w:cs="Times New Roman"/>
      <w:b/>
      <w:sz w:val="32"/>
      <w:szCs w:val="24"/>
      <w:lang w:val="en-GB" w:eastAsia="en-GB"/>
    </w:rPr>
  </w:style>
  <w:style w:type="character" w:customStyle="1" w:styleId="Heading3Char">
    <w:name w:val="Heading 3 Char"/>
    <w:basedOn w:val="DefaultParagraphFont"/>
    <w:link w:val="Heading3"/>
    <w:uiPriority w:val="9"/>
    <w:rsid w:val="00427361"/>
    <w:rPr>
      <w:rFonts w:ascii="Times New Roman" w:eastAsiaTheme="majorEastAsia" w:hAnsi="Times New Roman" w:cs="Times New Roman"/>
      <w:b/>
      <w:sz w:val="24"/>
      <w:szCs w:val="24"/>
      <w:lang w:val="en-US" w:eastAsia="en-GB"/>
    </w:rPr>
  </w:style>
  <w:style w:type="paragraph" w:styleId="ListParagraph">
    <w:name w:val="List Paragraph"/>
    <w:basedOn w:val="Normal"/>
    <w:uiPriority w:val="34"/>
    <w:qFormat/>
    <w:rsid w:val="00427361"/>
    <w:pPr>
      <w:ind w:left="720"/>
      <w:contextualSpacing/>
    </w:pPr>
    <w:rPr>
      <w:lang w:val="pt-PT"/>
    </w:rPr>
  </w:style>
  <w:style w:type="paragraph" w:styleId="Subtitle">
    <w:name w:val="Subtitle"/>
    <w:basedOn w:val="ListParagraph"/>
    <w:next w:val="Normal"/>
    <w:link w:val="SubtitleChar"/>
    <w:uiPriority w:val="11"/>
    <w:qFormat/>
    <w:rsid w:val="00427361"/>
    <w:pPr>
      <w:numPr>
        <w:numId w:val="2"/>
      </w:numPr>
      <w:spacing w:after="0"/>
      <w:ind w:left="0" w:firstLine="227"/>
      <w:contextualSpacing w:val="0"/>
    </w:pPr>
    <w:rPr>
      <w:lang w:val="en-GB"/>
    </w:rPr>
  </w:style>
  <w:style w:type="character" w:customStyle="1" w:styleId="SubtitleChar">
    <w:name w:val="Subtitle Char"/>
    <w:basedOn w:val="DefaultParagraphFont"/>
    <w:link w:val="Subtitle"/>
    <w:uiPriority w:val="11"/>
    <w:rsid w:val="00427361"/>
    <w:rPr>
      <w:rFonts w:ascii="Times New Roman" w:hAnsi="Times New Roman" w:cs="Times New Roman"/>
      <w:sz w:val="24"/>
      <w:szCs w:val="24"/>
      <w:lang w:val="en-GB" w:eastAsia="en-GB"/>
    </w:rPr>
  </w:style>
  <w:style w:type="character" w:styleId="Emphasis">
    <w:name w:val="Emphasis"/>
    <w:aliases w:val="Subtitle 2"/>
    <w:basedOn w:val="SubtleEmphasis"/>
    <w:uiPriority w:val="20"/>
    <w:qFormat/>
    <w:rsid w:val="00427361"/>
    <w:rPr>
      <w:i w:val="0"/>
      <w:iCs w:val="0"/>
      <w:color w:val="404040" w:themeColor="text1" w:themeTint="BF"/>
      <w:lang w:val="en-GB"/>
    </w:rPr>
  </w:style>
  <w:style w:type="table" w:styleId="PlainTable2">
    <w:name w:val="Plain Table 2"/>
    <w:basedOn w:val="TableNormal"/>
    <w:uiPriority w:val="42"/>
    <w:rsid w:val="00427361"/>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Emphasis">
    <w:name w:val="Subtle Emphasis"/>
    <w:basedOn w:val="DefaultParagraphFont"/>
    <w:uiPriority w:val="19"/>
    <w:qFormat/>
    <w:rsid w:val="00427361"/>
    <w:rPr>
      <w:i/>
      <w:iCs/>
      <w:color w:val="404040" w:themeColor="text1" w:themeTint="BF"/>
    </w:rPr>
  </w:style>
  <w:style w:type="paragraph" w:styleId="Revision">
    <w:name w:val="Revision"/>
    <w:hidden/>
    <w:uiPriority w:val="99"/>
    <w:semiHidden/>
    <w:rsid w:val="00E17944"/>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8B99B4-FE8C-4621-880D-B80F20FFC4C5}">
  <we:reference id="wa104382081" version="1.35.0.0" store="PT" storeType="OMEX"/>
  <we:alternateReferences>
    <we:reference id="wa104382081" version="1.35.0.0" store="" storeType="OMEX"/>
  </we:alternateReferences>
  <we:properties>
    <we:property name="MENDELEY_CITATIONS" value="[]"/>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63E6-4C09-4887-BF57-4DAB09A3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2002</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Fabio</dc:creator>
  <cp:keywords/>
  <dc:description/>
  <cp:lastModifiedBy>Pereira, Fabio</cp:lastModifiedBy>
  <cp:revision>5</cp:revision>
  <dcterms:created xsi:type="dcterms:W3CDTF">2021-12-11T23:22:00Z</dcterms:created>
  <dcterms:modified xsi:type="dcterms:W3CDTF">2022-01-12T23:29:00Z</dcterms:modified>
</cp:coreProperties>
</file>