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8E7A" w14:textId="04D8AD74" w:rsidR="00AC3AC4" w:rsidRPr="00117A29" w:rsidRDefault="00AC3AC4" w:rsidP="00AC3AC4">
      <w:pPr>
        <w:spacing w:line="360" w:lineRule="auto"/>
        <w:jc w:val="left"/>
        <w:rPr>
          <w:rFonts w:ascii="Arial" w:hAnsi="Arial" w:cs="Arial"/>
          <w:b/>
          <w:sz w:val="24"/>
        </w:rPr>
      </w:pPr>
      <w:r w:rsidRPr="00117A29">
        <w:rPr>
          <w:rFonts w:ascii="Arial" w:hAnsi="Arial" w:cs="Arial"/>
          <w:b/>
          <w:sz w:val="24"/>
        </w:rPr>
        <w:t>Table</w:t>
      </w:r>
      <w:r w:rsidR="002C3B0F">
        <w:rPr>
          <w:rFonts w:ascii="Arial" w:hAnsi="Arial" w:cs="Arial" w:hint="eastAsia"/>
          <w:b/>
          <w:sz w:val="24"/>
        </w:rPr>
        <w:t xml:space="preserve"> S</w:t>
      </w:r>
      <w:r w:rsidR="00AE2284">
        <w:rPr>
          <w:rFonts w:ascii="Arial" w:hAnsi="Arial" w:cs="Arial"/>
          <w:b/>
          <w:sz w:val="24"/>
        </w:rPr>
        <w:t>2</w:t>
      </w:r>
      <w:r>
        <w:rPr>
          <w:rFonts w:ascii="Arial" w:hAnsi="Arial" w:cs="Arial"/>
          <w:b/>
          <w:sz w:val="24"/>
        </w:rPr>
        <w:t>.</w:t>
      </w:r>
      <w:r w:rsidR="00E165A6">
        <w:rPr>
          <w:rFonts w:ascii="Arial" w:hAnsi="Arial" w:cs="Arial"/>
          <w:b/>
          <w:sz w:val="24"/>
        </w:rPr>
        <w:t xml:space="preserve"> </w:t>
      </w:r>
      <w:r w:rsidRPr="00117A29">
        <w:rPr>
          <w:rFonts w:ascii="Arial" w:hAnsi="Arial" w:cs="Arial"/>
          <w:b/>
          <w:sz w:val="24"/>
        </w:rPr>
        <w:t xml:space="preserve">Quality assessment form and decision rules to assess included studies </w:t>
      </w:r>
    </w:p>
    <w:p w14:paraId="31CB891B" w14:textId="77777777" w:rsidR="00AC3AC4" w:rsidRPr="00117A29" w:rsidRDefault="00AC3AC4" w:rsidP="00AC3AC4">
      <w:pPr>
        <w:spacing w:line="360" w:lineRule="auto"/>
        <w:jc w:val="left"/>
        <w:rPr>
          <w:rFonts w:ascii="Arial" w:hAnsi="Arial" w:cs="Arial"/>
          <w:bCs/>
          <w:sz w:val="24"/>
        </w:rPr>
      </w:pPr>
    </w:p>
    <w:tbl>
      <w:tblPr>
        <w:tblStyle w:val="a7"/>
        <w:tblW w:w="15735" w:type="dxa"/>
        <w:tblInd w:w="-856" w:type="dxa"/>
        <w:tblLayout w:type="fixed"/>
        <w:tblLook w:val="04A0" w:firstRow="1" w:lastRow="0" w:firstColumn="1" w:lastColumn="0" w:noHBand="0" w:noVBand="1"/>
      </w:tblPr>
      <w:tblGrid>
        <w:gridCol w:w="2836"/>
        <w:gridCol w:w="6237"/>
        <w:gridCol w:w="6662"/>
      </w:tblGrid>
      <w:tr w:rsidR="00AC3AC4" w:rsidRPr="00117A29" w14:paraId="6DCDD370" w14:textId="77777777" w:rsidTr="00A42942">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68579FC8"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 xml:space="preserve">Item </w:t>
            </w:r>
          </w:p>
        </w:tc>
        <w:tc>
          <w:tcPr>
            <w:tcW w:w="6237" w:type="dxa"/>
          </w:tcPr>
          <w:p w14:paraId="0499A6BC" w14:textId="77777777" w:rsidR="00AC3AC4" w:rsidRPr="00117A29" w:rsidRDefault="00AC3AC4" w:rsidP="00A42942">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val="0"/>
                <w:sz w:val="24"/>
              </w:rPr>
            </w:pPr>
            <w:r w:rsidRPr="00117A29">
              <w:rPr>
                <w:rFonts w:ascii="Arial" w:hAnsi="Arial" w:cs="Arial"/>
                <w:sz w:val="24"/>
              </w:rPr>
              <w:t xml:space="preserve">Descriptions </w:t>
            </w:r>
          </w:p>
        </w:tc>
        <w:tc>
          <w:tcPr>
            <w:tcW w:w="6662" w:type="dxa"/>
          </w:tcPr>
          <w:p w14:paraId="159E1D11" w14:textId="77777777" w:rsidR="00AC3AC4" w:rsidRPr="00117A29" w:rsidRDefault="00AC3AC4" w:rsidP="00A42942">
            <w:pPr>
              <w:spacing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val="0"/>
                <w:sz w:val="24"/>
              </w:rPr>
            </w:pPr>
            <w:r w:rsidRPr="00117A29">
              <w:rPr>
                <w:rFonts w:ascii="Arial" w:hAnsi="Arial" w:cs="Arial"/>
                <w:sz w:val="24"/>
              </w:rPr>
              <w:t>Scoring</w:t>
            </w:r>
            <w:r>
              <w:rPr>
                <w:rFonts w:ascii="Arial" w:hAnsi="Arial" w:cs="Arial"/>
                <w:sz w:val="24"/>
              </w:rPr>
              <w:t xml:space="preserve"> </w:t>
            </w:r>
            <w:r w:rsidRPr="00117A29">
              <w:rPr>
                <w:rFonts w:ascii="Arial" w:hAnsi="Arial" w:cs="Arial"/>
                <w:sz w:val="24"/>
                <w:vertAlign w:val="superscript"/>
              </w:rPr>
              <w:t>a</w:t>
            </w:r>
          </w:p>
        </w:tc>
      </w:tr>
      <w:tr w:rsidR="00AC3AC4" w:rsidRPr="00117A29" w14:paraId="2CDF5E49" w14:textId="77777777" w:rsidTr="00A4294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0C356DB8"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Blind final assessor</w:t>
            </w:r>
          </w:p>
        </w:tc>
        <w:tc>
          <w:tcPr>
            <w:tcW w:w="6237" w:type="dxa"/>
          </w:tcPr>
          <w:p w14:paraId="78BEF366"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Assessors measured RTUS variables and reference standards independently of each other, or, if not, it was likely that knowledge of one variable did not bias measurements of the other.</w:t>
            </w:r>
          </w:p>
        </w:tc>
        <w:tc>
          <w:tcPr>
            <w:tcW w:w="6662" w:type="dxa"/>
          </w:tcPr>
          <w:p w14:paraId="508C7BCD"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3876491B"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roofErr w:type="gramStart"/>
            <w:r w:rsidRPr="00117A29">
              <w:rPr>
                <w:rFonts w:ascii="Arial" w:hAnsi="Arial" w:cs="Arial"/>
                <w:bCs/>
                <w:sz w:val="24"/>
              </w:rPr>
              <w:t>Yes</w:t>
            </w:r>
            <w:proofErr w:type="gramEnd"/>
            <w:r w:rsidRPr="00117A29">
              <w:rPr>
                <w:rFonts w:ascii="Arial" w:hAnsi="Arial" w:cs="Arial"/>
                <w:bCs/>
                <w:sz w:val="24"/>
              </w:rPr>
              <w:t xml:space="preserve"> if the paper states that the outcome assessor was blind to prognostic variables or reports a method that minimized opportunity for bias.</w:t>
            </w:r>
          </w:p>
        </w:tc>
      </w:tr>
      <w:tr w:rsidR="00AC3AC4" w:rsidRPr="00117A29" w14:paraId="736E791E" w14:textId="77777777" w:rsidTr="00A42942">
        <w:trPr>
          <w:trHeight w:val="145"/>
        </w:trPr>
        <w:tc>
          <w:tcPr>
            <w:cnfStyle w:val="001000000000" w:firstRow="0" w:lastRow="0" w:firstColumn="1" w:lastColumn="0" w:oddVBand="0" w:evenVBand="0" w:oddHBand="0" w:evenHBand="0" w:firstRowFirstColumn="0" w:firstRowLastColumn="0" w:lastRowFirstColumn="0" w:lastRowLastColumn="0"/>
            <w:tcW w:w="2836" w:type="dxa"/>
          </w:tcPr>
          <w:p w14:paraId="1030E952"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Data for at least 80% of the cohort reported</w:t>
            </w:r>
          </w:p>
        </w:tc>
        <w:tc>
          <w:tcPr>
            <w:tcW w:w="6237" w:type="dxa"/>
          </w:tcPr>
          <w:p w14:paraId="3F739740"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At least 80% of subjects assessed using RTUS were assessed on the reference standard.</w:t>
            </w:r>
          </w:p>
        </w:tc>
        <w:tc>
          <w:tcPr>
            <w:tcW w:w="6662" w:type="dxa"/>
          </w:tcPr>
          <w:p w14:paraId="507E4F63"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18B85A57"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AC3AC4" w:rsidRPr="00117A29" w14:paraId="7D3FBDCD" w14:textId="77777777" w:rsidTr="00A4294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702978F8"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Inception cohort</w:t>
            </w:r>
          </w:p>
        </w:tc>
        <w:tc>
          <w:tcPr>
            <w:tcW w:w="6237" w:type="dxa"/>
          </w:tcPr>
          <w:p w14:paraId="0212B2B7"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The inception cohort was typical of those on whom the test would typically be conducted and all eligible patients were invited to participate in the study (random selection or consecutive cases). </w:t>
            </w:r>
          </w:p>
        </w:tc>
        <w:tc>
          <w:tcPr>
            <w:tcW w:w="6662" w:type="dxa"/>
          </w:tcPr>
          <w:p w14:paraId="225ECA42"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29820D2A"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roofErr w:type="gramStart"/>
            <w:r w:rsidRPr="00117A29">
              <w:rPr>
                <w:rFonts w:ascii="Arial" w:hAnsi="Arial" w:cs="Arial"/>
                <w:bCs/>
                <w:sz w:val="24"/>
              </w:rPr>
              <w:t>Yes</w:t>
            </w:r>
            <w:proofErr w:type="gramEnd"/>
            <w:r w:rsidRPr="00117A29">
              <w:rPr>
                <w:rFonts w:ascii="Arial" w:hAnsi="Arial" w:cs="Arial"/>
                <w:bCs/>
                <w:sz w:val="24"/>
              </w:rPr>
              <w:t xml:space="preserve"> if the report states that consecutive eligible patients were invited to participate in the study, or were randomly selected.</w:t>
            </w:r>
          </w:p>
        </w:tc>
      </w:tr>
      <w:tr w:rsidR="00AC3AC4" w:rsidRPr="00117A29" w14:paraId="25B699AE" w14:textId="77777777" w:rsidTr="00A42942">
        <w:trPr>
          <w:trHeight w:val="145"/>
        </w:trPr>
        <w:tc>
          <w:tcPr>
            <w:cnfStyle w:val="001000000000" w:firstRow="0" w:lastRow="0" w:firstColumn="1" w:lastColumn="0" w:oddVBand="0" w:evenVBand="0" w:oddHBand="0" w:evenHBand="0" w:firstRowFirstColumn="0" w:firstRowLastColumn="0" w:lastRowFirstColumn="0" w:lastRowLastColumn="0"/>
            <w:tcW w:w="2836" w:type="dxa"/>
          </w:tcPr>
          <w:p w14:paraId="11614E7F"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 xml:space="preserve">Assessment methods defined </w:t>
            </w:r>
          </w:p>
        </w:tc>
        <w:tc>
          <w:tcPr>
            <w:tcW w:w="6237" w:type="dxa"/>
          </w:tcPr>
          <w:p w14:paraId="5D0D1CB3"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Assessment using RTUS and the reference standard was defined in a way that enabled replication.</w:t>
            </w:r>
          </w:p>
        </w:tc>
        <w:tc>
          <w:tcPr>
            <w:tcW w:w="6662" w:type="dxa"/>
          </w:tcPr>
          <w:p w14:paraId="5B12F291"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00F081F7"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roofErr w:type="gramStart"/>
            <w:r w:rsidRPr="00117A29">
              <w:rPr>
                <w:rFonts w:ascii="Arial" w:hAnsi="Arial" w:cs="Arial"/>
                <w:bCs/>
                <w:sz w:val="24"/>
              </w:rPr>
              <w:t>Yes</w:t>
            </w:r>
            <w:proofErr w:type="gramEnd"/>
            <w:r w:rsidRPr="00117A29">
              <w:rPr>
                <w:rFonts w:ascii="Arial" w:hAnsi="Arial" w:cs="Arial"/>
                <w:bCs/>
                <w:sz w:val="24"/>
              </w:rPr>
              <w:t xml:space="preserve"> if a defined method for measurement and patient positioning was reported and could be replicated from the description.</w:t>
            </w:r>
          </w:p>
        </w:tc>
      </w:tr>
      <w:tr w:rsidR="00AC3AC4" w:rsidRPr="00117A29" w14:paraId="35880C6C" w14:textId="77777777" w:rsidTr="00A4294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69325D7C"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lastRenderedPageBreak/>
              <w:t>Adequate detail reported</w:t>
            </w:r>
          </w:p>
        </w:tc>
        <w:tc>
          <w:tcPr>
            <w:tcW w:w="6237" w:type="dxa"/>
          </w:tcPr>
          <w:p w14:paraId="4C394902"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Data was reported that allows the relationship between measures of RTUS and the reference standard to be statistically defined.</w:t>
            </w:r>
          </w:p>
        </w:tc>
        <w:tc>
          <w:tcPr>
            <w:tcW w:w="6662" w:type="dxa"/>
          </w:tcPr>
          <w:p w14:paraId="4CB2A38C"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7C39192F"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Acceptable data would be the correlation between RTUS and the reference standard or data that enables its calculation.</w:t>
            </w:r>
          </w:p>
        </w:tc>
      </w:tr>
      <w:tr w:rsidR="00AC3AC4" w:rsidRPr="00117A29" w14:paraId="76BE6743" w14:textId="77777777" w:rsidTr="00A42942">
        <w:trPr>
          <w:trHeight w:val="145"/>
        </w:trPr>
        <w:tc>
          <w:tcPr>
            <w:cnfStyle w:val="001000000000" w:firstRow="0" w:lastRow="0" w:firstColumn="1" w:lastColumn="0" w:oddVBand="0" w:evenVBand="0" w:oddHBand="0" w:evenHBand="0" w:firstRowFirstColumn="0" w:firstRowLastColumn="0" w:lastRowFirstColumn="0" w:lastRowLastColumn="0"/>
            <w:tcW w:w="2836" w:type="dxa"/>
          </w:tcPr>
          <w:p w14:paraId="3F5157E3"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Timeframe</w:t>
            </w:r>
          </w:p>
        </w:tc>
        <w:tc>
          <w:tcPr>
            <w:tcW w:w="6237" w:type="dxa"/>
          </w:tcPr>
          <w:p w14:paraId="2EA57256"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Measurements were taken for both RTUS and the comparison standard over a period where it was unlikely that real change would have occurred in the muscle size.</w:t>
            </w:r>
          </w:p>
        </w:tc>
        <w:tc>
          <w:tcPr>
            <w:tcW w:w="6662" w:type="dxa"/>
          </w:tcPr>
          <w:p w14:paraId="1C20230A"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17ECE94A"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roofErr w:type="gramStart"/>
            <w:r w:rsidRPr="00117A29">
              <w:rPr>
                <w:rFonts w:ascii="Arial" w:hAnsi="Arial" w:cs="Arial"/>
                <w:bCs/>
                <w:sz w:val="24"/>
              </w:rPr>
              <w:t>Yes</w:t>
            </w:r>
            <w:proofErr w:type="gramEnd"/>
            <w:r w:rsidRPr="00117A29">
              <w:rPr>
                <w:rFonts w:ascii="Arial" w:hAnsi="Arial" w:cs="Arial"/>
                <w:bCs/>
                <w:sz w:val="24"/>
              </w:rPr>
              <w:t xml:space="preserve"> if the report specifically states that the RTUS and the comparison measurements were taken over a short timeframe, or if not, the description of the methodology implied a short timeframe.</w:t>
            </w:r>
          </w:p>
        </w:tc>
      </w:tr>
      <w:tr w:rsidR="00AC3AC4" w:rsidRPr="00117A29" w14:paraId="2F2611D5" w14:textId="77777777" w:rsidTr="00A4294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018C7C11"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Muscle state</w:t>
            </w:r>
          </w:p>
        </w:tc>
        <w:tc>
          <w:tcPr>
            <w:tcW w:w="6237" w:type="dxa"/>
          </w:tcPr>
          <w:p w14:paraId="05803C12"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During RTUS scanning patients were clearly instructed on the required muscle activation (contracting versus relaxing the muscle).</w:t>
            </w:r>
          </w:p>
        </w:tc>
        <w:tc>
          <w:tcPr>
            <w:tcW w:w="6662" w:type="dxa"/>
          </w:tcPr>
          <w:p w14:paraId="238D323E"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7ACD403B"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roofErr w:type="gramStart"/>
            <w:r w:rsidRPr="00117A29">
              <w:rPr>
                <w:rFonts w:ascii="Arial" w:hAnsi="Arial" w:cs="Arial"/>
                <w:bCs/>
                <w:sz w:val="24"/>
              </w:rPr>
              <w:t>Yes</w:t>
            </w:r>
            <w:proofErr w:type="gramEnd"/>
            <w:r w:rsidRPr="00117A29">
              <w:rPr>
                <w:rFonts w:ascii="Arial" w:hAnsi="Arial" w:cs="Arial"/>
                <w:bCs/>
                <w:sz w:val="24"/>
              </w:rPr>
              <w:t xml:space="preserve"> if the patients were specifically instructed to either relax or contract the muscle of interest during the RTUS scan.</w:t>
            </w:r>
          </w:p>
        </w:tc>
      </w:tr>
      <w:tr w:rsidR="00AC3AC4" w:rsidRPr="00117A29" w14:paraId="0920B559" w14:textId="77777777" w:rsidTr="00A42942">
        <w:trPr>
          <w:trHeight w:val="145"/>
        </w:trPr>
        <w:tc>
          <w:tcPr>
            <w:cnfStyle w:val="001000000000" w:firstRow="0" w:lastRow="0" w:firstColumn="1" w:lastColumn="0" w:oddVBand="0" w:evenVBand="0" w:oddHBand="0" w:evenHBand="0" w:firstRowFirstColumn="0" w:firstRowLastColumn="0" w:lastRowFirstColumn="0" w:lastRowLastColumn="0"/>
            <w:tcW w:w="2836" w:type="dxa"/>
          </w:tcPr>
          <w:p w14:paraId="6286D3F2"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RTUS scanning point</w:t>
            </w:r>
          </w:p>
        </w:tc>
        <w:tc>
          <w:tcPr>
            <w:tcW w:w="6237" w:type="dxa"/>
          </w:tcPr>
          <w:p w14:paraId="697DD443"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The RTUS scanning point is described in a way that enables relocation of that point during a follow-up scan, or that enables replication by an independent researcher.</w:t>
            </w:r>
          </w:p>
        </w:tc>
        <w:tc>
          <w:tcPr>
            <w:tcW w:w="6662" w:type="dxa"/>
          </w:tcPr>
          <w:p w14:paraId="1B44F704"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p w14:paraId="3FC524C7"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AC3AC4" w:rsidRPr="00117A29" w14:paraId="4C25B352" w14:textId="77777777" w:rsidTr="00A4294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36" w:type="dxa"/>
          </w:tcPr>
          <w:p w14:paraId="46D9BCA5"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t>RTUS contact pressure</w:t>
            </w:r>
          </w:p>
        </w:tc>
        <w:tc>
          <w:tcPr>
            <w:tcW w:w="6237" w:type="dxa"/>
          </w:tcPr>
          <w:p w14:paraId="2A26F151"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The contact pressure of the transducer on the skin surface has been considered and a procedure was reported to minimize the pressure.</w:t>
            </w:r>
          </w:p>
        </w:tc>
        <w:tc>
          <w:tcPr>
            <w:tcW w:w="6662" w:type="dxa"/>
          </w:tcPr>
          <w:p w14:paraId="33046F11" w14:textId="77777777" w:rsidR="00AC3AC4" w:rsidRPr="00117A29" w:rsidRDefault="00AC3AC4" w:rsidP="00A42942">
            <w:pPr>
              <w:spacing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tc>
      </w:tr>
      <w:tr w:rsidR="00AC3AC4" w:rsidRPr="00117A29" w14:paraId="035106EC" w14:textId="77777777" w:rsidTr="00A42942">
        <w:trPr>
          <w:trHeight w:val="314"/>
        </w:trPr>
        <w:tc>
          <w:tcPr>
            <w:cnfStyle w:val="001000000000" w:firstRow="0" w:lastRow="0" w:firstColumn="1" w:lastColumn="0" w:oddVBand="0" w:evenVBand="0" w:oddHBand="0" w:evenHBand="0" w:firstRowFirstColumn="0" w:firstRowLastColumn="0" w:lastRowFirstColumn="0" w:lastRowLastColumn="0"/>
            <w:tcW w:w="2836" w:type="dxa"/>
          </w:tcPr>
          <w:p w14:paraId="5D5D29F4" w14:textId="77777777" w:rsidR="00AC3AC4" w:rsidRPr="00117A29" w:rsidRDefault="00AC3AC4" w:rsidP="00A42942">
            <w:pPr>
              <w:spacing w:line="360" w:lineRule="auto"/>
              <w:jc w:val="left"/>
              <w:rPr>
                <w:rFonts w:ascii="Arial" w:hAnsi="Arial" w:cs="Arial"/>
                <w:bCs w:val="0"/>
                <w:sz w:val="24"/>
              </w:rPr>
            </w:pPr>
            <w:r w:rsidRPr="00117A29">
              <w:rPr>
                <w:rFonts w:ascii="Arial" w:hAnsi="Arial" w:cs="Arial"/>
                <w:sz w:val="24"/>
              </w:rPr>
              <w:lastRenderedPageBreak/>
              <w:t>Transducer positioning</w:t>
            </w:r>
          </w:p>
        </w:tc>
        <w:tc>
          <w:tcPr>
            <w:tcW w:w="6237" w:type="dxa"/>
          </w:tcPr>
          <w:p w14:paraId="5A1F5553"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The US transducer was placed at perpendicular angles (90 degrees) to the muscle surface being studied during the assessment.</w:t>
            </w:r>
          </w:p>
        </w:tc>
        <w:tc>
          <w:tcPr>
            <w:tcW w:w="6662" w:type="dxa"/>
          </w:tcPr>
          <w:p w14:paraId="7F192944" w14:textId="77777777" w:rsidR="00AC3AC4" w:rsidRPr="00117A29" w:rsidRDefault="00AC3AC4" w:rsidP="00A42942">
            <w:pPr>
              <w:spacing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117A29">
              <w:rPr>
                <w:rFonts w:ascii="Arial" w:hAnsi="Arial" w:cs="Arial"/>
                <w:bCs/>
                <w:sz w:val="24"/>
              </w:rPr>
              <w:t xml:space="preserve">Yes, No or Not available. </w:t>
            </w:r>
          </w:p>
        </w:tc>
      </w:tr>
    </w:tbl>
    <w:p w14:paraId="568350E4" w14:textId="77777777" w:rsidR="00AC3AC4" w:rsidRDefault="00AC3AC4" w:rsidP="00AC3AC4">
      <w:pPr>
        <w:spacing w:line="360" w:lineRule="auto"/>
        <w:jc w:val="left"/>
        <w:rPr>
          <w:rFonts w:ascii="Arial" w:hAnsi="Arial" w:cs="Arial"/>
          <w:bCs/>
          <w:sz w:val="24"/>
        </w:rPr>
      </w:pPr>
      <w:r w:rsidRPr="00117A29">
        <w:rPr>
          <w:rFonts w:ascii="Arial" w:hAnsi="Arial" w:cs="Arial"/>
          <w:bCs/>
          <w:sz w:val="24"/>
        </w:rPr>
        <w:t xml:space="preserve">Scoring: Yes=1, No=0, or </w:t>
      </w:r>
      <w:r>
        <w:rPr>
          <w:rFonts w:ascii="Arial" w:hAnsi="Arial" w:cs="Arial"/>
          <w:bCs/>
          <w:sz w:val="24"/>
        </w:rPr>
        <w:t>Not available</w:t>
      </w:r>
      <w:r w:rsidRPr="00117A29">
        <w:rPr>
          <w:rFonts w:ascii="Arial" w:hAnsi="Arial" w:cs="Arial"/>
          <w:bCs/>
          <w:sz w:val="24"/>
        </w:rPr>
        <w:t xml:space="preserve">=0. </w:t>
      </w:r>
    </w:p>
    <w:p w14:paraId="06C32DC6" w14:textId="77777777" w:rsidR="00AC3AC4" w:rsidRDefault="00AC3AC4" w:rsidP="00AC3AC4">
      <w:pPr>
        <w:spacing w:line="360" w:lineRule="auto"/>
        <w:jc w:val="left"/>
        <w:rPr>
          <w:rFonts w:ascii="Arial" w:hAnsi="Arial" w:cs="Arial"/>
          <w:bCs/>
          <w:sz w:val="24"/>
        </w:rPr>
      </w:pPr>
    </w:p>
    <w:p w14:paraId="08BFC17A" w14:textId="77777777" w:rsidR="00AC3AC4" w:rsidRDefault="00AC3AC4" w:rsidP="00AC3AC4">
      <w:pPr>
        <w:spacing w:line="360" w:lineRule="auto"/>
        <w:jc w:val="left"/>
        <w:rPr>
          <w:rFonts w:ascii="Arial" w:hAnsi="Arial" w:cs="Arial"/>
          <w:bCs/>
          <w:sz w:val="24"/>
        </w:rPr>
      </w:pPr>
    </w:p>
    <w:p w14:paraId="3F6E0FCE" w14:textId="77777777" w:rsidR="00AC3AC4" w:rsidRDefault="00AC3AC4" w:rsidP="00AC3AC4">
      <w:pPr>
        <w:spacing w:line="360" w:lineRule="auto"/>
        <w:jc w:val="left"/>
        <w:rPr>
          <w:rFonts w:ascii="Arial" w:hAnsi="Arial" w:cs="Arial"/>
          <w:bCs/>
          <w:sz w:val="24"/>
        </w:rPr>
      </w:pPr>
    </w:p>
    <w:p w14:paraId="7C612B4C" w14:textId="77777777" w:rsidR="00AC3AC4" w:rsidRDefault="00AC3AC4" w:rsidP="00AC3AC4">
      <w:pPr>
        <w:spacing w:line="360" w:lineRule="auto"/>
        <w:jc w:val="left"/>
        <w:rPr>
          <w:rFonts w:ascii="Arial" w:hAnsi="Arial" w:cs="Arial"/>
          <w:bCs/>
          <w:sz w:val="24"/>
        </w:rPr>
      </w:pPr>
    </w:p>
    <w:p w14:paraId="36C6FE2B" w14:textId="77777777" w:rsidR="00AC3AC4" w:rsidRDefault="00AC3AC4" w:rsidP="00AC3AC4">
      <w:pPr>
        <w:spacing w:line="360" w:lineRule="auto"/>
        <w:jc w:val="left"/>
        <w:rPr>
          <w:rFonts w:ascii="Arial" w:hAnsi="Arial" w:cs="Arial"/>
          <w:bCs/>
          <w:sz w:val="24"/>
        </w:rPr>
      </w:pPr>
    </w:p>
    <w:p w14:paraId="0B117F55" w14:textId="77777777" w:rsidR="00AC3AC4" w:rsidRDefault="00AC3AC4" w:rsidP="00AC3AC4">
      <w:pPr>
        <w:spacing w:line="360" w:lineRule="auto"/>
        <w:jc w:val="left"/>
        <w:rPr>
          <w:rFonts w:ascii="Arial" w:hAnsi="Arial" w:cs="Arial"/>
          <w:bCs/>
          <w:sz w:val="24"/>
        </w:rPr>
      </w:pPr>
    </w:p>
    <w:p w14:paraId="394E8CD6" w14:textId="77777777" w:rsidR="00AC3AC4" w:rsidRDefault="00AC3AC4" w:rsidP="00AC3AC4">
      <w:pPr>
        <w:spacing w:line="360" w:lineRule="auto"/>
        <w:jc w:val="left"/>
        <w:rPr>
          <w:rFonts w:ascii="Arial" w:hAnsi="Arial" w:cs="Arial"/>
          <w:bCs/>
          <w:sz w:val="24"/>
        </w:rPr>
      </w:pPr>
    </w:p>
    <w:p w14:paraId="157DC6FC" w14:textId="77777777" w:rsidR="00AC3AC4" w:rsidRDefault="00AC3AC4" w:rsidP="00AC3AC4">
      <w:pPr>
        <w:spacing w:line="360" w:lineRule="auto"/>
        <w:jc w:val="left"/>
        <w:rPr>
          <w:rFonts w:ascii="Arial" w:hAnsi="Arial" w:cs="Arial"/>
          <w:bCs/>
          <w:sz w:val="24"/>
        </w:rPr>
      </w:pPr>
    </w:p>
    <w:p w14:paraId="154771D7" w14:textId="77777777" w:rsidR="00AC3AC4" w:rsidRDefault="00AC3AC4" w:rsidP="00AC3AC4">
      <w:pPr>
        <w:spacing w:line="360" w:lineRule="auto"/>
        <w:jc w:val="left"/>
        <w:rPr>
          <w:rFonts w:ascii="Arial" w:hAnsi="Arial" w:cs="Arial"/>
          <w:bCs/>
          <w:sz w:val="24"/>
        </w:rPr>
      </w:pPr>
    </w:p>
    <w:p w14:paraId="70E6F2BC" w14:textId="77777777" w:rsidR="00AC3AC4" w:rsidRDefault="00AC3AC4" w:rsidP="00AC3AC4">
      <w:pPr>
        <w:spacing w:line="360" w:lineRule="auto"/>
        <w:jc w:val="left"/>
        <w:rPr>
          <w:rFonts w:ascii="Arial" w:hAnsi="Arial" w:cs="Arial"/>
          <w:bCs/>
          <w:sz w:val="24"/>
        </w:rPr>
      </w:pPr>
    </w:p>
    <w:p w14:paraId="66FB07E3" w14:textId="77777777" w:rsidR="00AC3AC4" w:rsidRDefault="00AC3AC4" w:rsidP="00AC3AC4">
      <w:pPr>
        <w:spacing w:line="360" w:lineRule="auto"/>
        <w:jc w:val="left"/>
        <w:rPr>
          <w:rFonts w:ascii="Arial" w:hAnsi="Arial" w:cs="Arial"/>
          <w:bCs/>
          <w:sz w:val="24"/>
        </w:rPr>
      </w:pPr>
    </w:p>
    <w:p w14:paraId="476A7764" w14:textId="303FDB49" w:rsidR="00AC3AC4" w:rsidRDefault="00AC3AC4" w:rsidP="00AC3AC4">
      <w:pPr>
        <w:spacing w:line="360" w:lineRule="auto"/>
        <w:jc w:val="left"/>
        <w:rPr>
          <w:rFonts w:ascii="Arial" w:hAnsi="Arial" w:cs="Arial"/>
          <w:bCs/>
          <w:sz w:val="24"/>
        </w:rPr>
      </w:pPr>
    </w:p>
    <w:p w14:paraId="1CCC43C8" w14:textId="77777777" w:rsidR="00F24C3A" w:rsidRDefault="00F24C3A" w:rsidP="00AC3AC4">
      <w:pPr>
        <w:spacing w:line="360" w:lineRule="auto"/>
        <w:jc w:val="left"/>
        <w:rPr>
          <w:rFonts w:ascii="Arial" w:hAnsi="Arial" w:cs="Arial"/>
          <w:bCs/>
          <w:sz w:val="24"/>
        </w:rPr>
      </w:pPr>
    </w:p>
    <w:p w14:paraId="2CAEC094" w14:textId="77777777" w:rsidR="004A584D" w:rsidRDefault="004A584D"/>
    <w:sectPr w:rsidR="004A584D" w:rsidSect="00F24C3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82CF" w14:textId="77777777" w:rsidR="00730649" w:rsidRDefault="00730649" w:rsidP="00AC3AC4">
      <w:r>
        <w:separator/>
      </w:r>
    </w:p>
  </w:endnote>
  <w:endnote w:type="continuationSeparator" w:id="0">
    <w:p w14:paraId="3F77898A" w14:textId="77777777" w:rsidR="00730649" w:rsidRDefault="00730649" w:rsidP="00A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9CF6" w14:textId="77777777" w:rsidR="00730649" w:rsidRDefault="00730649" w:rsidP="00AC3AC4">
      <w:r>
        <w:separator/>
      </w:r>
    </w:p>
  </w:footnote>
  <w:footnote w:type="continuationSeparator" w:id="0">
    <w:p w14:paraId="7D968623" w14:textId="77777777" w:rsidR="00730649" w:rsidRDefault="00730649" w:rsidP="00AC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sjQxNjYwNTE1sjRV0lEKTi0uzszPAykwqgUAsPPGMSwAAAA="/>
  </w:docVars>
  <w:rsids>
    <w:rsidRoot w:val="001E01B4"/>
    <w:rsid w:val="001E01B4"/>
    <w:rsid w:val="002C3B0F"/>
    <w:rsid w:val="00320525"/>
    <w:rsid w:val="0035030A"/>
    <w:rsid w:val="004A584D"/>
    <w:rsid w:val="005C6E86"/>
    <w:rsid w:val="006715EC"/>
    <w:rsid w:val="00730649"/>
    <w:rsid w:val="008A2709"/>
    <w:rsid w:val="00AC3AC4"/>
    <w:rsid w:val="00AE2284"/>
    <w:rsid w:val="00CA44C4"/>
    <w:rsid w:val="00E165A6"/>
    <w:rsid w:val="00F24C3A"/>
    <w:rsid w:val="00FD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0B259"/>
  <w15:chartTrackingRefBased/>
  <w15:docId w15:val="{C87DE76D-E573-4021-B5A4-5C2A68CB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AC4"/>
    <w:rPr>
      <w:sz w:val="18"/>
      <w:szCs w:val="18"/>
    </w:rPr>
  </w:style>
  <w:style w:type="paragraph" w:styleId="a5">
    <w:name w:val="footer"/>
    <w:basedOn w:val="a"/>
    <w:link w:val="a6"/>
    <w:uiPriority w:val="99"/>
    <w:unhideWhenUsed/>
    <w:rsid w:val="00AC3AC4"/>
    <w:pPr>
      <w:tabs>
        <w:tab w:val="center" w:pos="4153"/>
        <w:tab w:val="right" w:pos="8306"/>
      </w:tabs>
      <w:snapToGrid w:val="0"/>
      <w:jc w:val="left"/>
    </w:pPr>
    <w:rPr>
      <w:sz w:val="18"/>
      <w:szCs w:val="18"/>
    </w:rPr>
  </w:style>
  <w:style w:type="character" w:customStyle="1" w:styleId="a6">
    <w:name w:val="页脚 字符"/>
    <w:basedOn w:val="a0"/>
    <w:link w:val="a5"/>
    <w:uiPriority w:val="99"/>
    <w:rsid w:val="00AC3AC4"/>
    <w:rPr>
      <w:sz w:val="18"/>
      <w:szCs w:val="18"/>
    </w:rPr>
  </w:style>
  <w:style w:type="table" w:styleId="a7">
    <w:name w:val="Table Grid"/>
    <w:basedOn w:val="1"/>
    <w:uiPriority w:val="39"/>
    <w:rsid w:val="00AC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AC3A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赵瑞娜</dc:creator>
  <cp:keywords/>
  <dc:description/>
  <cp:lastModifiedBy>LI XUELAN</cp:lastModifiedBy>
  <cp:revision>8</cp:revision>
  <dcterms:created xsi:type="dcterms:W3CDTF">2021-08-05T13:56:00Z</dcterms:created>
  <dcterms:modified xsi:type="dcterms:W3CDTF">2022-03-20T06:19:00Z</dcterms:modified>
</cp:coreProperties>
</file>