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81" w:rsidRPr="00AA2881" w:rsidRDefault="0037533D" w:rsidP="00AA2881">
      <w:pPr>
        <w:keepNext/>
        <w:spacing w:after="20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0423F">
        <w:rPr>
          <w:rFonts w:ascii="Arial" w:hAnsi="Arial" w:cs="Arial"/>
          <w:b/>
          <w:iCs/>
          <w:sz w:val="20"/>
          <w:szCs w:val="20"/>
          <w:lang w:val="en-GB"/>
        </w:rPr>
        <w:t>Supplement Table</w:t>
      </w:r>
      <w:r w:rsidR="00E45E3D" w:rsidRPr="0030423F">
        <w:rPr>
          <w:rFonts w:ascii="Arial" w:hAnsi="Arial" w:cs="Arial"/>
          <w:b/>
          <w:iCs/>
          <w:sz w:val="20"/>
          <w:szCs w:val="20"/>
          <w:lang w:val="en-GB"/>
        </w:rPr>
        <w:t xml:space="preserve"> 2</w:t>
      </w:r>
      <w:r w:rsidR="0030423F">
        <w:rPr>
          <w:rFonts w:ascii="Arial" w:hAnsi="Arial" w:cs="Arial"/>
          <w:b/>
          <w:iCs/>
          <w:sz w:val="20"/>
          <w:szCs w:val="20"/>
          <w:lang w:val="en-GB"/>
        </w:rPr>
        <w:t>:</w:t>
      </w:r>
      <w:r w:rsidR="00AA2881" w:rsidRPr="00AA2881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A2881" w:rsidRPr="00AA2881">
        <w:rPr>
          <w:rFonts w:ascii="Arial" w:hAnsi="Arial" w:cs="Arial"/>
          <w:iCs/>
          <w:sz w:val="20"/>
          <w:szCs w:val="20"/>
          <w:lang w:val="en-GB"/>
        </w:rPr>
        <w:t>Risk of bias assessment for included studies applying the Newcastle-Ottawa Scale</w:t>
      </w:r>
      <w:r w:rsidR="00CD453E">
        <w:rPr>
          <w:rFonts w:ascii="Arial" w:hAnsi="Arial" w:cs="Arial"/>
          <w:iCs/>
          <w:sz w:val="20"/>
          <w:szCs w:val="20"/>
          <w:lang w:val="en-GB"/>
        </w:rPr>
        <w:t>.</w:t>
      </w:r>
    </w:p>
    <w:tbl>
      <w:tblPr>
        <w:tblStyle w:val="Tabellenraster"/>
        <w:tblW w:w="5000" w:type="pct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2068"/>
        <w:gridCol w:w="1312"/>
        <w:gridCol w:w="1579"/>
        <w:gridCol w:w="1134"/>
        <w:gridCol w:w="1634"/>
        <w:gridCol w:w="1579"/>
        <w:gridCol w:w="1557"/>
        <w:gridCol w:w="1190"/>
        <w:gridCol w:w="820"/>
      </w:tblGrid>
      <w:tr w:rsidR="00AA2881" w:rsidRPr="00A40E1D" w:rsidTr="00AA2881">
        <w:trPr>
          <w:tblCellSpacing w:w="42" w:type="dxa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21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A2881" w:rsidRPr="00B60569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Cohort studies</w:t>
            </w:r>
          </w:p>
        </w:tc>
        <w:tc>
          <w:tcPr>
            <w:tcW w:w="680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Representativeness of the exposed cohort</w:t>
            </w:r>
          </w:p>
        </w:tc>
        <w:tc>
          <w:tcPr>
            <w:tcW w:w="590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Selection of the non-exposed cohort</w:t>
            </w:r>
          </w:p>
        </w:tc>
        <w:tc>
          <w:tcPr>
            <w:tcW w:w="53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38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Outcome of interest was not present at start of the study</w:t>
            </w:r>
          </w:p>
        </w:tc>
        <w:tc>
          <w:tcPr>
            <w:tcW w:w="526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Comparability of cohorts on the basis of the design or analysis</w:t>
            </w:r>
          </w:p>
        </w:tc>
        <w:tc>
          <w:tcPr>
            <w:tcW w:w="53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Assessment of outcome</w:t>
            </w:r>
          </w:p>
        </w:tc>
        <w:tc>
          <w:tcPr>
            <w:tcW w:w="526" w:type="pct"/>
            <w:shd w:val="clear" w:color="auto" w:fill="auto"/>
          </w:tcPr>
          <w:p w:rsidR="00AA2881" w:rsidRPr="00A40E1D" w:rsidRDefault="00A40E1D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Follow-u</w:t>
            </w:r>
            <w:r w:rsidR="00AA2881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p was long enough for the outcomes to occur</w:t>
            </w:r>
          </w:p>
        </w:tc>
        <w:tc>
          <w:tcPr>
            <w:tcW w:w="382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Adequacy of follow</w:t>
            </w:r>
            <w:r w:rsid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-</w:t>
            </w: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up of cohorts</w:t>
            </w:r>
          </w:p>
        </w:tc>
        <w:tc>
          <w:tcPr>
            <w:tcW w:w="239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Baldin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5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7/9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Goldacre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28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8/9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b/>
                <w:sz w:val="20"/>
                <w:szCs w:val="20"/>
                <w:lang w:val="en-GB"/>
              </w:rPr>
              <w:t>Case-control studies</w:t>
            </w:r>
          </w:p>
        </w:tc>
        <w:tc>
          <w:tcPr>
            <w:tcW w:w="680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Adequate case definition</w:t>
            </w:r>
          </w:p>
        </w:tc>
        <w:tc>
          <w:tcPr>
            <w:tcW w:w="590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Represen-tativeness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the cases</w:t>
            </w:r>
          </w:p>
        </w:tc>
        <w:tc>
          <w:tcPr>
            <w:tcW w:w="53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Selection of controls</w:t>
            </w:r>
          </w:p>
        </w:tc>
        <w:tc>
          <w:tcPr>
            <w:tcW w:w="38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Definition of controls</w:t>
            </w:r>
          </w:p>
        </w:tc>
        <w:tc>
          <w:tcPr>
            <w:tcW w:w="526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Comparability of cohorts on the basis of the design or analysis</w:t>
            </w:r>
          </w:p>
        </w:tc>
        <w:tc>
          <w:tcPr>
            <w:tcW w:w="531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526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Same method of ascertainment for cases and controls</w:t>
            </w:r>
          </w:p>
        </w:tc>
        <w:tc>
          <w:tcPr>
            <w:tcW w:w="382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Non-response rate</w:t>
            </w:r>
          </w:p>
        </w:tc>
        <w:tc>
          <w:tcPr>
            <w:tcW w:w="239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Abbasi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2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Al </w:t>
            </w: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Wutayd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23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5/9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Alkhawajah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Brenton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1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Conradi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6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7/9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Da Silva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7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7/9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CA7DE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Graves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0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DE4D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Hedström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[19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 </w:t>
            </w: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(Sweden)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Hedström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 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>[19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 </w:t>
            </w: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(USA)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Hughes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[2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9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Pisacane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30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B60569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B60569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bookmarkStart w:id="0" w:name="_GoBack"/>
            <w:bookmarkEnd w:id="0"/>
            <w:r w:rsidR="00AA2881" w:rsidRPr="00A40E1D">
              <w:rPr>
                <w:rFonts w:ascii="Arial" w:hAnsi="Arial" w:cs="Arial"/>
                <w:sz w:val="20"/>
                <w:szCs w:val="20"/>
                <w:lang w:val="en-GB"/>
              </w:rPr>
              <w:t>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CA7DE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Ragnedda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 </w:t>
            </w:r>
            <w:r w:rsidR="00DE4D88">
              <w:rPr>
                <w:rFonts w:ascii="Arial" w:hAnsi="Arial" w:cs="Arial"/>
                <w:i/>
                <w:sz w:val="20"/>
                <w:szCs w:val="20"/>
                <w:lang w:val="en-GB"/>
              </w:rPr>
              <w:t>[1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>8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 </w:t>
            </w: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(Italy)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Ragnedda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 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>[18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] </w:t>
            </w:r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(Norway</w:t>
            </w:r>
            <w:r w:rsidRPr="00A40E1D">
              <w:rPr>
                <w:rFonts w:ascii="Arial" w:hAnsi="Arial" w:cs="Arial"/>
                <w:i/>
                <w:szCs w:val="20"/>
                <w:lang w:val="en-GB"/>
              </w:rPr>
              <w:t>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6/9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Spencely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&amp; Dick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[3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1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4/9</w:t>
            </w:r>
          </w:p>
        </w:tc>
      </w:tr>
      <w:tr w:rsidR="00AA2881" w:rsidRPr="00A40E1D" w:rsidTr="00AA2881">
        <w:trPr>
          <w:tblCellSpacing w:w="42" w:type="dxa"/>
        </w:trPr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:rsidR="00AA2881" w:rsidRPr="00A40E1D" w:rsidRDefault="00AA2881" w:rsidP="00AA288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Tarrats</w:t>
            </w:r>
            <w:proofErr w:type="spellEnd"/>
            <w:r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 al.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</w:t>
            </w:r>
            <w:r w:rsidR="000A1DC1">
              <w:rPr>
                <w:rFonts w:ascii="Arial" w:hAnsi="Arial" w:cs="Arial"/>
                <w:i/>
                <w:sz w:val="20"/>
                <w:szCs w:val="20"/>
                <w:lang w:val="en-GB"/>
              </w:rPr>
              <w:t>3</w:t>
            </w:r>
            <w:r w:rsidR="00CA7DE1">
              <w:rPr>
                <w:rFonts w:ascii="Arial" w:hAnsi="Arial" w:cs="Arial"/>
                <w:i/>
                <w:sz w:val="20"/>
                <w:szCs w:val="20"/>
                <w:lang w:val="en-GB"/>
              </w:rPr>
              <w:t>2</w:t>
            </w:r>
            <w:r w:rsidR="00E85268" w:rsidRPr="00A40E1D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881" w:rsidRPr="00A40E1D" w:rsidRDefault="00AA2881" w:rsidP="00AA28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0E1D">
              <w:rPr>
                <w:rFonts w:ascii="Arial" w:hAnsi="Arial" w:cs="Arial"/>
                <w:sz w:val="20"/>
                <w:szCs w:val="20"/>
                <w:lang w:val="en-GB"/>
              </w:rPr>
              <w:t>4/9</w:t>
            </w:r>
          </w:p>
        </w:tc>
      </w:tr>
    </w:tbl>
    <w:p w:rsidR="00AA2881" w:rsidRPr="00AA2881" w:rsidRDefault="00AA2881" w:rsidP="00AA2881"/>
    <w:sectPr w:rsidR="00AA2881" w:rsidRPr="00AA2881" w:rsidSect="00AA28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1"/>
    <w:rsid w:val="000A1DC1"/>
    <w:rsid w:val="00272CF0"/>
    <w:rsid w:val="0030423F"/>
    <w:rsid w:val="0037533D"/>
    <w:rsid w:val="003B59D7"/>
    <w:rsid w:val="00470C50"/>
    <w:rsid w:val="005472A6"/>
    <w:rsid w:val="006359E9"/>
    <w:rsid w:val="009A1431"/>
    <w:rsid w:val="00A40E1D"/>
    <w:rsid w:val="00AA2881"/>
    <w:rsid w:val="00B60569"/>
    <w:rsid w:val="00C46444"/>
    <w:rsid w:val="00CA7DE1"/>
    <w:rsid w:val="00CD453E"/>
    <w:rsid w:val="00DE4D88"/>
    <w:rsid w:val="00E30704"/>
    <w:rsid w:val="00E45E3D"/>
    <w:rsid w:val="00E550BD"/>
    <w:rsid w:val="00E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B39"/>
  <w15:chartTrackingRefBased/>
  <w15:docId w15:val="{5D24CDBC-A126-4C97-BDF6-F9005F4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2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2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28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28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28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8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8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8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AA2881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AA2881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AA2881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AA2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A2881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A2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2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AA2881"/>
    <w:rPr>
      <w:rFonts w:ascii="Arial" w:eastAsiaTheme="majorEastAsia" w:hAnsi="Arial" w:cs="Arial"/>
      <w:color w:val="2E74B5" w:themeColor="accent1" w:themeShade="BF"/>
      <w:sz w:val="20"/>
      <w:szCs w:val="20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AA2881"/>
    <w:rPr>
      <w:rFonts w:ascii="Arial" w:eastAsiaTheme="majorEastAsia" w:hAnsi="Arial" w:cs="Arial"/>
      <w:color w:val="1F4D78" w:themeColor="accent1" w:themeShade="7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2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AA2881"/>
    <w:rPr>
      <w:rFonts w:ascii="Arial" w:eastAsiaTheme="majorEastAsia" w:hAnsi="Arial" w:cs="Arial"/>
      <w:i/>
      <w:iCs/>
      <w:color w:val="2E74B5" w:themeColor="accent1" w:themeShade="BF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28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AA2881"/>
    <w:rPr>
      <w:rFonts w:ascii="Arial" w:eastAsiaTheme="majorEastAsia" w:hAnsi="Arial" w:cs="Arial"/>
      <w:color w:val="2E74B5" w:themeColor="accent1" w:themeShade="BF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88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AA2881"/>
    <w:rPr>
      <w:rFonts w:ascii="Arial" w:eastAsiaTheme="majorEastAsia" w:hAnsi="Arial" w:cs="Arial"/>
      <w:color w:val="1F4D78" w:themeColor="accent1" w:themeShade="7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288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AA2881"/>
    <w:rPr>
      <w:rFonts w:ascii="Arial" w:eastAsiaTheme="majorEastAsia" w:hAnsi="Arial" w:cs="Arial"/>
      <w:i/>
      <w:iCs/>
      <w:color w:val="1F4D78" w:themeColor="accent1" w:themeShade="7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28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AA2881"/>
    <w:rPr>
      <w:rFonts w:ascii="Arial" w:eastAsiaTheme="majorEastAsia" w:hAnsi="Arial" w:cs="Arial"/>
      <w:color w:val="272727" w:themeColor="text1" w:themeTint="D8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28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AA2881"/>
    <w:pPr>
      <w:outlineLvl w:val="9"/>
    </w:pPr>
    <w:rPr>
      <w:rFonts w:ascii="Arial" w:hAnsi="Arial" w:cs="Arial"/>
      <w:sz w:val="20"/>
      <w:szCs w:val="20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AA2881"/>
    <w:rPr>
      <w:rFonts w:ascii="Arial" w:eastAsiaTheme="majorEastAsia" w:hAnsi="Arial" w:cs="Arial"/>
      <w:i/>
      <w:iCs/>
      <w:color w:val="272727" w:themeColor="text1" w:themeTint="D8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28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A28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Holz</dc:creator>
  <cp:keywords/>
  <dc:description/>
  <cp:lastModifiedBy>Anja Holz</cp:lastModifiedBy>
  <cp:revision>3</cp:revision>
  <cp:lastPrinted>2022-05-31T10:17:00Z</cp:lastPrinted>
  <dcterms:created xsi:type="dcterms:W3CDTF">2022-08-08T09:17:00Z</dcterms:created>
  <dcterms:modified xsi:type="dcterms:W3CDTF">2022-08-08T09:19:00Z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C:\Users\holz\Documents\Citavi 6\Projects\Breastfeeding and risk of Multiple Sclerosis\Breastfeeding and risk of Multiple Sclerosis.ctv6</vt:lpwstr>
  </property>
  <property fmtid="{D5CDD505-2E9C-101B-9397-08002B2CF9AE}" pid="3" name="CitaviDocumentProperty_7">
    <vt:lpwstr>Breastfeeding and risk of Multiple Sclerosis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6.11.0.0</vt:lpwstr>
  </property>
  <property fmtid="{D5CDD505-2E9C-101B-9397-08002B2CF9AE}" pid="6" name="CitaviDocumentProperty_6">
    <vt:lpwstr>True</vt:lpwstr>
  </property>
</Properties>
</file>