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4D407" w14:textId="3B03D9AC" w:rsidR="00D86769" w:rsidRDefault="00BB4DB3" w:rsidP="00D86769">
      <w:pPr>
        <w:jc w:val="center"/>
        <w:rPr>
          <w:rFonts w:ascii="Times New Roman" w:eastAsia="Times New Roman" w:hAnsi="Times New Roman" w:cs="Times New Roman"/>
          <w:sz w:val="22"/>
          <w:szCs w:val="22"/>
          <w:shd w:val="clear" w:color="auto" w:fill="FFFFFF"/>
        </w:rPr>
      </w:pPr>
      <w:r>
        <w:rPr>
          <w:rFonts w:ascii="Times New Roman" w:hAnsi="Times New Roman" w:cs="Times New Roman"/>
          <w:b/>
          <w:bCs/>
          <w:sz w:val="22"/>
          <w:szCs w:val="22"/>
        </w:rPr>
        <w:t>Supplementary Materials</w:t>
      </w:r>
      <w:r w:rsidR="00D86769" w:rsidRPr="00D86769">
        <w:rPr>
          <w:rFonts w:ascii="Times New Roman" w:hAnsi="Times New Roman" w:cs="Times New Roman"/>
          <w:b/>
          <w:bCs/>
          <w:sz w:val="22"/>
          <w:szCs w:val="22"/>
        </w:rPr>
        <w:t xml:space="preserve">: </w:t>
      </w:r>
      <w:r w:rsidR="00D86769" w:rsidRPr="00D86769">
        <w:rPr>
          <w:rFonts w:ascii="Times New Roman" w:hAnsi="Times New Roman" w:cs="Times New Roman"/>
          <w:bCs/>
          <w:sz w:val="22"/>
          <w:szCs w:val="22"/>
        </w:rPr>
        <w:t>Demographic Gaps and Requirements for Participation</w:t>
      </w:r>
      <w:r w:rsidR="00D86769" w:rsidRPr="00D86769">
        <w:rPr>
          <w:rFonts w:ascii="Times New Roman" w:eastAsia="Times New Roman" w:hAnsi="Times New Roman" w:cs="Times New Roman"/>
          <w:sz w:val="22"/>
          <w:szCs w:val="22"/>
          <w:shd w:val="clear" w:color="auto" w:fill="FFFFFF"/>
        </w:rPr>
        <w:t>: A Systematic Review of Clinical Trial Designs in Hidradenitis Suppurativa</w:t>
      </w:r>
    </w:p>
    <w:p w14:paraId="672D9EBA" w14:textId="77777777" w:rsidR="00D3454F" w:rsidRDefault="00D3454F" w:rsidP="00D86769">
      <w:pPr>
        <w:jc w:val="center"/>
        <w:rPr>
          <w:rFonts w:ascii="Times New Roman" w:eastAsia="Times New Roman" w:hAnsi="Times New Roman" w:cs="Times New Roman"/>
          <w:sz w:val="22"/>
          <w:szCs w:val="22"/>
          <w:shd w:val="clear" w:color="auto" w:fill="FFFFFF"/>
        </w:rPr>
      </w:pPr>
    </w:p>
    <w:p w14:paraId="1A4BAA0E" w14:textId="59BDCCC9" w:rsidR="000C4467" w:rsidRPr="00A3251B" w:rsidRDefault="000C4467" w:rsidP="000C4467">
      <w:pPr>
        <w:jc w:val="center"/>
        <w:rPr>
          <w:rFonts w:ascii="Times New Roman" w:hAnsi="Times New Roman" w:cs="Times New Roman"/>
          <w:sz w:val="22"/>
          <w:szCs w:val="22"/>
          <w:vertAlign w:val="superscript"/>
        </w:rPr>
      </w:pPr>
      <w:r w:rsidRPr="00A3251B">
        <w:rPr>
          <w:rFonts w:ascii="Times New Roman" w:hAnsi="Times New Roman" w:cs="Times New Roman"/>
          <w:sz w:val="22"/>
          <w:szCs w:val="22"/>
        </w:rPr>
        <w:t>JaBreia</w:t>
      </w:r>
      <w:r>
        <w:rPr>
          <w:rFonts w:ascii="Times New Roman" w:hAnsi="Times New Roman" w:cs="Times New Roman"/>
          <w:sz w:val="22"/>
          <w:szCs w:val="22"/>
        </w:rPr>
        <w:t xml:space="preserve"> </w:t>
      </w:r>
      <w:proofErr w:type="spellStart"/>
      <w:r>
        <w:rPr>
          <w:rFonts w:ascii="Times New Roman" w:hAnsi="Times New Roman" w:cs="Times New Roman"/>
          <w:sz w:val="22"/>
          <w:szCs w:val="22"/>
        </w:rPr>
        <w:t>Fanita</w:t>
      </w:r>
      <w:proofErr w:type="spellEnd"/>
      <w:r w:rsidRPr="00A3251B">
        <w:rPr>
          <w:rFonts w:ascii="Times New Roman" w:hAnsi="Times New Roman" w:cs="Times New Roman"/>
          <w:sz w:val="22"/>
          <w:szCs w:val="22"/>
        </w:rPr>
        <w:t xml:space="preserve"> James, BS; Victoria M. </w:t>
      </w:r>
      <w:proofErr w:type="spellStart"/>
      <w:r w:rsidRPr="00A3251B">
        <w:rPr>
          <w:rFonts w:ascii="Times New Roman" w:hAnsi="Times New Roman" w:cs="Times New Roman"/>
          <w:sz w:val="22"/>
          <w:szCs w:val="22"/>
        </w:rPr>
        <w:t>Madray</w:t>
      </w:r>
      <w:proofErr w:type="spellEnd"/>
      <w:r w:rsidRPr="00A3251B">
        <w:rPr>
          <w:rFonts w:ascii="Times New Roman" w:hAnsi="Times New Roman" w:cs="Times New Roman"/>
          <w:sz w:val="22"/>
          <w:szCs w:val="22"/>
        </w:rPr>
        <w:t xml:space="preserve">, MD; Nicole </w:t>
      </w:r>
      <w:proofErr w:type="spellStart"/>
      <w:r w:rsidRPr="00A3251B">
        <w:rPr>
          <w:rFonts w:ascii="Times New Roman" w:hAnsi="Times New Roman" w:cs="Times New Roman"/>
          <w:sz w:val="22"/>
          <w:szCs w:val="22"/>
        </w:rPr>
        <w:t>Salame</w:t>
      </w:r>
      <w:proofErr w:type="spellEnd"/>
      <w:r w:rsidRPr="00A3251B">
        <w:rPr>
          <w:rFonts w:ascii="Times New Roman" w:hAnsi="Times New Roman" w:cs="Times New Roman"/>
          <w:sz w:val="22"/>
          <w:szCs w:val="22"/>
        </w:rPr>
        <w:t xml:space="preserve">, MD; Samar </w:t>
      </w:r>
      <w:proofErr w:type="spellStart"/>
      <w:r w:rsidRPr="00A3251B">
        <w:rPr>
          <w:rFonts w:ascii="Times New Roman" w:hAnsi="Times New Roman" w:cs="Times New Roman"/>
          <w:sz w:val="22"/>
          <w:szCs w:val="22"/>
        </w:rPr>
        <w:t>B</w:t>
      </w:r>
      <w:r>
        <w:rPr>
          <w:rFonts w:ascii="Times New Roman" w:hAnsi="Times New Roman" w:cs="Times New Roman"/>
          <w:sz w:val="22"/>
          <w:szCs w:val="22"/>
        </w:rPr>
        <w:t>abikir</w:t>
      </w:r>
      <w:proofErr w:type="spellEnd"/>
      <w:r w:rsidRPr="00A3251B">
        <w:rPr>
          <w:rFonts w:ascii="Times New Roman" w:hAnsi="Times New Roman" w:cs="Times New Roman"/>
          <w:sz w:val="22"/>
          <w:szCs w:val="22"/>
        </w:rPr>
        <w:t xml:space="preserve"> Hasan, MD</w:t>
      </w:r>
      <w:r w:rsidRPr="000C4467">
        <w:rPr>
          <w:rFonts w:ascii="Times New Roman" w:hAnsi="Times New Roman" w:cs="Times New Roman"/>
          <w:sz w:val="22"/>
          <w:szCs w:val="22"/>
        </w:rPr>
        <w:t>;</w:t>
      </w:r>
      <w:r w:rsidRPr="00A3251B">
        <w:rPr>
          <w:rFonts w:ascii="Times New Roman" w:hAnsi="Times New Roman" w:cs="Times New Roman"/>
          <w:sz w:val="22"/>
          <w:szCs w:val="22"/>
          <w:vertAlign w:val="superscript"/>
        </w:rPr>
        <w:t xml:space="preserve"> </w:t>
      </w:r>
      <w:r w:rsidRPr="00A3251B">
        <w:rPr>
          <w:rFonts w:ascii="Times New Roman" w:hAnsi="Times New Roman" w:cs="Times New Roman"/>
          <w:sz w:val="22"/>
          <w:szCs w:val="22"/>
        </w:rPr>
        <w:t xml:space="preserve">Mia </w:t>
      </w:r>
      <w:proofErr w:type="spellStart"/>
      <w:r w:rsidRPr="00A3251B">
        <w:rPr>
          <w:rFonts w:ascii="Times New Roman" w:hAnsi="Times New Roman" w:cs="Times New Roman"/>
          <w:sz w:val="22"/>
          <w:szCs w:val="22"/>
        </w:rPr>
        <w:t>S</w:t>
      </w:r>
      <w:r>
        <w:rPr>
          <w:rFonts w:ascii="Times New Roman" w:hAnsi="Times New Roman" w:cs="Times New Roman"/>
          <w:sz w:val="22"/>
          <w:szCs w:val="22"/>
        </w:rPr>
        <w:t>ohn</w:t>
      </w:r>
      <w:proofErr w:type="spellEnd"/>
      <w:r w:rsidRPr="00A3251B">
        <w:rPr>
          <w:rFonts w:ascii="Times New Roman" w:hAnsi="Times New Roman" w:cs="Times New Roman"/>
          <w:sz w:val="22"/>
          <w:szCs w:val="22"/>
        </w:rPr>
        <w:t xml:space="preserve"> White, MILS</w:t>
      </w:r>
      <w:r>
        <w:rPr>
          <w:rFonts w:ascii="Times New Roman" w:hAnsi="Times New Roman" w:cs="Times New Roman"/>
          <w:sz w:val="22"/>
          <w:szCs w:val="22"/>
        </w:rPr>
        <w:t xml:space="preserve">; </w:t>
      </w:r>
      <w:r w:rsidRPr="00A3251B">
        <w:rPr>
          <w:rFonts w:ascii="Times New Roman" w:hAnsi="Times New Roman" w:cs="Times New Roman"/>
          <w:sz w:val="22"/>
          <w:szCs w:val="22"/>
        </w:rPr>
        <w:t xml:space="preserve">Jason </w:t>
      </w:r>
      <w:r>
        <w:rPr>
          <w:rFonts w:ascii="Times New Roman" w:hAnsi="Times New Roman" w:cs="Times New Roman"/>
          <w:sz w:val="22"/>
          <w:szCs w:val="22"/>
        </w:rPr>
        <w:t xml:space="preserve">Richard </w:t>
      </w:r>
      <w:r w:rsidRPr="00A3251B">
        <w:rPr>
          <w:rFonts w:ascii="Times New Roman" w:hAnsi="Times New Roman" w:cs="Times New Roman"/>
          <w:sz w:val="22"/>
          <w:szCs w:val="22"/>
        </w:rPr>
        <w:t>Barron, MPH; Joslyn Kirby, MD MEd MS; John R</w:t>
      </w:r>
      <w:r>
        <w:rPr>
          <w:rFonts w:ascii="Times New Roman" w:hAnsi="Times New Roman" w:cs="Times New Roman"/>
          <w:sz w:val="22"/>
          <w:szCs w:val="22"/>
        </w:rPr>
        <w:t>obert</w:t>
      </w:r>
      <w:r w:rsidRPr="00A3251B">
        <w:rPr>
          <w:rFonts w:ascii="Times New Roman" w:hAnsi="Times New Roman" w:cs="Times New Roman"/>
          <w:sz w:val="22"/>
          <w:szCs w:val="22"/>
        </w:rPr>
        <w:t xml:space="preserve"> Ingram, MD; </w:t>
      </w:r>
      <w:r>
        <w:rPr>
          <w:rFonts w:ascii="Times New Roman" w:hAnsi="Times New Roman" w:cs="Times New Roman"/>
          <w:sz w:val="22"/>
          <w:szCs w:val="22"/>
        </w:rPr>
        <w:t>Lauren Anne Vigil</w:t>
      </w:r>
      <w:r w:rsidRPr="00A3251B">
        <w:rPr>
          <w:rFonts w:ascii="Times New Roman" w:hAnsi="Times New Roman" w:cs="Times New Roman"/>
          <w:sz w:val="22"/>
          <w:szCs w:val="22"/>
        </w:rPr>
        <w:t xml:space="preserve"> Orenstein, MD </w:t>
      </w:r>
      <w:proofErr w:type="spellStart"/>
      <w:r w:rsidRPr="00A3251B">
        <w:rPr>
          <w:rFonts w:ascii="Times New Roman" w:hAnsi="Times New Roman" w:cs="Times New Roman"/>
          <w:sz w:val="22"/>
          <w:szCs w:val="22"/>
        </w:rPr>
        <w:t>MSc</w:t>
      </w:r>
      <w:r w:rsidRPr="00A3251B">
        <w:rPr>
          <w:rFonts w:ascii="Times New Roman" w:hAnsi="Times New Roman" w:cs="Times New Roman"/>
          <w:sz w:val="22"/>
          <w:szCs w:val="22"/>
          <w:vertAlign w:val="superscript"/>
        </w:rPr>
        <w:t>b</w:t>
      </w:r>
      <w:proofErr w:type="spellEnd"/>
    </w:p>
    <w:p w14:paraId="63C796F4" w14:textId="77777777" w:rsidR="000C4467" w:rsidRPr="00A3251B" w:rsidRDefault="000C4467" w:rsidP="000C4467">
      <w:pPr>
        <w:pStyle w:val="CommentText"/>
        <w:jc w:val="center"/>
        <w:rPr>
          <w:rFonts w:ascii="Times New Roman" w:eastAsia="Times New Roman" w:hAnsi="Times New Roman" w:cs="Times New Roman"/>
          <w:color w:val="000000" w:themeColor="text1"/>
          <w:sz w:val="22"/>
          <w:szCs w:val="22"/>
          <w:vertAlign w:val="superscript"/>
        </w:rPr>
      </w:pPr>
    </w:p>
    <w:p w14:paraId="5C2F2ED8" w14:textId="77777777" w:rsidR="00D3454F" w:rsidRPr="00D86769" w:rsidRDefault="00D3454F" w:rsidP="00D86769">
      <w:pPr>
        <w:jc w:val="center"/>
        <w:rPr>
          <w:rFonts w:ascii="Times New Roman" w:eastAsia="Times New Roman" w:hAnsi="Times New Roman" w:cs="Times New Roman"/>
          <w:sz w:val="22"/>
          <w:szCs w:val="22"/>
        </w:rPr>
      </w:pPr>
    </w:p>
    <w:p w14:paraId="5E1712D7" w14:textId="77777777" w:rsidR="00D86769" w:rsidRPr="00D86769" w:rsidRDefault="00D86769" w:rsidP="00D86769">
      <w:pPr>
        <w:rPr>
          <w:rFonts w:ascii="Times New Roman" w:eastAsia="Times New Roman" w:hAnsi="Times New Roman" w:cs="Times New Roman"/>
          <w:sz w:val="22"/>
          <w:szCs w:val="22"/>
        </w:rPr>
      </w:pPr>
    </w:p>
    <w:p w14:paraId="5184B3CF" w14:textId="0EE0A064" w:rsidR="00D86769" w:rsidRDefault="00D86769" w:rsidP="00D86769">
      <w:pPr>
        <w:spacing w:after="160" w:line="259" w:lineRule="auto"/>
        <w:jc w:val="center"/>
        <w:rPr>
          <w:rFonts w:ascii="Times New Roman" w:hAnsi="Times New Roman" w:cs="Times New Roman"/>
          <w:b/>
          <w:bCs/>
          <w:sz w:val="28"/>
          <w:szCs w:val="28"/>
        </w:rPr>
      </w:pPr>
      <w:r w:rsidRPr="00D86769">
        <w:rPr>
          <w:rFonts w:ascii="Times New Roman" w:hAnsi="Times New Roman" w:cs="Times New Roman"/>
          <w:b/>
          <w:bCs/>
          <w:sz w:val="28"/>
          <w:szCs w:val="28"/>
        </w:rPr>
        <w:t>TABLE OF CONTENTS</w:t>
      </w:r>
    </w:p>
    <w:p w14:paraId="04454C9C" w14:textId="77777777" w:rsidR="003C2014" w:rsidRPr="00D86769" w:rsidRDefault="003C2014" w:rsidP="00D86769">
      <w:pPr>
        <w:spacing w:after="160" w:line="259" w:lineRule="auto"/>
        <w:jc w:val="center"/>
        <w:rPr>
          <w:rFonts w:ascii="Times New Roman" w:hAnsi="Times New Roman" w:cs="Times New Roman"/>
          <w:b/>
          <w:bCs/>
          <w:sz w:val="28"/>
          <w:szCs w:val="28"/>
        </w:rPr>
      </w:pPr>
    </w:p>
    <w:p w14:paraId="01BE626E" w14:textId="177CC949" w:rsidR="003C2014" w:rsidRPr="00D86769" w:rsidRDefault="003C2014" w:rsidP="003C2014">
      <w:pPr>
        <w:rPr>
          <w:rFonts w:ascii="Times New Roman" w:hAnsi="Times New Roman" w:cs="Times New Roman"/>
          <w:b/>
          <w:bCs/>
          <w:sz w:val="22"/>
          <w:szCs w:val="22"/>
          <w:vertAlign w:val="superscript"/>
        </w:rPr>
      </w:pPr>
      <w:r w:rsidRPr="003C2014">
        <w:rPr>
          <w:rFonts w:ascii="Times New Roman" w:hAnsi="Times New Roman" w:cs="Times New Roman"/>
          <w:bCs/>
          <w:sz w:val="22"/>
          <w:szCs w:val="22"/>
        </w:rPr>
        <w:t>SUPPLEMENTAL TABLE 1</w:t>
      </w:r>
      <w:r w:rsidRPr="003C2014">
        <w:rPr>
          <w:rFonts w:ascii="Times New Roman" w:hAnsi="Times New Roman" w:cs="Times New Roman"/>
          <w:sz w:val="22"/>
          <w:szCs w:val="22"/>
        </w:rPr>
        <w:t xml:space="preserve">. </w:t>
      </w:r>
      <w:r>
        <w:rPr>
          <w:rFonts w:ascii="Times New Roman" w:hAnsi="Times New Roman" w:cs="Times New Roman"/>
          <w:sz w:val="22"/>
          <w:szCs w:val="22"/>
        </w:rPr>
        <w:t>Characteristics of Hidradenitis Suppurativa Randomized Controlled Trials…….</w:t>
      </w:r>
      <w:r>
        <w:rPr>
          <w:rFonts w:ascii="Times New Roman" w:hAnsi="Times New Roman" w:cs="Times New Roman"/>
          <w:b/>
          <w:sz w:val="22"/>
          <w:szCs w:val="22"/>
        </w:rPr>
        <w:t>Page 2</w:t>
      </w:r>
    </w:p>
    <w:p w14:paraId="31A57599" w14:textId="2A1D0822" w:rsidR="003933E2" w:rsidRDefault="003933E2" w:rsidP="00546494">
      <w:pPr>
        <w:rPr>
          <w:rFonts w:ascii="Times New Roman" w:hAnsi="Times New Roman" w:cs="Times New Roman"/>
          <w:b/>
          <w:bCs/>
          <w:sz w:val="22"/>
          <w:szCs w:val="22"/>
        </w:rPr>
      </w:pPr>
    </w:p>
    <w:p w14:paraId="4FBA5129" w14:textId="77777777" w:rsidR="003C2014" w:rsidRPr="003C2014" w:rsidRDefault="003C2014" w:rsidP="00546494">
      <w:pPr>
        <w:rPr>
          <w:rFonts w:ascii="Times New Roman" w:hAnsi="Times New Roman" w:cs="Times New Roman"/>
          <w:bCs/>
          <w:sz w:val="22"/>
          <w:szCs w:val="22"/>
        </w:rPr>
      </w:pPr>
    </w:p>
    <w:p w14:paraId="0B09BB6D" w14:textId="69FD1E9D" w:rsidR="003C2014" w:rsidRDefault="003C2014" w:rsidP="00546494">
      <w:pPr>
        <w:rPr>
          <w:rFonts w:ascii="Times New Roman" w:hAnsi="Times New Roman" w:cs="Times New Roman"/>
          <w:b/>
          <w:sz w:val="22"/>
          <w:szCs w:val="22"/>
        </w:rPr>
      </w:pPr>
      <w:r w:rsidRPr="003C2014">
        <w:rPr>
          <w:rFonts w:ascii="Times New Roman" w:hAnsi="Times New Roman" w:cs="Times New Roman"/>
          <w:sz w:val="22"/>
          <w:szCs w:val="22"/>
        </w:rPr>
        <w:t>SUPPLEMENTAL TABLE 2:</w:t>
      </w:r>
      <w:r>
        <w:rPr>
          <w:rFonts w:ascii="Times New Roman" w:hAnsi="Times New Roman" w:cs="Times New Roman"/>
          <w:sz w:val="22"/>
          <w:szCs w:val="22"/>
        </w:rPr>
        <w:t xml:space="preserve"> Other patient groups excluded due to medical co-morbidities………….....…......</w:t>
      </w:r>
      <w:r w:rsidRPr="003C2014">
        <w:rPr>
          <w:rFonts w:ascii="Times New Roman" w:hAnsi="Times New Roman" w:cs="Times New Roman"/>
          <w:b/>
          <w:sz w:val="22"/>
          <w:szCs w:val="22"/>
        </w:rPr>
        <w:t xml:space="preserve">Page 4 </w:t>
      </w:r>
    </w:p>
    <w:p w14:paraId="2A314F5D" w14:textId="77777777" w:rsidR="003C2014" w:rsidRDefault="003C2014" w:rsidP="00546494">
      <w:pPr>
        <w:rPr>
          <w:rFonts w:ascii="Times New Roman" w:hAnsi="Times New Roman" w:cs="Times New Roman"/>
          <w:b/>
          <w:sz w:val="22"/>
          <w:szCs w:val="22"/>
        </w:rPr>
      </w:pPr>
    </w:p>
    <w:p w14:paraId="7ED6D985" w14:textId="77777777" w:rsidR="003C2014" w:rsidRPr="003C2014" w:rsidRDefault="003C2014" w:rsidP="00546494">
      <w:pPr>
        <w:rPr>
          <w:rFonts w:ascii="Times New Roman" w:hAnsi="Times New Roman" w:cs="Times New Roman"/>
          <w:sz w:val="22"/>
          <w:szCs w:val="22"/>
        </w:rPr>
      </w:pPr>
    </w:p>
    <w:p w14:paraId="634456AE" w14:textId="0EEE624A" w:rsidR="003C2014" w:rsidRDefault="003C2014" w:rsidP="00546494">
      <w:pPr>
        <w:rPr>
          <w:rFonts w:ascii="Times New Roman" w:hAnsi="Times New Roman" w:cs="Times New Roman"/>
          <w:b/>
          <w:sz w:val="22"/>
          <w:szCs w:val="22"/>
        </w:rPr>
      </w:pPr>
      <w:r w:rsidRPr="003C2014">
        <w:rPr>
          <w:rFonts w:ascii="Times New Roman" w:hAnsi="Times New Roman" w:cs="Times New Roman"/>
          <w:sz w:val="22"/>
          <w:szCs w:val="22"/>
        </w:rPr>
        <w:t xml:space="preserve">SUPPLEMENTAL  FIGURE 1: </w:t>
      </w:r>
      <w:r>
        <w:rPr>
          <w:rFonts w:ascii="Times New Roman" w:hAnsi="Times New Roman" w:cs="Times New Roman"/>
          <w:sz w:val="22"/>
          <w:szCs w:val="22"/>
        </w:rPr>
        <w:t>Summary of literature search and study selection …………………..…………</w:t>
      </w:r>
      <w:r>
        <w:rPr>
          <w:rFonts w:ascii="Times New Roman" w:hAnsi="Times New Roman" w:cs="Times New Roman"/>
          <w:b/>
          <w:sz w:val="22"/>
          <w:szCs w:val="22"/>
        </w:rPr>
        <w:t>Page 5</w:t>
      </w:r>
    </w:p>
    <w:p w14:paraId="7208248A" w14:textId="77777777" w:rsidR="003C2014" w:rsidRDefault="003C2014" w:rsidP="00546494">
      <w:pPr>
        <w:rPr>
          <w:rFonts w:ascii="Times New Roman" w:hAnsi="Times New Roman" w:cs="Times New Roman"/>
          <w:sz w:val="22"/>
          <w:szCs w:val="22"/>
        </w:rPr>
      </w:pPr>
    </w:p>
    <w:p w14:paraId="689C83AB" w14:textId="77777777" w:rsidR="003C2014" w:rsidRDefault="003C2014" w:rsidP="00546494">
      <w:pPr>
        <w:rPr>
          <w:rFonts w:ascii="Times New Roman" w:hAnsi="Times New Roman" w:cs="Times New Roman"/>
          <w:sz w:val="22"/>
          <w:szCs w:val="22"/>
        </w:rPr>
      </w:pPr>
    </w:p>
    <w:p w14:paraId="01F1B420" w14:textId="113231F8" w:rsidR="003C2014" w:rsidRDefault="00BB4DB3" w:rsidP="00546494">
      <w:pPr>
        <w:rPr>
          <w:rFonts w:ascii="Times New Roman" w:hAnsi="Times New Roman" w:cs="Times New Roman"/>
          <w:b/>
          <w:sz w:val="22"/>
          <w:szCs w:val="22"/>
        </w:rPr>
      </w:pPr>
      <w:r>
        <w:rPr>
          <w:rFonts w:ascii="Times New Roman" w:hAnsi="Times New Roman" w:cs="Times New Roman"/>
          <w:sz w:val="22"/>
          <w:szCs w:val="22"/>
        </w:rPr>
        <w:t xml:space="preserve">APPENDIX 1: </w:t>
      </w:r>
      <w:r w:rsidR="003C2014">
        <w:rPr>
          <w:rFonts w:ascii="Times New Roman" w:hAnsi="Times New Roman" w:cs="Times New Roman"/>
          <w:sz w:val="22"/>
          <w:szCs w:val="22"/>
        </w:rPr>
        <w:t>Literature Search Strategies</w:t>
      </w:r>
      <w:r w:rsidR="00D3454F">
        <w:rPr>
          <w:rFonts w:ascii="Times New Roman" w:hAnsi="Times New Roman" w:cs="Times New Roman"/>
          <w:sz w:val="22"/>
          <w:szCs w:val="22"/>
        </w:rPr>
        <w:t>.</w:t>
      </w:r>
      <w:r w:rsidR="003C2014">
        <w:rPr>
          <w:rFonts w:ascii="Times New Roman" w:hAnsi="Times New Roman" w:cs="Times New Roman"/>
          <w:sz w:val="22"/>
          <w:szCs w:val="22"/>
        </w:rPr>
        <w:t>..……………………………………</w:t>
      </w:r>
      <w:r w:rsidR="00B53477">
        <w:rPr>
          <w:rFonts w:ascii="Times New Roman" w:hAnsi="Times New Roman" w:cs="Times New Roman"/>
          <w:sz w:val="22"/>
          <w:szCs w:val="22"/>
        </w:rPr>
        <w:t>……………..</w:t>
      </w:r>
      <w:r w:rsidR="003C2014">
        <w:rPr>
          <w:rFonts w:ascii="Times New Roman" w:hAnsi="Times New Roman" w:cs="Times New Roman"/>
          <w:sz w:val="22"/>
          <w:szCs w:val="22"/>
        </w:rPr>
        <w:t>………………….</w:t>
      </w:r>
      <w:r w:rsidR="003C2014">
        <w:rPr>
          <w:rFonts w:ascii="Times New Roman" w:hAnsi="Times New Roman" w:cs="Times New Roman"/>
          <w:b/>
          <w:sz w:val="22"/>
          <w:szCs w:val="22"/>
        </w:rPr>
        <w:t>Page 6</w:t>
      </w:r>
    </w:p>
    <w:p w14:paraId="57741C33" w14:textId="77777777" w:rsidR="003C2014" w:rsidRDefault="003C2014" w:rsidP="00546494">
      <w:pPr>
        <w:rPr>
          <w:rFonts w:ascii="Times New Roman" w:hAnsi="Times New Roman" w:cs="Times New Roman"/>
          <w:b/>
          <w:sz w:val="22"/>
          <w:szCs w:val="22"/>
        </w:rPr>
      </w:pPr>
    </w:p>
    <w:p w14:paraId="796384B6" w14:textId="77777777" w:rsidR="003C2014" w:rsidRDefault="003C2014" w:rsidP="00546494">
      <w:pPr>
        <w:rPr>
          <w:rFonts w:ascii="Times New Roman" w:hAnsi="Times New Roman" w:cs="Times New Roman"/>
          <w:b/>
          <w:sz w:val="22"/>
          <w:szCs w:val="22"/>
        </w:rPr>
      </w:pPr>
    </w:p>
    <w:p w14:paraId="3D10A2C0" w14:textId="4573DD7B" w:rsidR="003C2014" w:rsidRPr="003C2014" w:rsidRDefault="003C2014" w:rsidP="00546494">
      <w:pPr>
        <w:rPr>
          <w:rFonts w:ascii="Times New Roman" w:hAnsi="Times New Roman" w:cs="Times New Roman"/>
          <w:b/>
          <w:sz w:val="22"/>
          <w:szCs w:val="22"/>
        </w:rPr>
        <w:sectPr w:rsidR="003C2014" w:rsidRPr="003C2014" w:rsidSect="003933E2">
          <w:footerReference w:type="even" r:id="rId8"/>
          <w:footerReference w:type="default" r:id="rId9"/>
          <w:pgSz w:w="12240" w:h="15840"/>
          <w:pgMar w:top="720" w:right="720" w:bottom="720" w:left="720" w:header="720" w:footer="720" w:gutter="0"/>
          <w:cols w:space="720"/>
          <w:docGrid w:linePitch="360"/>
        </w:sectPr>
      </w:pPr>
      <w:r w:rsidRPr="003C2014">
        <w:rPr>
          <w:rFonts w:ascii="Times New Roman" w:hAnsi="Times New Roman" w:cs="Times New Roman"/>
          <w:sz w:val="22"/>
          <w:szCs w:val="22"/>
        </w:rPr>
        <w:t>Reference</w:t>
      </w:r>
      <w:r w:rsidR="00D3454F">
        <w:rPr>
          <w:rFonts w:ascii="Times New Roman" w:hAnsi="Times New Roman" w:cs="Times New Roman"/>
          <w:sz w:val="22"/>
          <w:szCs w:val="22"/>
        </w:rPr>
        <w:t>s for Supplemental Materials …</w:t>
      </w:r>
      <w:r>
        <w:rPr>
          <w:rFonts w:ascii="Times New Roman" w:hAnsi="Times New Roman" w:cs="Times New Roman"/>
          <w:sz w:val="22"/>
          <w:szCs w:val="22"/>
        </w:rPr>
        <w:t>……………</w:t>
      </w:r>
      <w:r w:rsidR="00D3454F">
        <w:rPr>
          <w:rFonts w:ascii="Times New Roman" w:hAnsi="Times New Roman" w:cs="Times New Roman"/>
          <w:sz w:val="22"/>
          <w:szCs w:val="22"/>
        </w:rPr>
        <w:t>...</w:t>
      </w:r>
      <w:r>
        <w:rPr>
          <w:rFonts w:ascii="Times New Roman" w:hAnsi="Times New Roman" w:cs="Times New Roman"/>
          <w:sz w:val="22"/>
          <w:szCs w:val="22"/>
        </w:rPr>
        <w:t>…………………………………………………………</w:t>
      </w:r>
      <w:r>
        <w:rPr>
          <w:rFonts w:ascii="Times New Roman" w:hAnsi="Times New Roman" w:cs="Times New Roman"/>
          <w:b/>
          <w:sz w:val="22"/>
          <w:szCs w:val="22"/>
        </w:rPr>
        <w:t>Page 8</w:t>
      </w:r>
    </w:p>
    <w:p w14:paraId="4CE2CD46" w14:textId="30163544" w:rsidR="00546494" w:rsidRPr="00A3251B" w:rsidRDefault="003933E2" w:rsidP="00546494">
      <w:pPr>
        <w:rPr>
          <w:rFonts w:ascii="Times New Roman" w:hAnsi="Times New Roman" w:cs="Times New Roman"/>
          <w:b/>
          <w:bCs/>
          <w:sz w:val="22"/>
          <w:szCs w:val="22"/>
          <w:vertAlign w:val="superscript"/>
        </w:rPr>
      </w:pPr>
      <w:r>
        <w:rPr>
          <w:rFonts w:ascii="Times New Roman" w:hAnsi="Times New Roman" w:cs="Times New Roman"/>
          <w:b/>
          <w:bCs/>
          <w:sz w:val="22"/>
          <w:szCs w:val="22"/>
        </w:rPr>
        <w:lastRenderedPageBreak/>
        <w:t xml:space="preserve">Supplemental </w:t>
      </w:r>
      <w:r w:rsidR="00546494" w:rsidRPr="00A3251B">
        <w:rPr>
          <w:rFonts w:ascii="Times New Roman" w:hAnsi="Times New Roman" w:cs="Times New Roman"/>
          <w:b/>
          <w:bCs/>
          <w:sz w:val="22"/>
          <w:szCs w:val="22"/>
        </w:rPr>
        <w:t>Table 1</w:t>
      </w:r>
      <w:r w:rsidR="00546494" w:rsidRPr="00A3251B">
        <w:rPr>
          <w:rFonts w:ascii="Times New Roman" w:hAnsi="Times New Roman" w:cs="Times New Roman"/>
          <w:b/>
          <w:sz w:val="22"/>
          <w:szCs w:val="22"/>
        </w:rPr>
        <w:t>. Characteristics of hidradenitis suppurativa randomized controlled trials</w:t>
      </w:r>
    </w:p>
    <w:p w14:paraId="33E9C734" w14:textId="77777777" w:rsidR="00546494" w:rsidRPr="00A3251B" w:rsidRDefault="00546494" w:rsidP="00546494">
      <w:pPr>
        <w:rPr>
          <w:rFonts w:ascii="Times New Roman" w:hAnsi="Times New Roman" w:cs="Times New Roman"/>
          <w:bCs/>
          <w:sz w:val="22"/>
          <w:szCs w:val="22"/>
        </w:rPr>
      </w:pPr>
    </w:p>
    <w:tbl>
      <w:tblPr>
        <w:tblStyle w:val="PlainTable5"/>
        <w:tblpPr w:leftFromText="180" w:rightFromText="180" w:vertAnchor="text" w:tblpY="1"/>
        <w:tblOverlap w:val="never"/>
        <w:tblW w:w="14409" w:type="dxa"/>
        <w:tblLook w:val="04A0" w:firstRow="1" w:lastRow="0" w:firstColumn="1" w:lastColumn="0" w:noHBand="0" w:noVBand="1"/>
      </w:tblPr>
      <w:tblGrid>
        <w:gridCol w:w="1869"/>
        <w:gridCol w:w="546"/>
        <w:gridCol w:w="1034"/>
        <w:gridCol w:w="1491"/>
        <w:gridCol w:w="1732"/>
        <w:gridCol w:w="2560"/>
        <w:gridCol w:w="1024"/>
        <w:gridCol w:w="2164"/>
        <w:gridCol w:w="1989"/>
      </w:tblGrid>
      <w:tr w:rsidR="00546494" w:rsidRPr="00A3251B" w14:paraId="0CF3E424" w14:textId="77777777" w:rsidTr="00D84DAE">
        <w:trPr>
          <w:cnfStyle w:val="100000000000" w:firstRow="1" w:lastRow="0" w:firstColumn="0" w:lastColumn="0" w:oddVBand="0" w:evenVBand="0" w:oddHBand="0" w:evenHBand="0" w:firstRowFirstColumn="0" w:firstRowLastColumn="0" w:lastRowFirstColumn="0" w:lastRowLastColumn="0"/>
          <w:trHeight w:val="19"/>
        </w:trPr>
        <w:tc>
          <w:tcPr>
            <w:cnfStyle w:val="001000000100" w:firstRow="0" w:lastRow="0" w:firstColumn="1" w:lastColumn="0" w:oddVBand="0" w:evenVBand="0" w:oddHBand="0" w:evenHBand="0" w:firstRowFirstColumn="1" w:firstRowLastColumn="0" w:lastRowFirstColumn="0" w:lastRowLastColumn="0"/>
            <w:tcW w:w="0" w:type="auto"/>
          </w:tcPr>
          <w:p w14:paraId="2A8BE863" w14:textId="77777777" w:rsidR="00546494" w:rsidRPr="00A3251B" w:rsidRDefault="00546494" w:rsidP="00D84DAE">
            <w:pPr>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Study</w:t>
            </w:r>
          </w:p>
        </w:tc>
        <w:tc>
          <w:tcPr>
            <w:tcW w:w="0" w:type="auto"/>
          </w:tcPr>
          <w:p w14:paraId="545EF747" w14:textId="77777777" w:rsidR="00546494" w:rsidRPr="00A3251B" w:rsidRDefault="00546494" w:rsidP="00D84D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N</w:t>
            </w:r>
          </w:p>
        </w:tc>
        <w:tc>
          <w:tcPr>
            <w:tcW w:w="0" w:type="auto"/>
          </w:tcPr>
          <w:p w14:paraId="5A414C69"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Study years</w:t>
            </w:r>
          </w:p>
        </w:tc>
        <w:tc>
          <w:tcPr>
            <w:tcW w:w="0" w:type="auto"/>
          </w:tcPr>
          <w:p w14:paraId="161D4E62"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Location</w:t>
            </w:r>
          </w:p>
        </w:tc>
        <w:tc>
          <w:tcPr>
            <w:tcW w:w="1594" w:type="dxa"/>
          </w:tcPr>
          <w:p w14:paraId="7D54D133"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Intervention</w:t>
            </w:r>
          </w:p>
        </w:tc>
        <w:tc>
          <w:tcPr>
            <w:tcW w:w="0" w:type="auto"/>
          </w:tcPr>
          <w:p w14:paraId="39EA9C4C"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Control</w:t>
            </w:r>
          </w:p>
        </w:tc>
        <w:tc>
          <w:tcPr>
            <w:tcW w:w="0" w:type="auto"/>
          </w:tcPr>
          <w:p w14:paraId="787AD25E"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Blinding</w:t>
            </w:r>
          </w:p>
        </w:tc>
        <w:tc>
          <w:tcPr>
            <w:tcW w:w="2164" w:type="dxa"/>
          </w:tcPr>
          <w:p w14:paraId="1AE55A49"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1̊ Outcome</w:t>
            </w:r>
          </w:p>
        </w:tc>
        <w:tc>
          <w:tcPr>
            <w:tcW w:w="1989" w:type="dxa"/>
          </w:tcPr>
          <w:p w14:paraId="6BC558FD" w14:textId="77777777" w:rsidR="00546494" w:rsidRPr="00A3251B" w:rsidRDefault="00546494" w:rsidP="00D84D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2"/>
                <w:szCs w:val="22"/>
              </w:rPr>
            </w:pPr>
            <w:r w:rsidRPr="00A3251B">
              <w:rPr>
                <w:rFonts w:ascii="Times New Roman" w:hAnsi="Times New Roman" w:cs="Times New Roman"/>
                <w:b/>
                <w:bCs/>
                <w:i w:val="0"/>
                <w:iCs w:val="0"/>
                <w:sz w:val="22"/>
                <w:szCs w:val="22"/>
              </w:rPr>
              <w:t>Funding</w:t>
            </w:r>
          </w:p>
        </w:tc>
      </w:tr>
      <w:tr w:rsidR="00546494" w:rsidRPr="00A3251B" w14:paraId="0DBB4C01"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0383E0DE" w14:textId="393B9AFE"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Pioneer II</w:t>
            </w:r>
            <w:r w:rsidRPr="002532FB">
              <w:rPr>
                <w:rFonts w:ascii="Times New Roman" w:hAnsi="Times New Roman" w:cs="Times New Roman"/>
                <w:b/>
                <w:bCs/>
                <w:sz w:val="22"/>
                <w:szCs w:val="22"/>
              </w:rPr>
              <w:fldChar w:fldCharType="begin" w:fldLock="1"/>
            </w:r>
            <w:r w:rsidR="00D84DAE" w:rsidRPr="002532FB">
              <w:rPr>
                <w:rFonts w:ascii="Times New Roman" w:hAnsi="Times New Roman" w:cs="Times New Roman"/>
                <w:b/>
                <w:bCs/>
                <w:i w:val="0"/>
                <w:iCs w:val="0"/>
                <w:sz w:val="22"/>
                <w:szCs w:val="22"/>
              </w:rPr>
              <w:instrText>ADDIN CSL_CITATION {"citationItems":[{"id":"ITEM-1","itemData":{"DOI":"10.1056/nejmoa1504370","ISSN":"0028-4793","PMID":"27518661","abstract":"Copyright © 2016 Massachusetts Medical Society. All rights reserved. BACKGROUND Hidradenitis suppurativa is a painful, chronic inflammatory skin disease with few options for effective treatment. In a phase 2 trial, adalimumab, an antibody against tumor necrosis factor á, showed efficacy against hidradenitis suppurativa. METHODS PIONEER I and II were similarly designed, phase 3 multicenter trials of adalimumab for hidradenitis suppurativa, with two double-blind, placebo-controlled periods. In period 1, patients were randomly assigned in a 1:1 ratio to 40 mg of adalimumab weekly or matching placebo for 12 weeks. In period 2, patients were reassigned to adalimumab at a weekly or every-other-week dose or to placebo for 24 weeks. The primary end point was a clinical response, defined as at least a 50% reduction from baseline in the abscess and inflammatory-nodule count, with no increase in abscess or draining-fistula counts, at week 12. RESULTS We enrolled 307 patients in PIONEER I and 326 in PIONEER II. Clinical response rates at week 12 were significantly higher for the groups receiving adalimumab weekly than for the placebo groups: 41.8% versus 26.0% in PIONEER I (P = 0.003) and 58.9% versus 27.6% in PIONEER II (P&lt;0.001). Patients receiving adalimumab had significantly greater improvement than the placebo groups in rank-ordered secondary outcomes (lesions, pain, and the modified Sartorius score for disease severity) at week 12 in PIONEER II only. Serious adverse events in period 1 (excluding worsening of underlying disease) occurred in 1.3% of patients receiving adalimumab and 1.3% of those receiving placebo in PIONEER I and in 1.8% and 3.7% of patients, respectively, in PIONEER II. In period 2, the rates of serious adverse events were 4.6% or less in all the groups in both studies, with no significant between-group differences. CONCLUSIONS Treatment with adalimumab (40 mg weekly), as compared with placebo, resulted in significantly higher clinical response rates in both trials at 12 weeks; rates of serious adverse events were similar in the study groups.","author":[{"dropping-particle":"","family":"Kimball","given":"Alexa B.","non-dropping-particle":"","parse-names":false,"suffix":""},{"dropping-particle":"","family":"Okun","given":"Martin M.","non-dropping-particle":"","parse-names":false,"suffix":""},{"dropping-particle":"","family":"Williams","given":"David A.","non-dropping-particle":"","parse-names":false,"suffix":""},{"dropping-particle":"","family":"Gottlieb","given":"Alice B.","non-dropping-particle":"","parse-names":false,"suffix":""},{"dropping-particle":"","family":"Papp","given":"Kim A.","non-dropping-particle":"","parse-names":false,"suffix":""},{"dropping-particle":"","family":"Zouboulis","given":"Christos C.","non-dropping-particle":"","parse-names":false,"suffix":""},{"dropping-particle":"","family":"Armstrong","given":"April W.","non-dropping-particle":"","parse-names":false,"suffix":""},{"dropping-particle":"","family":"Kerdel","given":"Francisco","non-dropping-particle":"","parse-names":false,"suffix":""},{"dropping-particle":"","family":"Gold","given":"Michael H.","non-dropping-particle":"","parse-names":false,"suffix":""},{"dropping-particle":"","family":"Forman","given":"Seth B.","non-dropping-particle":"","parse-names":false,"suffix":""},{"dropping-particle":"","family":"Korman","given":"Neil J.","non-dropping-particle":"","parse-names":false,"suffix":""},{"dropping-particle":"","family":"Giamarellos-Bourboulis","given":"Evangelos J.","non-dropping-particle":"","parse-names":false,"suffix":""},{"dropping-particle":"","family":"Crowley","given":"Jeffrey J.","non-dropping-particle":"","parse-names":false,"suffix":""},{"dropping-particle":"","family":"Lynde","given":"Charles","non-dropping-particle":"","parse-names":false,"suffix":""},{"dropping-particle":"","family":"Reguiai","given":"Ziad","non-dropping-particle":"","parse-names":false,"suffix":""},{"dropping-particle":"","family":"Prens","given":"Errol-Prospero","non-dropping-particle":"","parse-names":false,"suffix":""},{"dropping-particle":"","family":"Alwawi","given":"Eihab","non-dropping-particle":"","parse-names":false,"suffix":""},{"dropping-particle":"","family":"Mostafa","given":"Nael M.","non-dropping-particle":"","parse-names":false,"suffix":""},{"dropping-particle":"","family":"Pinsky","given":"Brett","non-dropping-particle":"","parse-names":false,"suffix":""},{"dropping-particle":"","family":"Sundaram","given":"Murali","non-dropping-particle":"","parse-names":false,"suffix":""},{"dropping-particle":"","family":"Gu","given":"Yihua","non-dropping-particle":"","parse-names":false,"suffix":""},{"dropping-particle":"","family":"Carlson","given":"Dawn M.","non-dropping-particle":"","parse-names":false,"suffix":""},{"dropping-particle":"","family":"Jemec","given":"Gregor B.E.","non-dropping-particle":"","parse-names":false,"suffix":""}],"container-title":"New England Journal of Medicine","id":"ITEM-1","issue":"5","issued":{"date-parts":[["2016"]]},"page":"422-434","title":"Two Phase 3 Trials of Adalimumab for Hidradenitis Suppurativa","type":"article-journal","volume":"375"},"uris":["http://www.mendeley.com/documents/?uuid=8c6c5c34-2a86-4658-b16a-e3d605696e12"]}],"mendeley":{"formattedCitation":"(1)","plainTextFormattedCitation":"(1)","previouslyFormattedCitation":"(1)"},"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1</w:t>
            </w:r>
            <w:r w:rsidR="002532FB" w:rsidRPr="002532FB">
              <w:rPr>
                <w:rFonts w:ascii="Times New Roman" w:hAnsi="Times New Roman" w:cs="Times New Roman"/>
                <w:b/>
                <w:bCs/>
                <w:i w:val="0"/>
                <w:sz w:val="22"/>
                <w:szCs w:val="22"/>
              </w:rPr>
              <w:t>]</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0" w:type="auto"/>
          </w:tcPr>
          <w:p w14:paraId="7556696E"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326</w:t>
            </w:r>
          </w:p>
        </w:tc>
        <w:tc>
          <w:tcPr>
            <w:tcW w:w="0" w:type="auto"/>
          </w:tcPr>
          <w:p w14:paraId="0F17976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2011-2014</w:t>
            </w:r>
          </w:p>
        </w:tc>
        <w:tc>
          <w:tcPr>
            <w:tcW w:w="0" w:type="auto"/>
          </w:tcPr>
          <w:p w14:paraId="1718EAD2"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Europe and USA</w:t>
            </w:r>
          </w:p>
        </w:tc>
        <w:tc>
          <w:tcPr>
            <w:tcW w:w="1594" w:type="dxa"/>
          </w:tcPr>
          <w:p w14:paraId="31F532F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Adalimumab </w:t>
            </w:r>
          </w:p>
        </w:tc>
        <w:tc>
          <w:tcPr>
            <w:tcW w:w="0" w:type="auto"/>
          </w:tcPr>
          <w:p w14:paraId="26AFE0F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4455BA38"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27D5DE6C" w14:textId="4CFF3ABC"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HiSCR</w:t>
            </w:r>
            <w:proofErr w:type="spellEnd"/>
            <w:r w:rsidR="002532FB">
              <w:rPr>
                <w:rFonts w:ascii="Times New Roman" w:hAnsi="Times New Roman" w:cs="Times New Roman"/>
                <w:sz w:val="22"/>
                <w:szCs w:val="22"/>
              </w:rPr>
              <w:t>[2]</w:t>
            </w:r>
          </w:p>
        </w:tc>
        <w:tc>
          <w:tcPr>
            <w:tcW w:w="1989" w:type="dxa"/>
          </w:tcPr>
          <w:p w14:paraId="52C2942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Industry</w:t>
            </w:r>
          </w:p>
        </w:tc>
      </w:tr>
      <w:tr w:rsidR="00546494" w:rsidRPr="00A3251B" w14:paraId="1F297496"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655F8B0B" w14:textId="3366F13D"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Pioneer I</w:t>
            </w:r>
            <w:r w:rsidR="002532FB" w:rsidRPr="002532FB">
              <w:rPr>
                <w:rFonts w:ascii="Times New Roman" w:hAnsi="Times New Roman" w:cs="Times New Roman"/>
                <w:bCs/>
                <w:i w:val="0"/>
                <w:sz w:val="22"/>
                <w:szCs w:val="22"/>
              </w:rPr>
              <w:t>[1]</w:t>
            </w:r>
          </w:p>
        </w:tc>
        <w:tc>
          <w:tcPr>
            <w:tcW w:w="0" w:type="auto"/>
          </w:tcPr>
          <w:p w14:paraId="1D66062E"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307</w:t>
            </w:r>
          </w:p>
        </w:tc>
        <w:tc>
          <w:tcPr>
            <w:tcW w:w="0" w:type="auto"/>
          </w:tcPr>
          <w:p w14:paraId="6E07DCBD"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2011-2014</w:t>
            </w:r>
          </w:p>
        </w:tc>
        <w:tc>
          <w:tcPr>
            <w:tcW w:w="0" w:type="auto"/>
          </w:tcPr>
          <w:p w14:paraId="3EAC2A2F"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Europe and USA</w:t>
            </w:r>
          </w:p>
        </w:tc>
        <w:tc>
          <w:tcPr>
            <w:tcW w:w="1594" w:type="dxa"/>
          </w:tcPr>
          <w:p w14:paraId="6DDB19B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Adalimumab </w:t>
            </w:r>
          </w:p>
        </w:tc>
        <w:tc>
          <w:tcPr>
            <w:tcW w:w="0" w:type="auto"/>
          </w:tcPr>
          <w:p w14:paraId="0976C772"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Placebo</w:t>
            </w:r>
          </w:p>
        </w:tc>
        <w:tc>
          <w:tcPr>
            <w:tcW w:w="0" w:type="auto"/>
          </w:tcPr>
          <w:p w14:paraId="2CCE0FFF"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78486A39" w14:textId="5FCDE3C4"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HiSCR</w:t>
            </w:r>
            <w:proofErr w:type="spellEnd"/>
            <w:r w:rsidR="002532FB">
              <w:rPr>
                <w:rFonts w:ascii="Times New Roman" w:hAnsi="Times New Roman" w:cs="Times New Roman"/>
                <w:sz w:val="22"/>
                <w:szCs w:val="22"/>
              </w:rPr>
              <w:t>[2]</w:t>
            </w:r>
          </w:p>
        </w:tc>
        <w:tc>
          <w:tcPr>
            <w:tcW w:w="1989" w:type="dxa"/>
          </w:tcPr>
          <w:p w14:paraId="0D1FFC94"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Industry</w:t>
            </w:r>
          </w:p>
        </w:tc>
      </w:tr>
      <w:tr w:rsidR="00546494" w:rsidRPr="00A3251B" w14:paraId="27CDE5BE"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146A6886" w14:textId="5EC839E6"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Buimer</w:t>
            </w:r>
            <w:proofErr w:type="spellEnd"/>
            <w:r w:rsidR="002532FB" w:rsidRPr="002532FB">
              <w:rPr>
                <w:rFonts w:ascii="Times New Roman" w:hAnsi="Times New Roman" w:cs="Times New Roman"/>
                <w:bCs/>
                <w:i w:val="0"/>
                <w:sz w:val="22"/>
                <w:szCs w:val="22"/>
              </w:rPr>
              <w:t>[3]</w:t>
            </w:r>
            <w:r w:rsidRPr="002532FB">
              <w:rPr>
                <w:rFonts w:ascii="Times New Roman" w:hAnsi="Times New Roman" w:cs="Times New Roman"/>
                <w:b/>
                <w:bCs/>
                <w:i w:val="0"/>
                <w:iCs w:val="0"/>
                <w:sz w:val="22"/>
                <w:szCs w:val="22"/>
              </w:rPr>
              <w:t xml:space="preserve"> </w:t>
            </w:r>
          </w:p>
        </w:tc>
        <w:tc>
          <w:tcPr>
            <w:tcW w:w="0" w:type="auto"/>
          </w:tcPr>
          <w:p w14:paraId="5138A1D6"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w:t>
            </w:r>
          </w:p>
        </w:tc>
        <w:tc>
          <w:tcPr>
            <w:tcW w:w="0" w:type="auto"/>
          </w:tcPr>
          <w:p w14:paraId="04A581B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2008</w:t>
            </w:r>
            <w:r w:rsidRPr="00A3251B">
              <w:rPr>
                <w:rFonts w:ascii="Times New Roman" w:hAnsi="Times New Roman" w:cs="Times New Roman"/>
                <w:sz w:val="22"/>
                <w:szCs w:val="22"/>
                <w:vertAlign w:val="superscript"/>
              </w:rPr>
              <w:t>c</w:t>
            </w:r>
            <w:r w:rsidRPr="00A3251B" w:rsidDel="00297121">
              <w:rPr>
                <w:rFonts w:ascii="Times New Roman" w:hAnsi="Times New Roman" w:cs="Times New Roman"/>
                <w:sz w:val="22"/>
                <w:szCs w:val="22"/>
              </w:rPr>
              <w:t xml:space="preserve"> </w:t>
            </w:r>
          </w:p>
        </w:tc>
        <w:tc>
          <w:tcPr>
            <w:tcW w:w="0" w:type="auto"/>
          </w:tcPr>
          <w:p w14:paraId="5C6CE27A"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Netherlands</w:t>
            </w:r>
          </w:p>
        </w:tc>
        <w:tc>
          <w:tcPr>
            <w:tcW w:w="1594" w:type="dxa"/>
          </w:tcPr>
          <w:p w14:paraId="58393C3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Excision and closure with gentamicin sponge</w:t>
            </w:r>
          </w:p>
        </w:tc>
        <w:tc>
          <w:tcPr>
            <w:tcW w:w="0" w:type="auto"/>
          </w:tcPr>
          <w:p w14:paraId="26C8A27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Excision and closure without sponge </w:t>
            </w:r>
          </w:p>
        </w:tc>
        <w:tc>
          <w:tcPr>
            <w:tcW w:w="0" w:type="auto"/>
          </w:tcPr>
          <w:p w14:paraId="7A0C77F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NR </w:t>
            </w:r>
          </w:p>
        </w:tc>
        <w:tc>
          <w:tcPr>
            <w:tcW w:w="2164" w:type="dxa"/>
          </w:tcPr>
          <w:p w14:paraId="4B62C09A"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Postoperative complications</w:t>
            </w:r>
          </w:p>
        </w:tc>
        <w:tc>
          <w:tcPr>
            <w:tcW w:w="1989" w:type="dxa"/>
          </w:tcPr>
          <w:p w14:paraId="2683C29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668DD1D7"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0F3624C" w14:textId="37D498D1"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Kimball 2012</w:t>
            </w:r>
            <w:r w:rsidR="002532FB" w:rsidRPr="002532FB">
              <w:rPr>
                <w:rFonts w:ascii="Times New Roman" w:hAnsi="Times New Roman" w:cs="Times New Roman"/>
                <w:bCs/>
                <w:i w:val="0"/>
                <w:sz w:val="22"/>
                <w:szCs w:val="22"/>
              </w:rPr>
              <w:t>[4,5]</w:t>
            </w:r>
            <w:r w:rsidRPr="002532FB">
              <w:rPr>
                <w:rFonts w:ascii="Times New Roman" w:hAnsi="Times New Roman" w:cs="Times New Roman"/>
                <w:b/>
                <w:bCs/>
                <w:i w:val="0"/>
                <w:iCs w:val="0"/>
                <w:sz w:val="22"/>
                <w:szCs w:val="22"/>
              </w:rPr>
              <w:t xml:space="preserve">  </w:t>
            </w:r>
          </w:p>
        </w:tc>
        <w:tc>
          <w:tcPr>
            <w:tcW w:w="0" w:type="auto"/>
          </w:tcPr>
          <w:p w14:paraId="340EC0E5"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154</w:t>
            </w:r>
          </w:p>
        </w:tc>
        <w:tc>
          <w:tcPr>
            <w:tcW w:w="0" w:type="auto"/>
          </w:tcPr>
          <w:p w14:paraId="350AEF6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2009-2010</w:t>
            </w:r>
          </w:p>
        </w:tc>
        <w:tc>
          <w:tcPr>
            <w:tcW w:w="0" w:type="auto"/>
          </w:tcPr>
          <w:p w14:paraId="7F8E1C1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Europe and USA</w:t>
            </w:r>
          </w:p>
        </w:tc>
        <w:tc>
          <w:tcPr>
            <w:tcW w:w="1594" w:type="dxa"/>
          </w:tcPr>
          <w:p w14:paraId="09D7FBD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Adalimumab</w:t>
            </w:r>
          </w:p>
        </w:tc>
        <w:tc>
          <w:tcPr>
            <w:tcW w:w="0" w:type="auto"/>
          </w:tcPr>
          <w:p w14:paraId="3DE43E9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78421380"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19F2FDE1" w14:textId="1F952CCD"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HS-PGA</w:t>
            </w:r>
            <w:r w:rsidR="002532FB">
              <w:rPr>
                <w:rFonts w:ascii="Times New Roman" w:hAnsi="Times New Roman" w:cs="Times New Roman"/>
                <w:sz w:val="22"/>
                <w:szCs w:val="22"/>
              </w:rPr>
              <w:t>[2,6]</w:t>
            </w:r>
          </w:p>
        </w:tc>
        <w:tc>
          <w:tcPr>
            <w:tcW w:w="1989" w:type="dxa"/>
          </w:tcPr>
          <w:p w14:paraId="1A025544"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Industry </w:t>
            </w:r>
          </w:p>
        </w:tc>
      </w:tr>
      <w:tr w:rsidR="00546494" w:rsidRPr="00A3251B" w14:paraId="3788CB9E"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69B81186" w14:textId="5DDCC046"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Jemec</w:t>
            </w:r>
            <w:proofErr w:type="spellEnd"/>
            <w:r w:rsidR="002532FB" w:rsidRPr="002532FB">
              <w:rPr>
                <w:rFonts w:ascii="Times New Roman" w:hAnsi="Times New Roman" w:cs="Times New Roman"/>
                <w:bCs/>
                <w:i w:val="0"/>
                <w:sz w:val="22"/>
                <w:szCs w:val="22"/>
              </w:rPr>
              <w:t>[7]</w:t>
            </w:r>
            <w:r w:rsidRPr="002532FB">
              <w:rPr>
                <w:rFonts w:ascii="Times New Roman" w:hAnsi="Times New Roman" w:cs="Times New Roman"/>
                <w:b/>
                <w:bCs/>
                <w:i w:val="0"/>
                <w:iCs w:val="0"/>
                <w:sz w:val="22"/>
                <w:szCs w:val="22"/>
              </w:rPr>
              <w:t xml:space="preserve"> </w:t>
            </w:r>
          </w:p>
        </w:tc>
        <w:tc>
          <w:tcPr>
            <w:tcW w:w="0" w:type="auto"/>
          </w:tcPr>
          <w:p w14:paraId="55853B83"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46</w:t>
            </w:r>
          </w:p>
        </w:tc>
        <w:tc>
          <w:tcPr>
            <w:tcW w:w="0" w:type="auto"/>
          </w:tcPr>
          <w:p w14:paraId="7348F7C3"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1996-1997</w:t>
            </w:r>
            <w:r w:rsidRPr="00A3251B">
              <w:rPr>
                <w:rFonts w:ascii="Times New Roman" w:hAnsi="Times New Roman" w:cs="Times New Roman"/>
                <w:sz w:val="22"/>
                <w:szCs w:val="22"/>
                <w:vertAlign w:val="superscript"/>
              </w:rPr>
              <w:t>b</w:t>
            </w:r>
          </w:p>
        </w:tc>
        <w:tc>
          <w:tcPr>
            <w:tcW w:w="0" w:type="auto"/>
          </w:tcPr>
          <w:p w14:paraId="5155F89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Denmark</w:t>
            </w:r>
          </w:p>
        </w:tc>
        <w:tc>
          <w:tcPr>
            <w:tcW w:w="1594" w:type="dxa"/>
          </w:tcPr>
          <w:p w14:paraId="6A2F73C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Oral tetracycline + topical placebo</w:t>
            </w:r>
          </w:p>
        </w:tc>
        <w:tc>
          <w:tcPr>
            <w:tcW w:w="0" w:type="auto"/>
          </w:tcPr>
          <w:p w14:paraId="397983D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Topical clindamycin + oral placebo</w:t>
            </w:r>
          </w:p>
        </w:tc>
        <w:tc>
          <w:tcPr>
            <w:tcW w:w="0" w:type="auto"/>
          </w:tcPr>
          <w:p w14:paraId="05C3B43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3FE44A3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VAS</w:t>
            </w:r>
          </w:p>
        </w:tc>
        <w:tc>
          <w:tcPr>
            <w:tcW w:w="1989" w:type="dxa"/>
          </w:tcPr>
          <w:p w14:paraId="33FEE87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Industry</w:t>
            </w:r>
          </w:p>
          <w:p w14:paraId="552996B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Partnership </w:t>
            </w:r>
          </w:p>
        </w:tc>
      </w:tr>
      <w:tr w:rsidR="00546494" w:rsidRPr="00A3251B" w14:paraId="4B9E750B"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5F84903" w14:textId="766CC230"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Yildiz</w:t>
            </w:r>
            <w:proofErr w:type="spellEnd"/>
            <w:r w:rsidRPr="002532FB">
              <w:rPr>
                <w:rFonts w:ascii="Times New Roman" w:hAnsi="Times New Roman" w:cs="Times New Roman"/>
                <w:b/>
                <w:bCs/>
                <w:sz w:val="22"/>
                <w:szCs w:val="22"/>
              </w:rPr>
              <w:fldChar w:fldCharType="begin" w:fldLock="1"/>
            </w:r>
            <w:r w:rsidR="00D84DAE" w:rsidRPr="002532FB">
              <w:rPr>
                <w:rFonts w:ascii="Times New Roman" w:hAnsi="Times New Roman" w:cs="Times New Roman"/>
                <w:b/>
                <w:bCs/>
                <w:i w:val="0"/>
                <w:iCs w:val="0"/>
                <w:sz w:val="22"/>
                <w:szCs w:val="22"/>
              </w:rPr>
              <w:instrText>ADDIN CSL_CITATION {"citationItems":[{"id":"ITEM-1","itemData":{"DOI":"10.1111/ijd.12936","ISSN":"13654632","PMID":"26267600","abstract":"Hyperbaric oxygen therapy (HBOT) appears to enhance wound healing, increase bactericidal activity, and act synergistically with a number of antibiotics. The aim of this study was to evaluate the efficacy of HBOT as an adjunctive therapy in patients with hidradenitis suppurativa (HS) treated with a combination of systemic rifampicin and clindamycin. The study was a prospective, single-center, single-dose, open-label, randomized controlled clinical study of HBOT in patients with moderate to severe HS. Efficacy was measured by modified Sartorius score (SS), HS Severity Index (HSSI), Dermatology Life Quality Index (DLQI), and a visual analog scale (VAS) before treatment and after the completion of 4 and 10 weeks of treatment. Erythrocyte sedimentation rate (ESR) and C-reactive protein (CRP) levels were also measured. Forty-three patients were enrolled in the study. More patients in the HBOT than in the control group showed a decrease of ≥50% from baseline parameters at week 10 for SS (100%), HSSI (100%), DLQI (95.5%), VAS (100%), ESR (100%), and CRP (72.7%). Clinically and statistically significant improvements from baseline were observed at 4 and 10 weeks in HSSI (P = 0.009 at both), SS (P = 0.021 at both), and DLQI (P = 0.044 at week 4, P = 0.009 at week 10). Adjunctive HBOT was considered to be effective in significantly improving antibiotic treatment of HS. The treatment was well tolerated, and no unexpected safety issues were identified.","author":[{"dropping-particle":"","family":"Yildiz","given":"Hamza","non-dropping-particle":"","parse-names":false,"suffix":""},{"dropping-particle":"","family":"Senol","given":"Levent","non-dropping-particle":"","parse-names":false,"suffix":""},{"dropping-particle":"","family":"Ercan","given":"Erdinc","non-dropping-particle":"","parse-names":false,"suffix":""},{"dropping-particle":"","family":"Bilgili","given":"Memet Ersan","non-dropping-particle":"","parse-names":false,"suffix":""},{"dropping-particle":"","family":"Karabudak Abuaf","given":"Ozlem","non-dropping-particle":"","parse-names":false,"suffix":""}],"container-title":"International Journal of Dermatology","id":"ITEM-1","issue":"2","issued":{"date-parts":[["2016"]]},"page":"232-237","title":"A prospective randomized controlled trial assessing the efficacy of adjunctive hyperbaric oxygen therapy in the treatment of hidradenitis suppurativa","type":"article-journal","volume":"55"},"uris":["http://www.mendeley.com/documents/?uuid=bc2e3e0a-235c-4928-883b-3d2d27e6e61f"]}],"mendeley":{"formattedCitation":"(8)","plainTextFormattedCitation":"(8)","previouslyFormattedCitation":"(8)"},"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002532FB" w:rsidRPr="002532FB">
              <w:rPr>
                <w:rFonts w:ascii="Times New Roman" w:hAnsi="Times New Roman" w:cs="Times New Roman"/>
                <w:bCs/>
                <w:i w:val="0"/>
                <w:iCs w:val="0"/>
                <w:noProof/>
                <w:sz w:val="22"/>
                <w:szCs w:val="22"/>
              </w:rPr>
              <w:t>[8]</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0" w:type="auto"/>
          </w:tcPr>
          <w:p w14:paraId="7115BF0B"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43</w:t>
            </w:r>
          </w:p>
        </w:tc>
        <w:tc>
          <w:tcPr>
            <w:tcW w:w="0" w:type="auto"/>
          </w:tcPr>
          <w:p w14:paraId="6A4F09B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2012-2014</w:t>
            </w:r>
          </w:p>
        </w:tc>
        <w:tc>
          <w:tcPr>
            <w:tcW w:w="0" w:type="auto"/>
          </w:tcPr>
          <w:p w14:paraId="7534DA7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Turkey </w:t>
            </w:r>
          </w:p>
        </w:tc>
        <w:tc>
          <w:tcPr>
            <w:tcW w:w="1594" w:type="dxa"/>
          </w:tcPr>
          <w:p w14:paraId="07AD11E6"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Hyperbaric oxygen, oral clindamycin + rifampin</w:t>
            </w:r>
          </w:p>
        </w:tc>
        <w:tc>
          <w:tcPr>
            <w:tcW w:w="0" w:type="auto"/>
          </w:tcPr>
          <w:p w14:paraId="159446F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Oral clindamycin +rifampin</w:t>
            </w:r>
          </w:p>
        </w:tc>
        <w:tc>
          <w:tcPr>
            <w:tcW w:w="0" w:type="auto"/>
          </w:tcPr>
          <w:p w14:paraId="74729A10"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None</w:t>
            </w:r>
          </w:p>
        </w:tc>
        <w:tc>
          <w:tcPr>
            <w:tcW w:w="2164" w:type="dxa"/>
          </w:tcPr>
          <w:p w14:paraId="6B8D4415"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NR</w:t>
            </w:r>
          </w:p>
        </w:tc>
        <w:tc>
          <w:tcPr>
            <w:tcW w:w="1989" w:type="dxa"/>
          </w:tcPr>
          <w:p w14:paraId="2579C59A"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NR</w:t>
            </w:r>
          </w:p>
        </w:tc>
      </w:tr>
      <w:tr w:rsidR="00546494" w:rsidRPr="00A3251B" w14:paraId="6145C359"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18FD0782" w14:textId="724D93F5"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Wilden</w:t>
            </w:r>
            <w:r w:rsidRPr="002532FB">
              <w:rPr>
                <w:rFonts w:ascii="Times New Roman" w:hAnsi="Times New Roman" w:cs="Times New Roman"/>
                <w:b/>
                <w:bCs/>
                <w:sz w:val="22"/>
                <w:szCs w:val="22"/>
              </w:rPr>
              <w:fldChar w:fldCharType="begin" w:fldLock="1"/>
            </w:r>
            <w:r w:rsidR="00D84DAE" w:rsidRPr="002532FB">
              <w:rPr>
                <w:rFonts w:ascii="Times New Roman" w:hAnsi="Times New Roman" w:cs="Times New Roman"/>
                <w:b/>
                <w:bCs/>
                <w:i w:val="0"/>
                <w:iCs w:val="0"/>
                <w:sz w:val="22"/>
                <w:szCs w:val="22"/>
              </w:rPr>
              <w:instrText>ADDIN CSL_CITATION {"citationItems":[{"id":"ITEM-1","itemData":{"DOI":"10.1080/09546634.2019.1677842","ISSN":"14711753","PMID":"31609667","abstract":"Background: Hidradenitis suppurativa is a chronic inflammatory disease with high burden. Treatment options are often unsatisfactory. We assessed the effect of a combination therapy of intense pulsed light (IPL) and radiofrequency (RF). Methods: The explorative study included 47 patients and was performed as a prospective, monocentric, randomized, three-arm parallel-group design trial with a prior 12 weeks observation period. Treatment arms were IPL and RF monotherapies or IPL + RF combination therapy. After 12 weeks, all patients received IPL + RF for additional 12 weeks (cross-over). Primary endpoint was the change in active lesion numbers, secondary endpoint the change in Dermatology Quality of Life Index (DLQI). Results: After 12 weeks, active lesion counts of the IPL + RF group decreased more than in the IPL group (p =.044); the decrease in DLQI was significantly higher in the IPL + RF and RF groups compared to IPL. Prolonged 24-week treatment with IPL + RF obtained better results as 12 weeks. Overall, disease burden after 24 weeks of treatment compared to disease fluctuation during the observation period was significantly lower (change in active lesions −3.6, p =.001; in DLQI −5.2, p =.003). Conclusions: IPL + RF treatment appears to represent a promising therapeutic option that leads to reduction of disease activity without severe side effects.","author":[{"dropping-particle":"","family":"Wilden","given":"Sophia","non-dropping-particle":"","parse-names":false,"suffix":""},{"dropping-particle":"","family":"Friis","given":"Marina","non-dropping-particle":"","parse-names":false,"suffix":""},{"dropping-particle":"","family":"Tuettenberg","given":"Andrea","non-dropping-particle":"","parse-names":false,"suffix":""},{"dropping-particle":"","family":"Staubach-Renz","given":"Petra","non-dropping-particle":"","parse-names":false,"suffix":""},{"dropping-particle":"","family":"Wegner","given":"Joanna","non-dropping-particle":"","parse-names":false,"suffix":""},{"dropping-particle":"","family":"Grabbe","given":"Stephan","non-dropping-particle":"","parse-names":false,"suffix":""},{"dropping-particle":"","family":"Stebut","given":"Esther","non-dropping-particle":"von","parse-names":false,"suffix":""}],"container-title":"Journal of Dermatological Treatment","id":"ITEM-1","issue":"5","issued":{"date-parts":[["2021"]]},"page":"530-537","title":"Combined treatment of hidradenitis suppurativa with intense pulsed light (IPL) and radiofrequency (RF)","type":"article-journal","volume":"32"},"uris":["http://www.mendeley.com/documents/?uuid=177e52e5-bc2e-4da0-baa0-ec028a2d751a"]}],"mendeley":{"formattedCitation":"(9)","plainTextFormattedCitation":"(9)","previouslyFormattedCitation":"(9)"},"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002532FB" w:rsidRPr="002532FB">
              <w:rPr>
                <w:rFonts w:ascii="Times New Roman" w:hAnsi="Times New Roman" w:cs="Times New Roman"/>
                <w:bCs/>
                <w:i w:val="0"/>
                <w:iCs w:val="0"/>
                <w:noProof/>
                <w:sz w:val="22"/>
                <w:szCs w:val="22"/>
              </w:rPr>
              <w:t>[9]</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0" w:type="auto"/>
          </w:tcPr>
          <w:p w14:paraId="3E15B7E8"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43</w:t>
            </w:r>
          </w:p>
        </w:tc>
        <w:tc>
          <w:tcPr>
            <w:tcW w:w="0" w:type="auto"/>
          </w:tcPr>
          <w:p w14:paraId="623D032A"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2014-2015</w:t>
            </w:r>
          </w:p>
        </w:tc>
        <w:tc>
          <w:tcPr>
            <w:tcW w:w="0" w:type="auto"/>
          </w:tcPr>
          <w:p w14:paraId="59AF51D3"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Germany </w:t>
            </w:r>
          </w:p>
        </w:tc>
        <w:tc>
          <w:tcPr>
            <w:tcW w:w="1594" w:type="dxa"/>
          </w:tcPr>
          <w:p w14:paraId="35E2F74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IPL+RF (</w:t>
            </w:r>
            <w:proofErr w:type="spellStart"/>
            <w:r w:rsidRPr="00A3251B">
              <w:rPr>
                <w:rFonts w:ascii="Times New Roman" w:hAnsi="Times New Roman" w:cs="Times New Roman"/>
                <w:sz w:val="22"/>
                <w:szCs w:val="22"/>
              </w:rPr>
              <w:t>LAight</w:t>
            </w:r>
            <w:proofErr w:type="spellEnd"/>
            <w:r w:rsidRPr="00A3251B">
              <w:rPr>
                <w:rFonts w:ascii="Times New Roman" w:hAnsi="Times New Roman" w:cs="Times New Roman"/>
                <w:sz w:val="22"/>
                <w:szCs w:val="22"/>
              </w:rPr>
              <w:t>®)</w:t>
            </w:r>
          </w:p>
        </w:tc>
        <w:tc>
          <w:tcPr>
            <w:tcW w:w="0" w:type="auto"/>
          </w:tcPr>
          <w:p w14:paraId="5F3425C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RF or IPL</w:t>
            </w:r>
          </w:p>
        </w:tc>
        <w:tc>
          <w:tcPr>
            <w:tcW w:w="0" w:type="auto"/>
          </w:tcPr>
          <w:p w14:paraId="6E9ACAE3"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vertAlign w:val="superscript"/>
              </w:rPr>
            </w:pPr>
            <w:proofErr w:type="spellStart"/>
            <w:r w:rsidRPr="00A3251B">
              <w:rPr>
                <w:rFonts w:ascii="Times New Roman" w:hAnsi="Times New Roman" w:cs="Times New Roman"/>
                <w:sz w:val="22"/>
                <w:szCs w:val="22"/>
              </w:rPr>
              <w:t>Double</w:t>
            </w:r>
            <w:r w:rsidRPr="00A3251B">
              <w:rPr>
                <w:rFonts w:ascii="Times New Roman" w:hAnsi="Times New Roman" w:cs="Times New Roman"/>
                <w:sz w:val="22"/>
                <w:szCs w:val="22"/>
                <w:vertAlign w:val="superscript"/>
              </w:rPr>
              <w:t>a</w:t>
            </w:r>
            <w:proofErr w:type="spellEnd"/>
          </w:p>
        </w:tc>
        <w:tc>
          <w:tcPr>
            <w:tcW w:w="2164" w:type="dxa"/>
          </w:tcPr>
          <w:p w14:paraId="4366671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Number of inflammatory nodules, abscesses, and draining fistulae</w:t>
            </w:r>
          </w:p>
        </w:tc>
        <w:tc>
          <w:tcPr>
            <w:tcW w:w="1989" w:type="dxa"/>
          </w:tcPr>
          <w:p w14:paraId="4A8EBF1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Industry Partnership </w:t>
            </w:r>
          </w:p>
        </w:tc>
      </w:tr>
      <w:tr w:rsidR="00546494" w:rsidRPr="00A3251B" w14:paraId="51082D71"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C64200C" w14:textId="4E2A04DB"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Grant</w:t>
            </w:r>
            <w:r w:rsidRPr="002532FB">
              <w:rPr>
                <w:rFonts w:ascii="Times New Roman" w:hAnsi="Times New Roman" w:cs="Times New Roman"/>
                <w:bCs/>
                <w:sz w:val="22"/>
                <w:szCs w:val="22"/>
              </w:rPr>
              <w:fldChar w:fldCharType="begin" w:fldLock="1"/>
            </w:r>
            <w:r w:rsidR="00813B26" w:rsidRPr="002532FB">
              <w:rPr>
                <w:rFonts w:ascii="Times New Roman" w:hAnsi="Times New Roman" w:cs="Times New Roman"/>
                <w:bCs/>
                <w:i w:val="0"/>
                <w:iCs w:val="0"/>
                <w:sz w:val="22"/>
                <w:szCs w:val="22"/>
              </w:rPr>
              <w:instrText>ADDIN CSL_CITATION {"citationItems":[{"id":"ITEM-1","itemData":{"DOI":"10.1016/j.jaad.2009.06.050","ISSN":"01909622","PMID":"20115947","abstract":"Background: Biologic therapies with anti-tumor necrosis factor agents are promising treatments for hidradenitis suppurativa (HS). Objective: We assessed the efficacy and safety of infliximab (IFX) for the treatment of moderate to severe HS. Methods: A prospective double-blind treatment phase of 8 weeks where patients received IFX or placebo was followed by an open-label phase where patients taking placebo were given the opportunity to cross over to IFX, and an observational phase. Primary treatment efficacy was based on HS Severity Index. Secondary end points included Dermatology Life Quality Index, visual analog scale, and Physician Global Assessment scores. Inflammatory markers erythrocyte sedimentation rate and C-reactive protein were also assessed. Results: More patients in the IFX than in the placebo group showed a 50% or greater decrease from baseline HS Severity Index score. In addition, statistically and clinically significant improvement from baseline was observed at week 8 in Dermatology Life Quality Index score, visual analog scale score, erythrocyte sedimentation rate, and C-reactive protein compared with placebo. Patients in the placebo group treated with IFX after week 8 (crossover) responded similarly to the original IFX group. Many patients withdrew during the observational phase to continue anti-tumor necrosis factor-alfa therapy. No unexpected serious adverse events were observed. Limitations: Results are representative of a single center, patients were treated by a single physician, some patients did not return after their last infusion, and the HS Severity Index requires validation. Conclusions: This clinical study represents the first formal assessment of IFX for treatment of moderate to severe HS. IFX was well tolerated, no unexpected safety issues were identified, and improvements in pain intensity, disease severity, and quality of life were demonstrated with concomitant reduction in clinical markers of inflammation. © 2009 American Academy of Dermatology, Inc.","author":[{"dropping-particle":"","family":"Grant","given":"Annika","non-dropping-particle":"","parse-names":false,"suffix":""},{"dropping-particle":"","family":"Gonzalez","given":"Tayler","non-dropping-particle":"","parse-names":false,"suffix":""},{"dropping-particle":"","family":"Montgomery","given":"Michael O.","non-dropping-particle":"","parse-names":false,"suffix":""},{"dropping-particle":"","family":"Cardenas","given":"Vanessa","non-dropping-particle":"","parse-names":false,"suffix":""},{"dropping-particle":"","family":"Kerdel","given":"Francisco A.","non-dropping-particle":"","parse-names":false,"suffix":""}],"container-title":"Journal of the American Academy of Dermatology","id":"ITEM-1","issued":{"date-parts":[["2010"]]},"title":"Infliximab therapy for patients with moderate to severe hidradenitis suppurativa: A randomized, double-blind, placebo-controlled crossover trial","type":"article-journal"},"uris":["http://www.mendeley.com/documents/?uuid=4ac4371a-2ee1-48b1-b0a0-67442a4dcf98"]}],"mendeley":{"formattedCitation":"(10)","plainTextFormattedCitation":"(10)","previouslyFormattedCitation":"(10)"},"properties":{"noteIndex":0},"schema":"https://github.com/citation-style-language/schema/raw/master/csl-citation.json"}</w:instrText>
            </w:r>
            <w:r w:rsidRPr="002532FB">
              <w:rPr>
                <w:rFonts w:ascii="Times New Roman" w:hAnsi="Times New Roman" w:cs="Times New Roman"/>
                <w:bCs/>
                <w:sz w:val="22"/>
                <w:szCs w:val="22"/>
              </w:rPr>
              <w:fldChar w:fldCharType="separate"/>
            </w:r>
            <w:r w:rsidR="002532FB" w:rsidRPr="002532FB">
              <w:rPr>
                <w:rFonts w:ascii="Times New Roman" w:hAnsi="Times New Roman" w:cs="Times New Roman"/>
                <w:bCs/>
                <w:i w:val="0"/>
                <w:sz w:val="22"/>
                <w:szCs w:val="22"/>
              </w:rPr>
              <w:t>[10]</w:t>
            </w:r>
            <w:r w:rsidRPr="002532FB">
              <w:rPr>
                <w:rFonts w:ascii="Times New Roman" w:hAnsi="Times New Roman" w:cs="Times New Roman"/>
                <w:bCs/>
                <w:sz w:val="22"/>
                <w:szCs w:val="22"/>
              </w:rPr>
              <w:fldChar w:fldCharType="end"/>
            </w:r>
            <w:r w:rsidRPr="002532FB">
              <w:rPr>
                <w:rFonts w:ascii="Times New Roman" w:hAnsi="Times New Roman" w:cs="Times New Roman"/>
                <w:b/>
                <w:bCs/>
                <w:i w:val="0"/>
                <w:iCs w:val="0"/>
                <w:sz w:val="22"/>
                <w:szCs w:val="22"/>
              </w:rPr>
              <w:t xml:space="preserve"> </w:t>
            </w:r>
          </w:p>
        </w:tc>
        <w:tc>
          <w:tcPr>
            <w:tcW w:w="0" w:type="auto"/>
          </w:tcPr>
          <w:p w14:paraId="382E49B9"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38</w:t>
            </w:r>
          </w:p>
        </w:tc>
        <w:tc>
          <w:tcPr>
            <w:tcW w:w="0" w:type="auto"/>
          </w:tcPr>
          <w:p w14:paraId="62CEFE1E"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2005-2008</w:t>
            </w:r>
          </w:p>
        </w:tc>
        <w:tc>
          <w:tcPr>
            <w:tcW w:w="0" w:type="auto"/>
          </w:tcPr>
          <w:p w14:paraId="39F7C2C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USA</w:t>
            </w:r>
          </w:p>
        </w:tc>
        <w:tc>
          <w:tcPr>
            <w:tcW w:w="1594" w:type="dxa"/>
          </w:tcPr>
          <w:p w14:paraId="70F82C20"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Infliximab</w:t>
            </w:r>
          </w:p>
        </w:tc>
        <w:tc>
          <w:tcPr>
            <w:tcW w:w="0" w:type="auto"/>
          </w:tcPr>
          <w:p w14:paraId="7BC1ADAD"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5030AEF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76B55A4C" w14:textId="08A4A0BD"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HSSI</w:t>
            </w:r>
            <w:r w:rsidR="002532FB">
              <w:rPr>
                <w:rFonts w:ascii="Times New Roman" w:hAnsi="Times New Roman" w:cs="Times New Roman"/>
                <w:sz w:val="22"/>
                <w:szCs w:val="22"/>
              </w:rPr>
              <w:t>[4,11]</w:t>
            </w:r>
          </w:p>
        </w:tc>
        <w:tc>
          <w:tcPr>
            <w:tcW w:w="1989" w:type="dxa"/>
          </w:tcPr>
          <w:p w14:paraId="26561FA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6DE1C930"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41C42C9B" w14:textId="361668E6"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Naouri</w:t>
            </w:r>
            <w:proofErr w:type="spellEnd"/>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12]</w:t>
            </w:r>
          </w:p>
        </w:tc>
        <w:tc>
          <w:tcPr>
            <w:tcW w:w="0" w:type="auto"/>
          </w:tcPr>
          <w:p w14:paraId="1DF00702"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36</w:t>
            </w:r>
          </w:p>
        </w:tc>
        <w:tc>
          <w:tcPr>
            <w:tcW w:w="0" w:type="auto"/>
          </w:tcPr>
          <w:p w14:paraId="1C49A342"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vertAlign w:val="superscript"/>
              </w:rPr>
            </w:pPr>
            <w:r w:rsidRPr="00A3251B">
              <w:rPr>
                <w:rFonts w:ascii="Times New Roman" w:hAnsi="Times New Roman" w:cs="Times New Roman"/>
                <w:sz w:val="22"/>
                <w:szCs w:val="22"/>
              </w:rPr>
              <w:t>2021</w:t>
            </w:r>
            <w:r w:rsidRPr="00A3251B">
              <w:rPr>
                <w:rFonts w:ascii="Times New Roman" w:hAnsi="Times New Roman" w:cs="Times New Roman"/>
                <w:sz w:val="22"/>
                <w:szCs w:val="22"/>
                <w:vertAlign w:val="superscript"/>
              </w:rPr>
              <w:t>c</w:t>
            </w:r>
          </w:p>
        </w:tc>
        <w:tc>
          <w:tcPr>
            <w:tcW w:w="0" w:type="auto"/>
          </w:tcPr>
          <w:p w14:paraId="5008D20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France </w:t>
            </w:r>
          </w:p>
        </w:tc>
        <w:tc>
          <w:tcPr>
            <w:tcW w:w="1594" w:type="dxa"/>
          </w:tcPr>
          <w:p w14:paraId="7D6F039A"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Nd:YAG</w:t>
            </w:r>
            <w:proofErr w:type="spellEnd"/>
            <w:r w:rsidRPr="00A3251B">
              <w:rPr>
                <w:rFonts w:ascii="Times New Roman" w:hAnsi="Times New Roman" w:cs="Times New Roman"/>
                <w:sz w:val="22"/>
                <w:szCs w:val="22"/>
              </w:rPr>
              <w:t xml:space="preserve"> laser (1064 nm)</w:t>
            </w:r>
          </w:p>
        </w:tc>
        <w:tc>
          <w:tcPr>
            <w:tcW w:w="0" w:type="auto"/>
          </w:tcPr>
          <w:p w14:paraId="26EA24B5"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No treatment on contralateral side </w:t>
            </w:r>
          </w:p>
        </w:tc>
        <w:tc>
          <w:tcPr>
            <w:tcW w:w="0" w:type="auto"/>
          </w:tcPr>
          <w:p w14:paraId="7F8EEDA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Single </w:t>
            </w:r>
          </w:p>
        </w:tc>
        <w:tc>
          <w:tcPr>
            <w:tcW w:w="2164" w:type="dxa"/>
          </w:tcPr>
          <w:p w14:paraId="2940C8F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Number of inflammatory lesions </w:t>
            </w:r>
          </w:p>
        </w:tc>
        <w:tc>
          <w:tcPr>
            <w:tcW w:w="1989" w:type="dxa"/>
          </w:tcPr>
          <w:p w14:paraId="356B3BC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5782910C"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9F02C9A" w14:textId="06FA8968"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Fajgenbaum</w:t>
            </w:r>
            <w:proofErr w:type="spellEnd"/>
            <w:r w:rsidR="002532FB" w:rsidRPr="002532FB">
              <w:rPr>
                <w:rFonts w:ascii="Times New Roman" w:hAnsi="Times New Roman" w:cs="Times New Roman"/>
                <w:bCs/>
                <w:i w:val="0"/>
                <w:sz w:val="22"/>
                <w:szCs w:val="22"/>
              </w:rPr>
              <w:t>[13]</w:t>
            </w:r>
            <w:r w:rsidRPr="002532FB">
              <w:rPr>
                <w:rFonts w:ascii="Times New Roman" w:hAnsi="Times New Roman" w:cs="Times New Roman"/>
                <w:b/>
                <w:bCs/>
                <w:i w:val="0"/>
                <w:iCs w:val="0"/>
                <w:sz w:val="22"/>
                <w:szCs w:val="22"/>
              </w:rPr>
              <w:t xml:space="preserve"> </w:t>
            </w:r>
          </w:p>
        </w:tc>
        <w:tc>
          <w:tcPr>
            <w:tcW w:w="0" w:type="auto"/>
          </w:tcPr>
          <w:p w14:paraId="5DEBD4A7"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32</w:t>
            </w:r>
          </w:p>
        </w:tc>
        <w:tc>
          <w:tcPr>
            <w:tcW w:w="0" w:type="auto"/>
          </w:tcPr>
          <w:p w14:paraId="3B49FA2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2016-2017</w:t>
            </w:r>
          </w:p>
        </w:tc>
        <w:tc>
          <w:tcPr>
            <w:tcW w:w="0" w:type="auto"/>
          </w:tcPr>
          <w:p w14:paraId="200EDB8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USA</w:t>
            </w:r>
          </w:p>
        </w:tc>
        <w:tc>
          <w:tcPr>
            <w:tcW w:w="1594" w:type="dxa"/>
          </w:tcPr>
          <w:p w14:paraId="75087B5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Intralesional triamcinolone</w:t>
            </w:r>
          </w:p>
        </w:tc>
        <w:tc>
          <w:tcPr>
            <w:tcW w:w="0" w:type="auto"/>
          </w:tcPr>
          <w:p w14:paraId="6170CCBD"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Saline injection </w:t>
            </w:r>
          </w:p>
        </w:tc>
        <w:tc>
          <w:tcPr>
            <w:tcW w:w="0" w:type="auto"/>
          </w:tcPr>
          <w:p w14:paraId="3F6B4C8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1264613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Days to resolution of lesions, pain reduction</w:t>
            </w:r>
          </w:p>
        </w:tc>
        <w:tc>
          <w:tcPr>
            <w:tcW w:w="1989" w:type="dxa"/>
          </w:tcPr>
          <w:p w14:paraId="2FF14F7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1FA79926"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47036D20" w14:textId="1007D8A7"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Angel</w:t>
            </w:r>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14]</w:t>
            </w:r>
            <w:r w:rsidRPr="002532FB">
              <w:rPr>
                <w:rFonts w:ascii="Times New Roman" w:hAnsi="Times New Roman" w:cs="Times New Roman"/>
                <w:b/>
                <w:bCs/>
                <w:i w:val="0"/>
                <w:iCs w:val="0"/>
                <w:sz w:val="22"/>
                <w:szCs w:val="22"/>
              </w:rPr>
              <w:t xml:space="preserve"> </w:t>
            </w:r>
          </w:p>
        </w:tc>
        <w:tc>
          <w:tcPr>
            <w:tcW w:w="0" w:type="auto"/>
          </w:tcPr>
          <w:p w14:paraId="697E3073"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31</w:t>
            </w:r>
          </w:p>
        </w:tc>
        <w:tc>
          <w:tcPr>
            <w:tcW w:w="0" w:type="auto"/>
          </w:tcPr>
          <w:p w14:paraId="2915A51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1987</w:t>
            </w:r>
            <w:r w:rsidRPr="00A3251B">
              <w:rPr>
                <w:rFonts w:ascii="Times New Roman" w:hAnsi="Times New Roman" w:cs="Times New Roman"/>
                <w:sz w:val="22"/>
                <w:szCs w:val="22"/>
                <w:vertAlign w:val="superscript"/>
              </w:rPr>
              <w:t>c</w:t>
            </w:r>
            <w:r w:rsidRPr="00A3251B" w:rsidDel="00CB4035">
              <w:rPr>
                <w:rFonts w:ascii="Times New Roman" w:hAnsi="Times New Roman" w:cs="Times New Roman"/>
                <w:sz w:val="22"/>
                <w:szCs w:val="22"/>
              </w:rPr>
              <w:t xml:space="preserve"> </w:t>
            </w:r>
          </w:p>
        </w:tc>
        <w:tc>
          <w:tcPr>
            <w:tcW w:w="0" w:type="auto"/>
          </w:tcPr>
          <w:p w14:paraId="3E6B19C1"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NR</w:t>
            </w:r>
          </w:p>
        </w:tc>
        <w:tc>
          <w:tcPr>
            <w:tcW w:w="1594" w:type="dxa"/>
          </w:tcPr>
          <w:p w14:paraId="2DC7D602"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Staphage</w:t>
            </w:r>
            <w:proofErr w:type="spellEnd"/>
            <w:r w:rsidRPr="00A3251B">
              <w:rPr>
                <w:rFonts w:ascii="Times New Roman" w:hAnsi="Times New Roman" w:cs="Times New Roman"/>
                <w:sz w:val="22"/>
                <w:szCs w:val="22"/>
              </w:rPr>
              <w:t xml:space="preserve"> lysate</w:t>
            </w:r>
          </w:p>
        </w:tc>
        <w:tc>
          <w:tcPr>
            <w:tcW w:w="0" w:type="auto"/>
          </w:tcPr>
          <w:p w14:paraId="6669DCD9"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064A4DAC"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6B9274F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Decrease in "point system" used to grade severity</w:t>
            </w:r>
          </w:p>
        </w:tc>
        <w:tc>
          <w:tcPr>
            <w:tcW w:w="1989" w:type="dxa"/>
          </w:tcPr>
          <w:p w14:paraId="6C9EB58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Investigator initiated</w:t>
            </w:r>
          </w:p>
        </w:tc>
      </w:tr>
      <w:tr w:rsidR="00546494" w:rsidRPr="00A3251B" w14:paraId="7BC38C95"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7BAAFFD2" w14:textId="64BD7AA6"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Mortimer</w:t>
            </w:r>
            <w:r w:rsidR="002532FB" w:rsidRPr="002532FB">
              <w:rPr>
                <w:rFonts w:ascii="Times New Roman" w:hAnsi="Times New Roman" w:cs="Times New Roman"/>
                <w:bCs/>
                <w:i w:val="0"/>
                <w:sz w:val="22"/>
                <w:szCs w:val="22"/>
              </w:rPr>
              <w:t>[15]</w:t>
            </w:r>
          </w:p>
        </w:tc>
        <w:tc>
          <w:tcPr>
            <w:tcW w:w="0" w:type="auto"/>
          </w:tcPr>
          <w:p w14:paraId="6A252441"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24</w:t>
            </w:r>
          </w:p>
        </w:tc>
        <w:tc>
          <w:tcPr>
            <w:tcW w:w="0" w:type="auto"/>
          </w:tcPr>
          <w:p w14:paraId="2DECD35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vertAlign w:val="superscript"/>
              </w:rPr>
            </w:pPr>
            <w:r w:rsidRPr="00A3251B">
              <w:rPr>
                <w:rFonts w:ascii="Times New Roman" w:hAnsi="Times New Roman" w:cs="Times New Roman"/>
                <w:sz w:val="22"/>
                <w:szCs w:val="22"/>
              </w:rPr>
              <w:t>1986</w:t>
            </w:r>
            <w:r w:rsidRPr="00A3251B">
              <w:rPr>
                <w:rFonts w:ascii="Times New Roman" w:hAnsi="Times New Roman" w:cs="Times New Roman"/>
                <w:sz w:val="22"/>
                <w:szCs w:val="22"/>
                <w:vertAlign w:val="superscript"/>
              </w:rPr>
              <w:t>c</w:t>
            </w:r>
          </w:p>
        </w:tc>
        <w:tc>
          <w:tcPr>
            <w:tcW w:w="0" w:type="auto"/>
          </w:tcPr>
          <w:p w14:paraId="71738E02"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United Kingdom </w:t>
            </w:r>
          </w:p>
        </w:tc>
        <w:tc>
          <w:tcPr>
            <w:tcW w:w="1594" w:type="dxa"/>
          </w:tcPr>
          <w:p w14:paraId="791BDCC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Ethinyloestradiol</w:t>
            </w:r>
            <w:proofErr w:type="spellEnd"/>
            <w:r w:rsidRPr="00A3251B">
              <w:rPr>
                <w:rFonts w:ascii="Times New Roman" w:hAnsi="Times New Roman" w:cs="Times New Roman"/>
                <w:sz w:val="22"/>
                <w:szCs w:val="22"/>
              </w:rPr>
              <w:t xml:space="preserve"> + </w:t>
            </w:r>
            <w:proofErr w:type="spellStart"/>
            <w:r w:rsidRPr="00A3251B">
              <w:rPr>
                <w:rFonts w:ascii="Times New Roman" w:hAnsi="Times New Roman" w:cs="Times New Roman"/>
                <w:sz w:val="22"/>
                <w:szCs w:val="22"/>
              </w:rPr>
              <w:t>cyproterone</w:t>
            </w:r>
            <w:proofErr w:type="spellEnd"/>
            <w:r w:rsidRPr="00A3251B">
              <w:rPr>
                <w:rFonts w:ascii="Times New Roman" w:hAnsi="Times New Roman" w:cs="Times New Roman"/>
                <w:sz w:val="22"/>
                <w:szCs w:val="22"/>
              </w:rPr>
              <w:t xml:space="preserve"> acetate</w:t>
            </w:r>
          </w:p>
        </w:tc>
        <w:tc>
          <w:tcPr>
            <w:tcW w:w="0" w:type="auto"/>
          </w:tcPr>
          <w:p w14:paraId="3CF1E0D0"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Ethinyloestradiol</w:t>
            </w:r>
            <w:proofErr w:type="spellEnd"/>
            <w:r w:rsidRPr="00A3251B">
              <w:rPr>
                <w:rFonts w:ascii="Times New Roman" w:hAnsi="Times New Roman" w:cs="Times New Roman"/>
                <w:sz w:val="22"/>
                <w:szCs w:val="22"/>
              </w:rPr>
              <w:t xml:space="preserve"> + </w:t>
            </w:r>
            <w:proofErr w:type="spellStart"/>
            <w:r w:rsidRPr="00A3251B">
              <w:rPr>
                <w:rFonts w:ascii="Times New Roman" w:hAnsi="Times New Roman" w:cs="Times New Roman"/>
                <w:sz w:val="22"/>
                <w:szCs w:val="22"/>
              </w:rPr>
              <w:t>norgestrel</w:t>
            </w:r>
            <w:proofErr w:type="spellEnd"/>
          </w:p>
        </w:tc>
        <w:tc>
          <w:tcPr>
            <w:tcW w:w="0" w:type="auto"/>
          </w:tcPr>
          <w:p w14:paraId="264A64A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0F04336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NR</w:t>
            </w:r>
          </w:p>
        </w:tc>
        <w:tc>
          <w:tcPr>
            <w:tcW w:w="1989" w:type="dxa"/>
          </w:tcPr>
          <w:p w14:paraId="2F3412D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Industry Partnership </w:t>
            </w:r>
          </w:p>
        </w:tc>
      </w:tr>
      <w:tr w:rsidR="00546494" w:rsidRPr="00A3251B" w14:paraId="16D396A3"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17F51F1A" w14:textId="332031D3" w:rsidR="00546494" w:rsidRPr="002532FB" w:rsidRDefault="00546494" w:rsidP="00D84DAE">
            <w:pPr>
              <w:rPr>
                <w:rFonts w:ascii="Times New Roman" w:hAnsi="Times New Roman" w:cs="Times New Roman"/>
                <w:b/>
                <w:bCs/>
                <w:i w:val="0"/>
                <w:sz w:val="22"/>
                <w:szCs w:val="22"/>
              </w:rPr>
            </w:pPr>
            <w:r w:rsidRPr="002532FB">
              <w:rPr>
                <w:rFonts w:ascii="Times New Roman" w:hAnsi="Times New Roman" w:cs="Times New Roman"/>
                <w:b/>
                <w:bCs/>
                <w:i w:val="0"/>
                <w:iCs w:val="0"/>
                <w:sz w:val="22"/>
                <w:szCs w:val="22"/>
              </w:rPr>
              <w:t>Andersen</w:t>
            </w:r>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16]</w:t>
            </w:r>
          </w:p>
        </w:tc>
        <w:tc>
          <w:tcPr>
            <w:tcW w:w="0" w:type="auto"/>
          </w:tcPr>
          <w:p w14:paraId="31B6DC5F"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24</w:t>
            </w:r>
            <w:r w:rsidRPr="00A3251B">
              <w:rPr>
                <w:rFonts w:ascii="Times New Roman" w:hAnsi="Times New Roman" w:cs="Times New Roman"/>
                <w:sz w:val="22"/>
                <w:szCs w:val="22"/>
                <w:vertAlign w:val="superscript"/>
              </w:rPr>
              <w:t>d</w:t>
            </w:r>
          </w:p>
        </w:tc>
        <w:tc>
          <w:tcPr>
            <w:tcW w:w="0" w:type="auto"/>
          </w:tcPr>
          <w:p w14:paraId="4F30FDA1"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2017-2018</w:t>
            </w:r>
          </w:p>
        </w:tc>
        <w:tc>
          <w:tcPr>
            <w:tcW w:w="0" w:type="auto"/>
          </w:tcPr>
          <w:p w14:paraId="257EF08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Denmark</w:t>
            </w:r>
          </w:p>
        </w:tc>
        <w:tc>
          <w:tcPr>
            <w:tcW w:w="1594" w:type="dxa"/>
          </w:tcPr>
          <w:p w14:paraId="11DDC86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IPL (Palomar </w:t>
            </w:r>
            <w:proofErr w:type="spellStart"/>
            <w:r w:rsidRPr="00A3251B">
              <w:rPr>
                <w:rFonts w:ascii="Times New Roman" w:hAnsi="Times New Roman" w:cs="Times New Roman"/>
                <w:sz w:val="22"/>
                <w:szCs w:val="22"/>
              </w:rPr>
              <w:t>LuxY</w:t>
            </w:r>
            <w:proofErr w:type="spellEnd"/>
            <w:r w:rsidRPr="00A3251B">
              <w:rPr>
                <w:rFonts w:ascii="Times New Roman" w:hAnsi="Times New Roman" w:cs="Times New Roman"/>
                <w:sz w:val="22"/>
                <w:szCs w:val="22"/>
              </w:rPr>
              <w:t>, Series II, Cynosure Inc)</w:t>
            </w:r>
          </w:p>
        </w:tc>
        <w:tc>
          <w:tcPr>
            <w:tcW w:w="0" w:type="auto"/>
          </w:tcPr>
          <w:p w14:paraId="045EDA96"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No treatment on contralateral side  </w:t>
            </w:r>
          </w:p>
        </w:tc>
        <w:tc>
          <w:tcPr>
            <w:tcW w:w="0" w:type="auto"/>
          </w:tcPr>
          <w:p w14:paraId="45F46FE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Single</w:t>
            </w:r>
          </w:p>
        </w:tc>
        <w:tc>
          <w:tcPr>
            <w:tcW w:w="2164" w:type="dxa"/>
          </w:tcPr>
          <w:p w14:paraId="4D76C338" w14:textId="4AE1B91F"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HiSCR</w:t>
            </w:r>
            <w:proofErr w:type="spellEnd"/>
            <w:r w:rsidR="002532FB">
              <w:rPr>
                <w:rFonts w:ascii="Times New Roman" w:hAnsi="Times New Roman" w:cs="Times New Roman"/>
                <w:sz w:val="22"/>
                <w:szCs w:val="22"/>
              </w:rPr>
              <w:t>[2]</w:t>
            </w:r>
          </w:p>
        </w:tc>
        <w:tc>
          <w:tcPr>
            <w:tcW w:w="1989" w:type="dxa"/>
          </w:tcPr>
          <w:p w14:paraId="602C194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1AC7EB81"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E46A1C3" w14:textId="5BF47389"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lastRenderedPageBreak/>
              <w:t>Mahmoud</w:t>
            </w:r>
            <w:r w:rsidR="002532FB" w:rsidRPr="002532FB">
              <w:rPr>
                <w:rFonts w:ascii="Times New Roman" w:hAnsi="Times New Roman" w:cs="Times New Roman"/>
                <w:bCs/>
                <w:i w:val="0"/>
                <w:sz w:val="22"/>
                <w:szCs w:val="22"/>
              </w:rPr>
              <w:t>[17.18]</w:t>
            </w:r>
            <w:r w:rsidRPr="002532FB">
              <w:rPr>
                <w:rFonts w:ascii="Times New Roman" w:hAnsi="Times New Roman" w:cs="Times New Roman"/>
                <w:b/>
                <w:bCs/>
                <w:i w:val="0"/>
                <w:iCs w:val="0"/>
                <w:sz w:val="22"/>
                <w:szCs w:val="22"/>
              </w:rPr>
              <w:t xml:space="preserve"> </w:t>
            </w:r>
          </w:p>
        </w:tc>
        <w:tc>
          <w:tcPr>
            <w:tcW w:w="0" w:type="auto"/>
          </w:tcPr>
          <w:p w14:paraId="06B898AD"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22</w:t>
            </w:r>
          </w:p>
        </w:tc>
        <w:tc>
          <w:tcPr>
            <w:tcW w:w="0" w:type="auto"/>
          </w:tcPr>
          <w:p w14:paraId="72C5C85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2007-2009</w:t>
            </w:r>
          </w:p>
        </w:tc>
        <w:tc>
          <w:tcPr>
            <w:tcW w:w="0" w:type="auto"/>
          </w:tcPr>
          <w:p w14:paraId="28A4755F"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USA </w:t>
            </w:r>
          </w:p>
        </w:tc>
        <w:tc>
          <w:tcPr>
            <w:tcW w:w="1594" w:type="dxa"/>
          </w:tcPr>
          <w:p w14:paraId="4837926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Nd:YAG</w:t>
            </w:r>
            <w:proofErr w:type="spellEnd"/>
            <w:r w:rsidRPr="00A3251B">
              <w:rPr>
                <w:rFonts w:ascii="Times New Roman" w:hAnsi="Times New Roman" w:cs="Times New Roman"/>
                <w:sz w:val="22"/>
                <w:szCs w:val="22"/>
              </w:rPr>
              <w:t xml:space="preserve"> laser (1064 nm) + Topical clindamycin and BPO</w:t>
            </w:r>
          </w:p>
        </w:tc>
        <w:tc>
          <w:tcPr>
            <w:tcW w:w="0" w:type="auto"/>
          </w:tcPr>
          <w:p w14:paraId="16F871E8"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Topical clindamycin and BPO</w:t>
            </w:r>
          </w:p>
        </w:tc>
        <w:tc>
          <w:tcPr>
            <w:tcW w:w="0" w:type="auto"/>
          </w:tcPr>
          <w:p w14:paraId="543687C1"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Single </w:t>
            </w:r>
          </w:p>
        </w:tc>
        <w:tc>
          <w:tcPr>
            <w:tcW w:w="2164" w:type="dxa"/>
          </w:tcPr>
          <w:p w14:paraId="4B02D2FA" w14:textId="0B88FDDA"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HS-LASI</w:t>
            </w:r>
            <w:r w:rsidR="002532FB">
              <w:rPr>
                <w:rFonts w:ascii="Times New Roman" w:hAnsi="Times New Roman" w:cs="Times New Roman"/>
                <w:sz w:val="22"/>
                <w:szCs w:val="22"/>
              </w:rPr>
              <w:t>[17]</w:t>
            </w:r>
          </w:p>
        </w:tc>
        <w:tc>
          <w:tcPr>
            <w:tcW w:w="1989" w:type="dxa"/>
          </w:tcPr>
          <w:p w14:paraId="46648ED2"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r w:rsidR="00546494" w:rsidRPr="00A3251B" w14:paraId="392694DD"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02A265D8" w14:textId="3806E97E"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Miller</w:t>
            </w:r>
            <w:r w:rsidR="002532FB" w:rsidRPr="002532FB">
              <w:rPr>
                <w:rFonts w:ascii="Times New Roman" w:hAnsi="Times New Roman" w:cs="Times New Roman"/>
                <w:bCs/>
                <w:i w:val="0"/>
                <w:sz w:val="22"/>
                <w:szCs w:val="22"/>
              </w:rPr>
              <w:t>[19]</w:t>
            </w:r>
            <w:r w:rsidRPr="002532FB">
              <w:rPr>
                <w:rFonts w:ascii="Times New Roman" w:hAnsi="Times New Roman" w:cs="Times New Roman"/>
                <w:b/>
                <w:bCs/>
                <w:i w:val="0"/>
                <w:iCs w:val="0"/>
                <w:sz w:val="22"/>
                <w:szCs w:val="22"/>
              </w:rPr>
              <w:t xml:space="preserve"> </w:t>
            </w:r>
          </w:p>
        </w:tc>
        <w:tc>
          <w:tcPr>
            <w:tcW w:w="0" w:type="auto"/>
          </w:tcPr>
          <w:p w14:paraId="2B29C8DE"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21</w:t>
            </w:r>
          </w:p>
        </w:tc>
        <w:tc>
          <w:tcPr>
            <w:tcW w:w="0" w:type="auto"/>
          </w:tcPr>
          <w:p w14:paraId="7D0BA55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2007-2010</w:t>
            </w:r>
          </w:p>
        </w:tc>
        <w:tc>
          <w:tcPr>
            <w:tcW w:w="0" w:type="auto"/>
          </w:tcPr>
          <w:p w14:paraId="42D40B3F"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Denmark </w:t>
            </w:r>
          </w:p>
        </w:tc>
        <w:tc>
          <w:tcPr>
            <w:tcW w:w="1594" w:type="dxa"/>
          </w:tcPr>
          <w:p w14:paraId="5BC052B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Adalimumab</w:t>
            </w:r>
          </w:p>
        </w:tc>
        <w:tc>
          <w:tcPr>
            <w:tcW w:w="0" w:type="auto"/>
          </w:tcPr>
          <w:p w14:paraId="7C3226B8"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2B0464C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629B94A3" w14:textId="754141D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Sartorius</w:t>
            </w:r>
            <w:r w:rsidR="002532FB">
              <w:rPr>
                <w:rFonts w:ascii="Times New Roman" w:hAnsi="Times New Roman" w:cs="Times New Roman"/>
                <w:sz w:val="22"/>
                <w:szCs w:val="22"/>
              </w:rPr>
              <w:t>[11]</w:t>
            </w:r>
            <w:r w:rsidRPr="00A3251B">
              <w:rPr>
                <w:rFonts w:ascii="Times New Roman" w:hAnsi="Times New Roman" w:cs="Times New Roman"/>
                <w:sz w:val="22"/>
                <w:szCs w:val="22"/>
              </w:rPr>
              <w:t>and Hurley scoring systems</w:t>
            </w:r>
          </w:p>
        </w:tc>
        <w:tc>
          <w:tcPr>
            <w:tcW w:w="1989" w:type="dxa"/>
          </w:tcPr>
          <w:p w14:paraId="05A229B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Industry Partnership</w:t>
            </w:r>
          </w:p>
        </w:tc>
      </w:tr>
      <w:tr w:rsidR="00546494" w:rsidRPr="00A3251B" w14:paraId="5E7F89A3"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829BE26" w14:textId="3F928973"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Adams</w:t>
            </w:r>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20]</w:t>
            </w:r>
            <w:r w:rsidRPr="002532FB">
              <w:rPr>
                <w:rFonts w:ascii="Times New Roman" w:hAnsi="Times New Roman" w:cs="Times New Roman"/>
                <w:b/>
                <w:bCs/>
                <w:i w:val="0"/>
                <w:iCs w:val="0"/>
                <w:sz w:val="22"/>
                <w:szCs w:val="22"/>
              </w:rPr>
              <w:t xml:space="preserve"> </w:t>
            </w:r>
          </w:p>
        </w:tc>
        <w:tc>
          <w:tcPr>
            <w:tcW w:w="0" w:type="auto"/>
          </w:tcPr>
          <w:p w14:paraId="147085CF"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w:t>
            </w:r>
          </w:p>
        </w:tc>
        <w:tc>
          <w:tcPr>
            <w:tcW w:w="0" w:type="auto"/>
          </w:tcPr>
          <w:p w14:paraId="3BCA0D0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vertAlign w:val="superscript"/>
              </w:rPr>
            </w:pPr>
            <w:r w:rsidRPr="00A3251B">
              <w:rPr>
                <w:rFonts w:ascii="Times New Roman" w:hAnsi="Times New Roman" w:cs="Times New Roman"/>
                <w:sz w:val="22"/>
                <w:szCs w:val="22"/>
              </w:rPr>
              <w:t>2010</w:t>
            </w:r>
            <w:r w:rsidRPr="00A3251B">
              <w:rPr>
                <w:rFonts w:ascii="Times New Roman" w:hAnsi="Times New Roman" w:cs="Times New Roman"/>
                <w:sz w:val="22"/>
                <w:szCs w:val="22"/>
                <w:vertAlign w:val="superscript"/>
              </w:rPr>
              <w:t>c</w:t>
            </w:r>
          </w:p>
        </w:tc>
        <w:tc>
          <w:tcPr>
            <w:tcW w:w="0" w:type="auto"/>
          </w:tcPr>
          <w:p w14:paraId="51635DB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USA</w:t>
            </w:r>
          </w:p>
        </w:tc>
        <w:tc>
          <w:tcPr>
            <w:tcW w:w="1594" w:type="dxa"/>
          </w:tcPr>
          <w:p w14:paraId="6C0E7BC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Etanercept</w:t>
            </w:r>
          </w:p>
        </w:tc>
        <w:tc>
          <w:tcPr>
            <w:tcW w:w="0" w:type="auto"/>
          </w:tcPr>
          <w:p w14:paraId="02AFAD1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Placebo</w:t>
            </w:r>
          </w:p>
        </w:tc>
        <w:tc>
          <w:tcPr>
            <w:tcW w:w="0" w:type="auto"/>
          </w:tcPr>
          <w:p w14:paraId="2890AB9E"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511498D4"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4-point PGA</w:t>
            </w:r>
          </w:p>
        </w:tc>
        <w:tc>
          <w:tcPr>
            <w:tcW w:w="1989" w:type="dxa"/>
          </w:tcPr>
          <w:p w14:paraId="1E37D1FD"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Industry Partnership</w:t>
            </w:r>
          </w:p>
        </w:tc>
      </w:tr>
      <w:tr w:rsidR="00546494" w:rsidRPr="00A3251B" w14:paraId="18CEC888"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5DD00AEE" w14:textId="3AF3F538"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Tzanetako</w:t>
            </w:r>
            <w:r w:rsidR="002532FB" w:rsidRPr="002532FB">
              <w:rPr>
                <w:rFonts w:ascii="Times New Roman" w:hAnsi="Times New Roman" w:cs="Times New Roman"/>
                <w:b/>
                <w:bCs/>
                <w:i w:val="0"/>
                <w:iCs w:val="0"/>
                <w:sz w:val="22"/>
                <w:szCs w:val="22"/>
              </w:rPr>
              <w:t>u</w:t>
            </w:r>
            <w:proofErr w:type="spellEnd"/>
            <w:r w:rsidR="002532FB" w:rsidRPr="002532FB">
              <w:rPr>
                <w:rFonts w:ascii="Times New Roman" w:hAnsi="Times New Roman" w:cs="Times New Roman"/>
                <w:b/>
                <w:bCs/>
                <w:i w:val="0"/>
                <w:iCs w:val="0"/>
                <w:sz w:val="22"/>
                <w:szCs w:val="22"/>
              </w:rPr>
              <w:t>[</w:t>
            </w:r>
            <w:r w:rsidR="002532FB" w:rsidRPr="002532FB">
              <w:rPr>
                <w:rFonts w:ascii="Times New Roman" w:hAnsi="Times New Roman" w:cs="Times New Roman"/>
                <w:bCs/>
                <w:i w:val="0"/>
                <w:iCs w:val="0"/>
                <w:sz w:val="22"/>
                <w:szCs w:val="22"/>
              </w:rPr>
              <w:t>21]</w:t>
            </w:r>
          </w:p>
        </w:tc>
        <w:tc>
          <w:tcPr>
            <w:tcW w:w="0" w:type="auto"/>
          </w:tcPr>
          <w:p w14:paraId="114028B3" w14:textId="4BEAF2F5" w:rsidR="00546494" w:rsidRPr="00A3251B" w:rsidRDefault="00813B26"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20</w:t>
            </w:r>
            <w:r w:rsidRPr="00813B26">
              <w:rPr>
                <w:rFonts w:ascii="Times New Roman" w:hAnsi="Times New Roman" w:cs="Times New Roman"/>
                <w:sz w:val="22"/>
                <w:szCs w:val="22"/>
                <w:vertAlign w:val="superscript"/>
              </w:rPr>
              <w:t>e</w:t>
            </w:r>
          </w:p>
        </w:tc>
        <w:tc>
          <w:tcPr>
            <w:tcW w:w="0" w:type="auto"/>
          </w:tcPr>
          <w:p w14:paraId="65662581"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2012-2014</w:t>
            </w:r>
          </w:p>
        </w:tc>
        <w:tc>
          <w:tcPr>
            <w:tcW w:w="0" w:type="auto"/>
          </w:tcPr>
          <w:p w14:paraId="1AB9B4D6"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Greece </w:t>
            </w:r>
          </w:p>
        </w:tc>
        <w:tc>
          <w:tcPr>
            <w:tcW w:w="1594" w:type="dxa"/>
          </w:tcPr>
          <w:p w14:paraId="615B299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Anakinra</w:t>
            </w:r>
          </w:p>
        </w:tc>
        <w:tc>
          <w:tcPr>
            <w:tcW w:w="0" w:type="auto"/>
          </w:tcPr>
          <w:p w14:paraId="01577A60"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13FE534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1ECE5AB6" w14:textId="48E0E894"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 disease severity</w:t>
            </w:r>
            <w:r w:rsidR="002532FB">
              <w:rPr>
                <w:rFonts w:ascii="Times New Roman" w:hAnsi="Times New Roman" w:cs="Times New Roman"/>
                <w:sz w:val="22"/>
                <w:szCs w:val="22"/>
              </w:rPr>
              <w:t>[22]</w:t>
            </w:r>
          </w:p>
        </w:tc>
        <w:tc>
          <w:tcPr>
            <w:tcW w:w="1989" w:type="dxa"/>
          </w:tcPr>
          <w:p w14:paraId="6D7ABDC3"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Investigator Initiated</w:t>
            </w:r>
          </w:p>
        </w:tc>
      </w:tr>
      <w:tr w:rsidR="00546494" w:rsidRPr="00A3251B" w14:paraId="4F944278"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FEFCDD1" w14:textId="5A92F46A"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Kanni</w:t>
            </w:r>
            <w:proofErr w:type="spellEnd"/>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23]</w:t>
            </w:r>
            <w:r w:rsidRPr="002532FB">
              <w:rPr>
                <w:rFonts w:ascii="Times New Roman" w:hAnsi="Times New Roman" w:cs="Times New Roman"/>
                <w:b/>
                <w:bCs/>
                <w:i w:val="0"/>
                <w:iCs w:val="0"/>
                <w:sz w:val="22"/>
                <w:szCs w:val="22"/>
              </w:rPr>
              <w:t xml:space="preserve"> </w:t>
            </w:r>
          </w:p>
        </w:tc>
        <w:tc>
          <w:tcPr>
            <w:tcW w:w="0" w:type="auto"/>
          </w:tcPr>
          <w:p w14:paraId="3DB79E8C"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w:t>
            </w:r>
          </w:p>
        </w:tc>
        <w:tc>
          <w:tcPr>
            <w:tcW w:w="0" w:type="auto"/>
          </w:tcPr>
          <w:p w14:paraId="484A2F9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2015-2017</w:t>
            </w:r>
          </w:p>
        </w:tc>
        <w:tc>
          <w:tcPr>
            <w:tcW w:w="0" w:type="auto"/>
          </w:tcPr>
          <w:p w14:paraId="611149D6"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Greece </w:t>
            </w:r>
          </w:p>
        </w:tc>
        <w:tc>
          <w:tcPr>
            <w:tcW w:w="1594" w:type="dxa"/>
          </w:tcPr>
          <w:p w14:paraId="6F4A9299"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MABp1</w:t>
            </w:r>
          </w:p>
        </w:tc>
        <w:tc>
          <w:tcPr>
            <w:tcW w:w="0" w:type="auto"/>
          </w:tcPr>
          <w:p w14:paraId="1AE6DB1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256FBD3A"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4ABB1291" w14:textId="09ED4D2C"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HiSCR</w:t>
            </w:r>
            <w:proofErr w:type="spellEnd"/>
            <w:r w:rsidR="002532FB">
              <w:rPr>
                <w:rFonts w:ascii="Times New Roman" w:hAnsi="Times New Roman" w:cs="Times New Roman"/>
                <w:sz w:val="22"/>
                <w:szCs w:val="22"/>
              </w:rPr>
              <w:t>[2]</w:t>
            </w:r>
          </w:p>
        </w:tc>
        <w:tc>
          <w:tcPr>
            <w:tcW w:w="1989" w:type="dxa"/>
          </w:tcPr>
          <w:p w14:paraId="05C41CDF"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Industry Partnership </w:t>
            </w:r>
          </w:p>
        </w:tc>
      </w:tr>
      <w:tr w:rsidR="00546494" w:rsidRPr="00A3251B" w14:paraId="75EC4B85"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05C6DCEC" w14:textId="6BC7ABD7"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Vossen</w:t>
            </w:r>
            <w:proofErr w:type="spellEnd"/>
            <w:r w:rsidR="002532FB" w:rsidRPr="002532FB">
              <w:rPr>
                <w:rFonts w:ascii="Times New Roman" w:hAnsi="Times New Roman" w:cs="Times New Roman"/>
                <w:bCs/>
                <w:i w:val="0"/>
                <w:sz w:val="22"/>
                <w:szCs w:val="22"/>
              </w:rPr>
              <w:t>[24]</w:t>
            </w:r>
            <w:r w:rsidRPr="002532FB">
              <w:rPr>
                <w:rFonts w:ascii="Times New Roman" w:hAnsi="Times New Roman" w:cs="Times New Roman"/>
                <w:b/>
                <w:bCs/>
                <w:i w:val="0"/>
                <w:iCs w:val="0"/>
                <w:sz w:val="22"/>
                <w:szCs w:val="22"/>
              </w:rPr>
              <w:t xml:space="preserve"> </w:t>
            </w:r>
          </w:p>
        </w:tc>
        <w:tc>
          <w:tcPr>
            <w:tcW w:w="0" w:type="auto"/>
          </w:tcPr>
          <w:p w14:paraId="39160FB8"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w:t>
            </w:r>
          </w:p>
        </w:tc>
        <w:tc>
          <w:tcPr>
            <w:tcW w:w="0" w:type="auto"/>
          </w:tcPr>
          <w:p w14:paraId="1E65D259"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2017</w:t>
            </w:r>
          </w:p>
        </w:tc>
        <w:tc>
          <w:tcPr>
            <w:tcW w:w="0" w:type="auto"/>
          </w:tcPr>
          <w:p w14:paraId="4343654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Netherlands</w:t>
            </w:r>
          </w:p>
        </w:tc>
        <w:tc>
          <w:tcPr>
            <w:tcW w:w="1594" w:type="dxa"/>
          </w:tcPr>
          <w:p w14:paraId="0B90BFB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Apremilast</w:t>
            </w:r>
            <w:proofErr w:type="spellEnd"/>
            <w:r w:rsidRPr="00A3251B">
              <w:rPr>
                <w:rFonts w:ascii="Times New Roman" w:hAnsi="Times New Roman" w:cs="Times New Roman"/>
                <w:sz w:val="22"/>
                <w:szCs w:val="22"/>
              </w:rPr>
              <w:t xml:space="preserve"> </w:t>
            </w:r>
          </w:p>
        </w:tc>
        <w:tc>
          <w:tcPr>
            <w:tcW w:w="0" w:type="auto"/>
          </w:tcPr>
          <w:p w14:paraId="4B188DED"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Placebo </w:t>
            </w:r>
          </w:p>
        </w:tc>
        <w:tc>
          <w:tcPr>
            <w:tcW w:w="0" w:type="auto"/>
          </w:tcPr>
          <w:p w14:paraId="080995E4"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Double</w:t>
            </w:r>
          </w:p>
        </w:tc>
        <w:tc>
          <w:tcPr>
            <w:tcW w:w="2164" w:type="dxa"/>
          </w:tcPr>
          <w:p w14:paraId="72C808AB" w14:textId="2AE0F753"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HiSCR</w:t>
            </w:r>
            <w:proofErr w:type="spellEnd"/>
            <w:r w:rsidR="002532FB">
              <w:rPr>
                <w:rFonts w:ascii="Times New Roman" w:hAnsi="Times New Roman" w:cs="Times New Roman"/>
                <w:sz w:val="22"/>
                <w:szCs w:val="22"/>
              </w:rPr>
              <w:t>[2]</w:t>
            </w:r>
          </w:p>
        </w:tc>
        <w:tc>
          <w:tcPr>
            <w:tcW w:w="1989" w:type="dxa"/>
          </w:tcPr>
          <w:p w14:paraId="7F0174D7"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Industry </w:t>
            </w:r>
          </w:p>
        </w:tc>
      </w:tr>
      <w:tr w:rsidR="00546494" w:rsidRPr="00A3251B" w14:paraId="4D66F523"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51A316B" w14:textId="445DCA87"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Grimstad</w:t>
            </w:r>
            <w:proofErr w:type="spellEnd"/>
            <w:r w:rsidR="002532FB" w:rsidRPr="002532FB">
              <w:rPr>
                <w:rFonts w:ascii="Times New Roman" w:hAnsi="Times New Roman" w:cs="Times New Roman"/>
                <w:bCs/>
                <w:i w:val="0"/>
                <w:sz w:val="22"/>
                <w:szCs w:val="22"/>
              </w:rPr>
              <w:t>[25]</w:t>
            </w:r>
          </w:p>
        </w:tc>
        <w:tc>
          <w:tcPr>
            <w:tcW w:w="0" w:type="auto"/>
          </w:tcPr>
          <w:p w14:paraId="58E69256"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w:t>
            </w:r>
          </w:p>
        </w:tc>
        <w:tc>
          <w:tcPr>
            <w:tcW w:w="0" w:type="auto"/>
          </w:tcPr>
          <w:p w14:paraId="2088DD7D"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2017-2018</w:t>
            </w:r>
          </w:p>
        </w:tc>
        <w:tc>
          <w:tcPr>
            <w:tcW w:w="0" w:type="auto"/>
          </w:tcPr>
          <w:p w14:paraId="3DA5BBA2"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Norway</w:t>
            </w:r>
          </w:p>
        </w:tc>
        <w:tc>
          <w:tcPr>
            <w:tcW w:w="1594" w:type="dxa"/>
          </w:tcPr>
          <w:p w14:paraId="1A1C0AA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BTX-B (</w:t>
            </w:r>
            <w:proofErr w:type="spellStart"/>
            <w:r w:rsidRPr="00A3251B">
              <w:rPr>
                <w:rFonts w:ascii="Times New Roman" w:hAnsi="Times New Roman" w:cs="Times New Roman"/>
                <w:sz w:val="22"/>
                <w:szCs w:val="22"/>
              </w:rPr>
              <w:t>NeuroBlock</w:t>
            </w:r>
            <w:proofErr w:type="spellEnd"/>
            <w:r w:rsidRPr="00A3251B">
              <w:rPr>
                <w:rFonts w:ascii="Times New Roman" w:hAnsi="Times New Roman" w:cs="Times New Roman"/>
                <w:sz w:val="22"/>
                <w:szCs w:val="22"/>
              </w:rPr>
              <w:t>®)</w:t>
            </w:r>
          </w:p>
        </w:tc>
        <w:tc>
          <w:tcPr>
            <w:tcW w:w="0" w:type="auto"/>
          </w:tcPr>
          <w:p w14:paraId="40D233A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Placebo</w:t>
            </w:r>
          </w:p>
        </w:tc>
        <w:tc>
          <w:tcPr>
            <w:tcW w:w="0" w:type="auto"/>
          </w:tcPr>
          <w:p w14:paraId="5B13D52C"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Double </w:t>
            </w:r>
          </w:p>
        </w:tc>
        <w:tc>
          <w:tcPr>
            <w:tcW w:w="2164" w:type="dxa"/>
          </w:tcPr>
          <w:p w14:paraId="22E5D479" w14:textId="1440E118"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DLQI</w:t>
            </w:r>
            <w:r w:rsidR="002532FB">
              <w:rPr>
                <w:rFonts w:ascii="Times New Roman" w:hAnsi="Times New Roman" w:cs="Times New Roman"/>
                <w:sz w:val="22"/>
                <w:szCs w:val="22"/>
              </w:rPr>
              <w:t>[26]</w:t>
            </w:r>
          </w:p>
        </w:tc>
        <w:tc>
          <w:tcPr>
            <w:tcW w:w="1989" w:type="dxa"/>
          </w:tcPr>
          <w:p w14:paraId="6614F77A"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Investigator Initiated</w:t>
            </w:r>
          </w:p>
        </w:tc>
      </w:tr>
      <w:tr w:rsidR="00546494" w:rsidRPr="00A3251B" w14:paraId="677206ED"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01D71630" w14:textId="28237F8F"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Azim</w:t>
            </w:r>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27]</w:t>
            </w:r>
            <w:r w:rsidRPr="002532FB">
              <w:rPr>
                <w:rFonts w:ascii="Times New Roman" w:hAnsi="Times New Roman" w:cs="Times New Roman"/>
                <w:b/>
                <w:bCs/>
                <w:i w:val="0"/>
                <w:iCs w:val="0"/>
                <w:sz w:val="22"/>
                <w:szCs w:val="22"/>
              </w:rPr>
              <w:t xml:space="preserve"> </w:t>
            </w:r>
          </w:p>
        </w:tc>
        <w:tc>
          <w:tcPr>
            <w:tcW w:w="0" w:type="auto"/>
          </w:tcPr>
          <w:p w14:paraId="337AD414"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w:t>
            </w:r>
          </w:p>
        </w:tc>
        <w:tc>
          <w:tcPr>
            <w:tcW w:w="0" w:type="auto"/>
          </w:tcPr>
          <w:p w14:paraId="0A26D64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2017</w:t>
            </w:r>
          </w:p>
        </w:tc>
        <w:tc>
          <w:tcPr>
            <w:tcW w:w="0" w:type="auto"/>
          </w:tcPr>
          <w:p w14:paraId="0EF7A941"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Egypt</w:t>
            </w:r>
          </w:p>
        </w:tc>
        <w:tc>
          <w:tcPr>
            <w:tcW w:w="1594" w:type="dxa"/>
          </w:tcPr>
          <w:p w14:paraId="4E24EA52"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Fractional CO</w:t>
            </w:r>
            <w:r w:rsidRPr="00A3251B">
              <w:rPr>
                <w:rFonts w:ascii="Times New Roman" w:hAnsi="Times New Roman" w:cs="Times New Roman"/>
                <w:sz w:val="22"/>
                <w:szCs w:val="22"/>
                <w:vertAlign w:val="subscript"/>
              </w:rPr>
              <w:t>2</w:t>
            </w:r>
            <w:r w:rsidRPr="00A3251B">
              <w:rPr>
                <w:rFonts w:ascii="Times New Roman" w:hAnsi="Times New Roman" w:cs="Times New Roman"/>
                <w:sz w:val="22"/>
                <w:szCs w:val="22"/>
              </w:rPr>
              <w:t xml:space="preserve"> (10,600nm) + </w:t>
            </w:r>
            <w:proofErr w:type="spellStart"/>
            <w:r w:rsidRPr="00A3251B">
              <w:rPr>
                <w:rFonts w:ascii="Times New Roman" w:hAnsi="Times New Roman" w:cs="Times New Roman"/>
                <w:sz w:val="22"/>
                <w:szCs w:val="22"/>
              </w:rPr>
              <w:t>Nd:YAG</w:t>
            </w:r>
            <w:proofErr w:type="spellEnd"/>
            <w:r w:rsidRPr="00A3251B">
              <w:rPr>
                <w:rFonts w:ascii="Times New Roman" w:hAnsi="Times New Roman" w:cs="Times New Roman"/>
                <w:sz w:val="22"/>
                <w:szCs w:val="22"/>
              </w:rPr>
              <w:t xml:space="preserve"> (1064 nm)</w:t>
            </w:r>
          </w:p>
        </w:tc>
        <w:tc>
          <w:tcPr>
            <w:tcW w:w="0" w:type="auto"/>
          </w:tcPr>
          <w:p w14:paraId="793E1F1B"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roofErr w:type="spellStart"/>
            <w:r w:rsidRPr="00A3251B">
              <w:rPr>
                <w:rFonts w:ascii="Times New Roman" w:hAnsi="Times New Roman" w:cs="Times New Roman"/>
                <w:sz w:val="22"/>
                <w:szCs w:val="22"/>
              </w:rPr>
              <w:t>Nd:YAG</w:t>
            </w:r>
            <w:proofErr w:type="spellEnd"/>
            <w:r w:rsidRPr="00A3251B">
              <w:rPr>
                <w:rFonts w:ascii="Times New Roman" w:hAnsi="Times New Roman" w:cs="Times New Roman"/>
                <w:sz w:val="22"/>
                <w:szCs w:val="22"/>
              </w:rPr>
              <w:t xml:space="preserve"> (1064 nm)</w:t>
            </w:r>
          </w:p>
        </w:tc>
        <w:tc>
          <w:tcPr>
            <w:tcW w:w="0" w:type="auto"/>
          </w:tcPr>
          <w:p w14:paraId="5F3C4E69"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Single</w:t>
            </w:r>
          </w:p>
        </w:tc>
        <w:tc>
          <w:tcPr>
            <w:tcW w:w="2164" w:type="dxa"/>
          </w:tcPr>
          <w:p w14:paraId="2798F8DF" w14:textId="043D72BD"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HS-PGA</w:t>
            </w:r>
            <w:r w:rsidR="002532FB">
              <w:rPr>
                <w:rFonts w:ascii="Times New Roman" w:hAnsi="Times New Roman" w:cs="Times New Roman"/>
                <w:sz w:val="22"/>
                <w:szCs w:val="22"/>
              </w:rPr>
              <w:t>[2,6]</w:t>
            </w:r>
          </w:p>
        </w:tc>
        <w:tc>
          <w:tcPr>
            <w:tcW w:w="1989" w:type="dxa"/>
          </w:tcPr>
          <w:p w14:paraId="32905DFA"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NR</w:t>
            </w:r>
          </w:p>
        </w:tc>
      </w:tr>
      <w:tr w:rsidR="00546494" w:rsidRPr="00A3251B" w14:paraId="5BFE509E" w14:textId="77777777" w:rsidTr="00D84DAE">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C809A66" w14:textId="5625F8A0" w:rsidR="00546494" w:rsidRPr="002532FB" w:rsidRDefault="00546494" w:rsidP="00D84DAE">
            <w:pPr>
              <w:rPr>
                <w:rFonts w:ascii="Times New Roman" w:hAnsi="Times New Roman" w:cs="Times New Roman"/>
                <w:b/>
                <w:bCs/>
                <w:i w:val="0"/>
                <w:iCs w:val="0"/>
                <w:sz w:val="22"/>
                <w:szCs w:val="22"/>
              </w:rPr>
            </w:pPr>
            <w:proofErr w:type="spellStart"/>
            <w:r w:rsidRPr="002532FB">
              <w:rPr>
                <w:rFonts w:ascii="Times New Roman" w:hAnsi="Times New Roman" w:cs="Times New Roman"/>
                <w:b/>
                <w:bCs/>
                <w:i w:val="0"/>
                <w:iCs w:val="0"/>
                <w:sz w:val="22"/>
                <w:szCs w:val="22"/>
              </w:rPr>
              <w:t>Highton</w:t>
            </w:r>
            <w:proofErr w:type="spellEnd"/>
            <w:r w:rsidR="002532FB" w:rsidRPr="002532FB">
              <w:rPr>
                <w:rFonts w:ascii="Times New Roman" w:hAnsi="Times New Roman" w:cs="Times New Roman"/>
                <w:b/>
                <w:bCs/>
                <w:i w:val="0"/>
                <w:sz w:val="22"/>
                <w:szCs w:val="22"/>
              </w:rPr>
              <w:t>[</w:t>
            </w:r>
            <w:r w:rsidR="002532FB" w:rsidRPr="002532FB">
              <w:rPr>
                <w:rFonts w:ascii="Times New Roman" w:hAnsi="Times New Roman" w:cs="Times New Roman"/>
                <w:bCs/>
                <w:i w:val="0"/>
                <w:sz w:val="22"/>
                <w:szCs w:val="22"/>
              </w:rPr>
              <w:t>28]</w:t>
            </w:r>
          </w:p>
        </w:tc>
        <w:tc>
          <w:tcPr>
            <w:tcW w:w="0" w:type="auto"/>
          </w:tcPr>
          <w:p w14:paraId="0CB00EE7" w14:textId="77777777" w:rsidR="00546494" w:rsidRPr="00A3251B" w:rsidRDefault="00546494" w:rsidP="00D84D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18</w:t>
            </w:r>
          </w:p>
        </w:tc>
        <w:tc>
          <w:tcPr>
            <w:tcW w:w="0" w:type="auto"/>
          </w:tcPr>
          <w:p w14:paraId="59387135"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2011</w:t>
            </w:r>
            <w:r w:rsidRPr="00A3251B">
              <w:rPr>
                <w:rFonts w:ascii="Times New Roman" w:hAnsi="Times New Roman" w:cs="Times New Roman"/>
                <w:sz w:val="22"/>
                <w:szCs w:val="22"/>
                <w:vertAlign w:val="superscript"/>
              </w:rPr>
              <w:t>c</w:t>
            </w:r>
            <w:r w:rsidRPr="00A3251B" w:rsidDel="00297121">
              <w:rPr>
                <w:rFonts w:ascii="Times New Roman" w:hAnsi="Times New Roman" w:cs="Times New Roman"/>
                <w:sz w:val="22"/>
                <w:szCs w:val="22"/>
              </w:rPr>
              <w:t xml:space="preserve"> </w:t>
            </w:r>
          </w:p>
        </w:tc>
        <w:tc>
          <w:tcPr>
            <w:tcW w:w="0" w:type="auto"/>
          </w:tcPr>
          <w:p w14:paraId="655BEE6B"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United Kingdom</w:t>
            </w:r>
          </w:p>
        </w:tc>
        <w:tc>
          <w:tcPr>
            <w:tcW w:w="1594" w:type="dxa"/>
          </w:tcPr>
          <w:p w14:paraId="12D67BDB"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Intense pulsed light (Harmony®)</w:t>
            </w:r>
          </w:p>
        </w:tc>
        <w:tc>
          <w:tcPr>
            <w:tcW w:w="0" w:type="auto"/>
          </w:tcPr>
          <w:p w14:paraId="495A3323"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No treatment on contralateral axilla</w:t>
            </w:r>
          </w:p>
        </w:tc>
        <w:tc>
          <w:tcPr>
            <w:tcW w:w="0" w:type="auto"/>
          </w:tcPr>
          <w:p w14:paraId="2468907F"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Single </w:t>
            </w:r>
          </w:p>
        </w:tc>
        <w:tc>
          <w:tcPr>
            <w:tcW w:w="2164" w:type="dxa"/>
          </w:tcPr>
          <w:p w14:paraId="5A7C1640" w14:textId="2D7AE7CD"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Sartorius score</w:t>
            </w:r>
            <w:r w:rsidR="002532FB">
              <w:rPr>
                <w:rFonts w:ascii="Times New Roman" w:hAnsi="Times New Roman" w:cs="Times New Roman"/>
                <w:sz w:val="22"/>
                <w:szCs w:val="22"/>
              </w:rPr>
              <w:t>[11]</w:t>
            </w:r>
          </w:p>
        </w:tc>
        <w:tc>
          <w:tcPr>
            <w:tcW w:w="1989" w:type="dxa"/>
          </w:tcPr>
          <w:p w14:paraId="656E8557" w14:textId="77777777" w:rsidR="00546494" w:rsidRPr="00A3251B" w:rsidRDefault="00546494" w:rsidP="00D84D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NR </w:t>
            </w:r>
          </w:p>
        </w:tc>
      </w:tr>
      <w:tr w:rsidR="00546494" w:rsidRPr="00A3251B" w14:paraId="18C9BDE8" w14:textId="77777777" w:rsidTr="00D84DA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46679A76" w14:textId="4E727DB9" w:rsidR="00546494" w:rsidRPr="002532FB" w:rsidRDefault="00546494" w:rsidP="00D84DAE">
            <w:pPr>
              <w:rPr>
                <w:rFonts w:ascii="Times New Roman" w:hAnsi="Times New Roman" w:cs="Times New Roman"/>
                <w:b/>
                <w:bCs/>
                <w:i w:val="0"/>
                <w:iCs w:val="0"/>
                <w:sz w:val="22"/>
                <w:szCs w:val="22"/>
              </w:rPr>
            </w:pPr>
            <w:r w:rsidRPr="002532FB">
              <w:rPr>
                <w:rFonts w:ascii="Times New Roman" w:hAnsi="Times New Roman" w:cs="Times New Roman"/>
                <w:b/>
                <w:bCs/>
                <w:i w:val="0"/>
                <w:iCs w:val="0"/>
                <w:sz w:val="22"/>
                <w:szCs w:val="22"/>
              </w:rPr>
              <w:t>Fadel</w:t>
            </w:r>
            <w:r w:rsidR="002532FB" w:rsidRPr="002532FB">
              <w:rPr>
                <w:rFonts w:ascii="Times New Roman" w:hAnsi="Times New Roman" w:cs="Times New Roman"/>
                <w:bCs/>
                <w:i w:val="0"/>
                <w:sz w:val="22"/>
                <w:szCs w:val="22"/>
              </w:rPr>
              <w:t>[29]</w:t>
            </w:r>
            <w:r w:rsidRPr="002532FB">
              <w:rPr>
                <w:rFonts w:ascii="Times New Roman" w:hAnsi="Times New Roman" w:cs="Times New Roman"/>
                <w:b/>
                <w:bCs/>
                <w:i w:val="0"/>
                <w:iCs w:val="0"/>
                <w:sz w:val="22"/>
                <w:szCs w:val="22"/>
              </w:rPr>
              <w:t xml:space="preserve"> </w:t>
            </w:r>
          </w:p>
        </w:tc>
        <w:tc>
          <w:tcPr>
            <w:tcW w:w="0" w:type="auto"/>
          </w:tcPr>
          <w:p w14:paraId="0F9D6B46" w14:textId="77777777" w:rsidR="00546494" w:rsidRPr="00A3251B" w:rsidRDefault="00546494" w:rsidP="00D84D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11</w:t>
            </w:r>
          </w:p>
        </w:tc>
        <w:tc>
          <w:tcPr>
            <w:tcW w:w="0" w:type="auto"/>
          </w:tcPr>
          <w:p w14:paraId="25291E12"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2013</w:t>
            </w:r>
          </w:p>
        </w:tc>
        <w:tc>
          <w:tcPr>
            <w:tcW w:w="0" w:type="auto"/>
          </w:tcPr>
          <w:p w14:paraId="35735083"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Egypt </w:t>
            </w:r>
          </w:p>
        </w:tc>
        <w:tc>
          <w:tcPr>
            <w:tcW w:w="1594" w:type="dxa"/>
          </w:tcPr>
          <w:p w14:paraId="23E47F5E"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IPL (EPI-C Plus ®) + niosomal MB gel</w:t>
            </w:r>
          </w:p>
        </w:tc>
        <w:tc>
          <w:tcPr>
            <w:tcW w:w="0" w:type="auto"/>
          </w:tcPr>
          <w:p w14:paraId="0FF70175"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IPL + free MB gel</w:t>
            </w:r>
          </w:p>
        </w:tc>
        <w:tc>
          <w:tcPr>
            <w:tcW w:w="0" w:type="auto"/>
          </w:tcPr>
          <w:p w14:paraId="11FFA3D9"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Single</w:t>
            </w:r>
          </w:p>
        </w:tc>
        <w:tc>
          <w:tcPr>
            <w:tcW w:w="2164" w:type="dxa"/>
          </w:tcPr>
          <w:p w14:paraId="173D741B" w14:textId="626793EE"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HS-LASI</w:t>
            </w:r>
            <w:r w:rsidR="002532FB">
              <w:rPr>
                <w:rFonts w:ascii="Times New Roman" w:hAnsi="Times New Roman" w:cs="Times New Roman"/>
                <w:sz w:val="22"/>
                <w:szCs w:val="22"/>
              </w:rPr>
              <w:t>[17]</w:t>
            </w:r>
            <w:r w:rsidRPr="00A3251B">
              <w:rPr>
                <w:rFonts w:ascii="Times New Roman" w:hAnsi="Times New Roman" w:cs="Times New Roman"/>
                <w:sz w:val="22"/>
                <w:szCs w:val="22"/>
              </w:rPr>
              <w:t xml:space="preserve"> </w:t>
            </w:r>
          </w:p>
        </w:tc>
        <w:tc>
          <w:tcPr>
            <w:tcW w:w="1989" w:type="dxa"/>
          </w:tcPr>
          <w:p w14:paraId="2B9BF319" w14:textId="77777777" w:rsidR="00546494" w:rsidRPr="00A3251B" w:rsidRDefault="00546494" w:rsidP="00D84D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A3251B">
              <w:rPr>
                <w:rFonts w:ascii="Times New Roman" w:hAnsi="Times New Roman" w:cs="Times New Roman"/>
                <w:sz w:val="22"/>
                <w:szCs w:val="22"/>
              </w:rPr>
              <w:t xml:space="preserve">Investigator Initiated </w:t>
            </w:r>
          </w:p>
        </w:tc>
      </w:tr>
    </w:tbl>
    <w:p w14:paraId="0E872D20" w14:textId="77777777" w:rsidR="00546494" w:rsidRPr="00A3251B" w:rsidRDefault="00546494" w:rsidP="00546494">
      <w:pPr>
        <w:rPr>
          <w:rFonts w:ascii="Times New Roman" w:hAnsi="Times New Roman" w:cs="Times New Roman"/>
          <w:b/>
          <w:sz w:val="22"/>
          <w:szCs w:val="22"/>
        </w:rPr>
      </w:pPr>
    </w:p>
    <w:p w14:paraId="3689DC31" w14:textId="77777777" w:rsidR="00D86769" w:rsidRDefault="00D86769" w:rsidP="00546494">
      <w:pPr>
        <w:rPr>
          <w:rFonts w:ascii="Times New Roman" w:hAnsi="Times New Roman" w:cs="Times New Roman"/>
          <w:bCs/>
          <w:sz w:val="22"/>
          <w:szCs w:val="22"/>
          <w:u w:val="single"/>
        </w:rPr>
      </w:pPr>
    </w:p>
    <w:p w14:paraId="1F7DDE5F" w14:textId="727DBBFF" w:rsidR="00546494" w:rsidRPr="003933E2" w:rsidRDefault="00D86769" w:rsidP="00546494">
      <w:pPr>
        <w:rPr>
          <w:rFonts w:ascii="Times New Roman" w:hAnsi="Times New Roman" w:cs="Times New Roman"/>
          <w:bCs/>
          <w:sz w:val="22"/>
          <w:szCs w:val="22"/>
          <w:u w:val="single"/>
        </w:rPr>
      </w:pPr>
      <w:r w:rsidRPr="003933E2">
        <w:rPr>
          <w:rFonts w:ascii="Times New Roman" w:hAnsi="Times New Roman" w:cs="Times New Roman"/>
          <w:bCs/>
          <w:sz w:val="22"/>
          <w:szCs w:val="22"/>
          <w:u w:val="single"/>
        </w:rPr>
        <w:t xml:space="preserve">Supplemental </w:t>
      </w:r>
      <w:r w:rsidR="00546494" w:rsidRPr="003933E2">
        <w:rPr>
          <w:rFonts w:ascii="Times New Roman" w:hAnsi="Times New Roman" w:cs="Times New Roman"/>
          <w:bCs/>
          <w:sz w:val="22"/>
          <w:szCs w:val="22"/>
          <w:u w:val="single"/>
        </w:rPr>
        <w:t>Table 1 Key:</w:t>
      </w:r>
    </w:p>
    <w:p w14:paraId="175EF734" w14:textId="424FE172" w:rsidR="003933E2" w:rsidRPr="003933E2" w:rsidRDefault="003933E2" w:rsidP="003933E2">
      <w:pPr>
        <w:contextualSpacing/>
        <w:rPr>
          <w:rFonts w:ascii="Times New Roman" w:hAnsi="Times New Roman" w:cs="Times New Roman"/>
          <w:sz w:val="22"/>
          <w:szCs w:val="22"/>
        </w:rPr>
      </w:pPr>
      <w:r w:rsidRPr="003933E2">
        <w:rPr>
          <w:rFonts w:ascii="Times New Roman" w:hAnsi="Times New Roman" w:cs="Times New Roman"/>
          <w:sz w:val="22"/>
          <w:szCs w:val="22"/>
        </w:rPr>
        <w:t xml:space="preserve">BPO: Benzoyl peroxide; BTX: Botulinum Toxin; CRP: C-reactive Protein; </w:t>
      </w:r>
      <w:proofErr w:type="gramStart"/>
      <w:r w:rsidRPr="003933E2">
        <w:rPr>
          <w:rFonts w:ascii="Times New Roman" w:hAnsi="Times New Roman" w:cs="Times New Roman"/>
          <w:sz w:val="22"/>
          <w:szCs w:val="22"/>
        </w:rPr>
        <w:t>DLQI</w:t>
      </w:r>
      <w:r w:rsidR="002532FB">
        <w:rPr>
          <w:rFonts w:ascii="Times New Roman" w:hAnsi="Times New Roman" w:cs="Times New Roman"/>
          <w:sz w:val="22"/>
          <w:szCs w:val="22"/>
        </w:rPr>
        <w:t>[</w:t>
      </w:r>
      <w:proofErr w:type="gramEnd"/>
      <w:r w:rsidR="002532FB">
        <w:rPr>
          <w:rFonts w:ascii="Times New Roman" w:hAnsi="Times New Roman" w:cs="Times New Roman"/>
          <w:sz w:val="22"/>
          <w:szCs w:val="22"/>
        </w:rPr>
        <w:t>26]</w:t>
      </w:r>
      <w:r w:rsidRPr="003933E2">
        <w:rPr>
          <w:rFonts w:ascii="Times New Roman" w:hAnsi="Times New Roman" w:cs="Times New Roman"/>
          <w:sz w:val="22"/>
          <w:szCs w:val="22"/>
        </w:rPr>
        <w:t xml:space="preserve">: Dermatology Life Quality Index; ESR: Erythrocyte Sedimentation Rate </w:t>
      </w:r>
    </w:p>
    <w:p w14:paraId="05310448" w14:textId="19332EFE" w:rsidR="003933E2" w:rsidRPr="003933E2" w:rsidRDefault="003933E2" w:rsidP="003933E2">
      <w:pPr>
        <w:contextualSpacing/>
        <w:rPr>
          <w:rFonts w:ascii="Times New Roman" w:hAnsi="Times New Roman" w:cs="Times New Roman"/>
          <w:sz w:val="22"/>
          <w:szCs w:val="22"/>
        </w:rPr>
      </w:pPr>
      <w:proofErr w:type="spellStart"/>
      <w:r w:rsidRPr="003933E2">
        <w:rPr>
          <w:rFonts w:ascii="Times New Roman" w:hAnsi="Times New Roman" w:cs="Times New Roman"/>
          <w:sz w:val="22"/>
          <w:szCs w:val="22"/>
        </w:rPr>
        <w:t>HiSCR</w:t>
      </w:r>
      <w:proofErr w:type="spellEnd"/>
      <w:r w:rsidR="002532FB">
        <w:rPr>
          <w:rFonts w:ascii="Times New Roman" w:hAnsi="Times New Roman" w:cs="Times New Roman"/>
          <w:sz w:val="22"/>
          <w:szCs w:val="22"/>
        </w:rPr>
        <w:t>[2]</w:t>
      </w:r>
      <w:r w:rsidRPr="003933E2">
        <w:rPr>
          <w:rFonts w:ascii="Times New Roman" w:hAnsi="Times New Roman" w:cs="Times New Roman"/>
          <w:sz w:val="22"/>
          <w:szCs w:val="22"/>
        </w:rPr>
        <w:t>: Hidradenitis Suppurativa Clinical Response; HS-LASI</w:t>
      </w:r>
      <w:r w:rsidR="002532FB">
        <w:rPr>
          <w:rFonts w:ascii="Times New Roman" w:hAnsi="Times New Roman" w:cs="Times New Roman"/>
          <w:sz w:val="22"/>
          <w:szCs w:val="22"/>
        </w:rPr>
        <w:t>[17]</w:t>
      </w:r>
      <w:r w:rsidRPr="003933E2">
        <w:rPr>
          <w:rFonts w:ascii="Times New Roman" w:hAnsi="Times New Roman" w:cs="Times New Roman"/>
          <w:sz w:val="22"/>
          <w:szCs w:val="22"/>
        </w:rPr>
        <w:t>: Hidradenitis Suppurativa Lesion, Area and Severity Index; HS-PGA</w:t>
      </w:r>
      <w:r w:rsidR="002532FB">
        <w:rPr>
          <w:rFonts w:ascii="Times New Roman" w:hAnsi="Times New Roman" w:cs="Times New Roman"/>
          <w:sz w:val="22"/>
          <w:szCs w:val="22"/>
        </w:rPr>
        <w:t>[2,6]</w:t>
      </w:r>
      <w:r w:rsidRPr="003933E2">
        <w:rPr>
          <w:rFonts w:ascii="Times New Roman" w:hAnsi="Times New Roman" w:cs="Times New Roman"/>
          <w:sz w:val="22"/>
          <w:szCs w:val="22"/>
        </w:rPr>
        <w:t>: Hidradenitis Suppurativa Physician's Global Assessment; HSSI</w:t>
      </w:r>
      <w:r w:rsidR="002532FB">
        <w:rPr>
          <w:rFonts w:ascii="Times New Roman" w:hAnsi="Times New Roman" w:cs="Times New Roman"/>
          <w:sz w:val="22"/>
          <w:szCs w:val="22"/>
        </w:rPr>
        <w:t>[4,30]</w:t>
      </w:r>
      <w:r w:rsidRPr="003933E2">
        <w:rPr>
          <w:rFonts w:ascii="Times New Roman" w:hAnsi="Times New Roman" w:cs="Times New Roman"/>
          <w:sz w:val="22"/>
          <w:szCs w:val="22"/>
        </w:rPr>
        <w:t xml:space="preserve">: HS Severity Index; IPL: Intense pulsed light; MB: methylene blue; N: number of participants randomized </w:t>
      </w:r>
    </w:p>
    <w:p w14:paraId="59F3CCA6" w14:textId="3E082DE3" w:rsidR="003933E2" w:rsidRPr="003933E2" w:rsidRDefault="003933E2" w:rsidP="003933E2">
      <w:pPr>
        <w:contextualSpacing/>
        <w:rPr>
          <w:rFonts w:ascii="Times New Roman" w:hAnsi="Times New Roman" w:cs="Times New Roman"/>
          <w:sz w:val="22"/>
          <w:szCs w:val="22"/>
        </w:rPr>
      </w:pPr>
      <w:r w:rsidRPr="003933E2">
        <w:rPr>
          <w:rFonts w:ascii="Times New Roman" w:hAnsi="Times New Roman" w:cs="Times New Roman"/>
          <w:sz w:val="22"/>
          <w:szCs w:val="22"/>
        </w:rPr>
        <w:t xml:space="preserve">NR: Not reported; RF: Radiofrequency; US: United States; VAS: Visual Analogue Scale </w:t>
      </w:r>
    </w:p>
    <w:p w14:paraId="6E7ACD46" w14:textId="77777777" w:rsidR="003933E2" w:rsidRPr="003933E2" w:rsidRDefault="003933E2" w:rsidP="00546494">
      <w:pPr>
        <w:rPr>
          <w:rFonts w:ascii="Times New Roman" w:hAnsi="Times New Roman" w:cs="Times New Roman"/>
          <w:bCs/>
          <w:sz w:val="22"/>
          <w:szCs w:val="22"/>
          <w:vertAlign w:val="superscript"/>
        </w:rPr>
      </w:pPr>
    </w:p>
    <w:p w14:paraId="3AC8B0E3" w14:textId="77777777" w:rsidR="00546494" w:rsidRPr="003933E2" w:rsidRDefault="00546494" w:rsidP="00546494">
      <w:pPr>
        <w:rPr>
          <w:rFonts w:ascii="Times New Roman" w:hAnsi="Times New Roman" w:cs="Times New Roman"/>
          <w:bCs/>
          <w:sz w:val="22"/>
          <w:szCs w:val="22"/>
        </w:rPr>
      </w:pPr>
      <w:proofErr w:type="spellStart"/>
      <w:r w:rsidRPr="003933E2">
        <w:rPr>
          <w:rFonts w:ascii="Times New Roman" w:hAnsi="Times New Roman" w:cs="Times New Roman"/>
          <w:bCs/>
          <w:sz w:val="22"/>
          <w:szCs w:val="22"/>
          <w:vertAlign w:val="superscript"/>
        </w:rPr>
        <w:t>a</w:t>
      </w:r>
      <w:r w:rsidRPr="003933E2">
        <w:rPr>
          <w:rFonts w:ascii="Times New Roman" w:hAnsi="Times New Roman" w:cs="Times New Roman"/>
          <w:bCs/>
          <w:sz w:val="22"/>
          <w:szCs w:val="22"/>
        </w:rPr>
        <w:t>Only</w:t>
      </w:r>
      <w:proofErr w:type="spellEnd"/>
      <w:r w:rsidRPr="003933E2">
        <w:rPr>
          <w:rFonts w:ascii="Times New Roman" w:hAnsi="Times New Roman" w:cs="Times New Roman"/>
          <w:bCs/>
          <w:sz w:val="22"/>
          <w:szCs w:val="22"/>
        </w:rPr>
        <w:t xml:space="preserve"> patients in the IPL+RF and IPL only groups were blinded.</w:t>
      </w:r>
    </w:p>
    <w:p w14:paraId="4036CE28" w14:textId="77777777" w:rsidR="00546494" w:rsidRPr="003933E2" w:rsidRDefault="00546494" w:rsidP="00546494">
      <w:pPr>
        <w:rPr>
          <w:rFonts w:ascii="Times New Roman" w:hAnsi="Times New Roman" w:cs="Times New Roman"/>
          <w:bCs/>
          <w:sz w:val="22"/>
          <w:szCs w:val="22"/>
        </w:rPr>
      </w:pPr>
      <w:proofErr w:type="spellStart"/>
      <w:r w:rsidRPr="003933E2">
        <w:rPr>
          <w:rFonts w:ascii="Times New Roman" w:hAnsi="Times New Roman" w:cs="Times New Roman"/>
          <w:bCs/>
          <w:sz w:val="22"/>
          <w:szCs w:val="22"/>
          <w:vertAlign w:val="superscript"/>
        </w:rPr>
        <w:t>b</w:t>
      </w:r>
      <w:r w:rsidRPr="003933E2">
        <w:rPr>
          <w:rFonts w:ascii="Times New Roman" w:hAnsi="Times New Roman" w:cs="Times New Roman"/>
          <w:bCs/>
          <w:sz w:val="22"/>
          <w:szCs w:val="22"/>
        </w:rPr>
        <w:t>From</w:t>
      </w:r>
      <w:proofErr w:type="spellEnd"/>
      <w:r w:rsidRPr="003933E2">
        <w:rPr>
          <w:rFonts w:ascii="Times New Roman" w:hAnsi="Times New Roman" w:cs="Times New Roman"/>
          <w:bCs/>
          <w:sz w:val="22"/>
          <w:szCs w:val="22"/>
        </w:rPr>
        <w:t xml:space="preserve"> private communication with authors.</w:t>
      </w:r>
    </w:p>
    <w:p w14:paraId="118F9845" w14:textId="77777777" w:rsidR="00546494" w:rsidRPr="003933E2" w:rsidRDefault="00546494" w:rsidP="00546494">
      <w:pPr>
        <w:rPr>
          <w:rFonts w:ascii="Times New Roman" w:hAnsi="Times New Roman" w:cs="Times New Roman"/>
          <w:bCs/>
          <w:sz w:val="22"/>
          <w:szCs w:val="22"/>
        </w:rPr>
      </w:pPr>
      <w:proofErr w:type="spellStart"/>
      <w:r w:rsidRPr="003933E2">
        <w:rPr>
          <w:rFonts w:ascii="Times New Roman" w:hAnsi="Times New Roman" w:cs="Times New Roman"/>
          <w:bCs/>
          <w:sz w:val="22"/>
          <w:szCs w:val="22"/>
          <w:vertAlign w:val="superscript"/>
        </w:rPr>
        <w:t>c</w:t>
      </w:r>
      <w:r w:rsidRPr="003933E2">
        <w:rPr>
          <w:rFonts w:ascii="Times New Roman" w:hAnsi="Times New Roman" w:cs="Times New Roman"/>
          <w:bCs/>
          <w:sz w:val="22"/>
          <w:szCs w:val="22"/>
        </w:rPr>
        <w:t>Publication</w:t>
      </w:r>
      <w:proofErr w:type="spellEnd"/>
      <w:r w:rsidRPr="003933E2">
        <w:rPr>
          <w:rFonts w:ascii="Times New Roman" w:hAnsi="Times New Roman" w:cs="Times New Roman"/>
          <w:bCs/>
          <w:sz w:val="22"/>
          <w:szCs w:val="22"/>
        </w:rPr>
        <w:t xml:space="preserve"> date listed, as study dates not reported.</w:t>
      </w:r>
    </w:p>
    <w:p w14:paraId="4CD14A56" w14:textId="1A3E5A69" w:rsidR="00546494" w:rsidRPr="003933E2" w:rsidRDefault="00546494" w:rsidP="00546494">
      <w:pPr>
        <w:contextualSpacing/>
        <w:rPr>
          <w:rFonts w:ascii="Times New Roman" w:hAnsi="Times New Roman" w:cs="Times New Roman"/>
          <w:bCs/>
          <w:sz w:val="22"/>
          <w:szCs w:val="22"/>
        </w:rPr>
      </w:pPr>
      <w:r w:rsidRPr="003933E2">
        <w:rPr>
          <w:rFonts w:ascii="Times New Roman" w:hAnsi="Times New Roman" w:cs="Times New Roman"/>
          <w:bCs/>
          <w:sz w:val="22"/>
          <w:szCs w:val="22"/>
          <w:vertAlign w:val="superscript"/>
        </w:rPr>
        <w:t>d</w:t>
      </w:r>
      <w:r w:rsidRPr="003933E2">
        <w:rPr>
          <w:rFonts w:ascii="Times New Roman" w:hAnsi="Times New Roman" w:cs="Times New Roman"/>
          <w:bCs/>
          <w:sz w:val="22"/>
          <w:szCs w:val="22"/>
        </w:rPr>
        <w:t>17 of the 24 randomized participants were included in the final analysis</w:t>
      </w:r>
    </w:p>
    <w:p w14:paraId="21AF0864" w14:textId="3718C283" w:rsidR="00813B26" w:rsidRPr="003933E2" w:rsidRDefault="00813B26" w:rsidP="00813B26">
      <w:pPr>
        <w:contextualSpacing/>
        <w:rPr>
          <w:rFonts w:ascii="Times New Roman" w:hAnsi="Times New Roman" w:cs="Times New Roman"/>
          <w:sz w:val="22"/>
          <w:szCs w:val="22"/>
        </w:rPr>
      </w:pPr>
      <w:r w:rsidRPr="003933E2">
        <w:rPr>
          <w:rFonts w:ascii="Times New Roman" w:hAnsi="Times New Roman" w:cs="Times New Roman"/>
          <w:bCs/>
          <w:sz w:val="22"/>
          <w:szCs w:val="22"/>
          <w:vertAlign w:val="superscript"/>
        </w:rPr>
        <w:t xml:space="preserve">e </w:t>
      </w:r>
      <w:r w:rsidRPr="003933E2">
        <w:rPr>
          <w:rFonts w:ascii="Times New Roman" w:hAnsi="Times New Roman" w:cs="Times New Roman"/>
          <w:bCs/>
          <w:sz w:val="22"/>
          <w:szCs w:val="22"/>
        </w:rPr>
        <w:t>19 of the 20 randomized participants were included in the final analysis</w:t>
      </w:r>
      <w:r w:rsidRPr="003933E2">
        <w:rPr>
          <w:rFonts w:ascii="Times New Roman" w:hAnsi="Times New Roman" w:cs="Times New Roman"/>
          <w:sz w:val="22"/>
          <w:szCs w:val="22"/>
        </w:rPr>
        <w:t xml:space="preserve"> </w:t>
      </w:r>
    </w:p>
    <w:p w14:paraId="651F321A" w14:textId="78D205FB" w:rsidR="00813B26" w:rsidRPr="00A3251B" w:rsidRDefault="00813B26" w:rsidP="00546494">
      <w:pPr>
        <w:contextualSpacing/>
        <w:rPr>
          <w:rFonts w:ascii="Times New Roman" w:hAnsi="Times New Roman" w:cs="Times New Roman"/>
          <w:b/>
          <w:bCs/>
          <w:sz w:val="22"/>
          <w:szCs w:val="22"/>
        </w:rPr>
      </w:pPr>
    </w:p>
    <w:p w14:paraId="2073ECCE" w14:textId="77777777" w:rsidR="003933E2" w:rsidRDefault="003933E2" w:rsidP="00D72B42">
      <w:pPr>
        <w:contextualSpacing/>
        <w:rPr>
          <w:rFonts w:ascii="Times New Roman" w:hAnsi="Times New Roman" w:cs="Times New Roman"/>
          <w:b/>
          <w:sz w:val="20"/>
          <w:szCs w:val="20"/>
        </w:rPr>
        <w:sectPr w:rsidR="003933E2" w:rsidSect="003933E2">
          <w:pgSz w:w="15840" w:h="12240" w:orient="landscape"/>
          <w:pgMar w:top="720" w:right="720" w:bottom="720" w:left="720" w:header="720" w:footer="720" w:gutter="0"/>
          <w:cols w:space="720"/>
          <w:docGrid w:linePitch="360"/>
        </w:sectPr>
      </w:pPr>
    </w:p>
    <w:p w14:paraId="5F8A1B37" w14:textId="34EECB5C" w:rsidR="00D72B42" w:rsidRPr="00D86769" w:rsidRDefault="003C2014" w:rsidP="00D72B42">
      <w:pPr>
        <w:contextualSpacing/>
        <w:rPr>
          <w:rFonts w:ascii="Times New Roman" w:hAnsi="Times New Roman" w:cs="Times New Roman"/>
          <w:b/>
          <w:sz w:val="20"/>
          <w:szCs w:val="20"/>
        </w:rPr>
      </w:pPr>
      <w:r>
        <w:rPr>
          <w:rFonts w:ascii="Times New Roman" w:hAnsi="Times New Roman" w:cs="Times New Roman"/>
          <w:b/>
          <w:sz w:val="20"/>
          <w:szCs w:val="20"/>
        </w:rPr>
        <w:lastRenderedPageBreak/>
        <w:t>Supplemental Table 2: Other p</w:t>
      </w:r>
      <w:r w:rsidR="00D72B42" w:rsidRPr="00D86769">
        <w:rPr>
          <w:rFonts w:ascii="Times New Roman" w:hAnsi="Times New Roman" w:cs="Times New Roman"/>
          <w:b/>
          <w:sz w:val="20"/>
          <w:szCs w:val="20"/>
        </w:rPr>
        <w:t>atients groups e</w:t>
      </w:r>
      <w:r w:rsidR="003933E2">
        <w:rPr>
          <w:rFonts w:ascii="Times New Roman" w:hAnsi="Times New Roman" w:cs="Times New Roman"/>
          <w:b/>
          <w:sz w:val="20"/>
          <w:szCs w:val="20"/>
        </w:rPr>
        <w:t xml:space="preserve">xcluded </w:t>
      </w:r>
      <w:r>
        <w:rPr>
          <w:rFonts w:ascii="Times New Roman" w:hAnsi="Times New Roman" w:cs="Times New Roman"/>
          <w:b/>
          <w:sz w:val="20"/>
          <w:szCs w:val="20"/>
        </w:rPr>
        <w:t xml:space="preserve">due to </w:t>
      </w:r>
      <w:r w:rsidR="003933E2">
        <w:rPr>
          <w:rFonts w:ascii="Times New Roman" w:hAnsi="Times New Roman" w:cs="Times New Roman"/>
          <w:b/>
          <w:sz w:val="20"/>
          <w:szCs w:val="20"/>
        </w:rPr>
        <w:t>medical co-</w:t>
      </w:r>
      <w:r w:rsidR="00D72B42" w:rsidRPr="00D86769">
        <w:rPr>
          <w:rFonts w:ascii="Times New Roman" w:hAnsi="Times New Roman" w:cs="Times New Roman"/>
          <w:b/>
          <w:sz w:val="20"/>
          <w:szCs w:val="20"/>
        </w:rPr>
        <w:t xml:space="preserve">morbidities </w:t>
      </w:r>
    </w:p>
    <w:p w14:paraId="50430038" w14:textId="77777777" w:rsidR="00D72B42" w:rsidRPr="00CC0944" w:rsidRDefault="00D72B42" w:rsidP="00D72B42">
      <w:pPr>
        <w:contextualSpacing/>
        <w:rPr>
          <w:rFonts w:ascii="Times New Roman" w:hAnsi="Times New Roman" w:cs="Times New Roman"/>
          <w:sz w:val="20"/>
          <w:szCs w:val="20"/>
        </w:rPr>
      </w:pPr>
    </w:p>
    <w:tbl>
      <w:tblPr>
        <w:tblStyle w:val="PlainTable5"/>
        <w:tblpPr w:leftFromText="180" w:rightFromText="180" w:vertAnchor="text" w:tblpY="1"/>
        <w:tblOverlap w:val="never"/>
        <w:tblW w:w="5390" w:type="dxa"/>
        <w:tblLook w:val="04A0" w:firstRow="1" w:lastRow="0" w:firstColumn="1" w:lastColumn="0" w:noHBand="0" w:noVBand="1"/>
      </w:tblPr>
      <w:tblGrid>
        <w:gridCol w:w="1890"/>
        <w:gridCol w:w="1070"/>
        <w:gridCol w:w="990"/>
        <w:gridCol w:w="1440"/>
      </w:tblGrid>
      <w:tr w:rsidR="00D72B42" w:rsidRPr="00D72B42" w14:paraId="5CDC2A0D" w14:textId="77777777" w:rsidTr="00D84DAE">
        <w:trPr>
          <w:cnfStyle w:val="100000000000" w:firstRow="1" w:lastRow="0" w:firstColumn="0" w:lastColumn="0" w:oddVBand="0" w:evenVBand="0" w:oddHBand="0" w:evenHBand="0" w:firstRowFirstColumn="0" w:firstRowLastColumn="0" w:lastRowFirstColumn="0" w:lastRowLastColumn="0"/>
          <w:trHeight w:val="614"/>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auto"/>
            </w:tcBorders>
          </w:tcPr>
          <w:p w14:paraId="356C4C1F" w14:textId="77777777" w:rsidR="00D72B42" w:rsidRPr="00D72B42" w:rsidRDefault="00D72B42" w:rsidP="00D84DAE">
            <w:pPr>
              <w:rPr>
                <w:rFonts w:ascii="Times New Roman" w:hAnsi="Times New Roman" w:cs="Times New Roman"/>
                <w:b/>
                <w:i w:val="0"/>
                <w:sz w:val="20"/>
                <w:szCs w:val="20"/>
              </w:rPr>
            </w:pPr>
            <w:r w:rsidRPr="00D72B42">
              <w:rPr>
                <w:rFonts w:ascii="Times New Roman" w:hAnsi="Times New Roman" w:cs="Times New Roman"/>
                <w:b/>
                <w:i w:val="0"/>
                <w:sz w:val="20"/>
                <w:szCs w:val="20"/>
              </w:rPr>
              <w:t>Study</w:t>
            </w:r>
          </w:p>
        </w:tc>
        <w:tc>
          <w:tcPr>
            <w:tcW w:w="1070" w:type="dxa"/>
            <w:tcBorders>
              <w:top w:val="single" w:sz="4" w:space="0" w:color="auto"/>
            </w:tcBorders>
          </w:tcPr>
          <w:p w14:paraId="0569E791" w14:textId="77777777" w:rsidR="00D72B42" w:rsidRPr="00D72B42" w:rsidRDefault="00D72B42" w:rsidP="00D84DAE">
            <w:pPr>
              <w:ind w:left="-11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i w:val="0"/>
                <w:sz w:val="20"/>
                <w:szCs w:val="20"/>
              </w:rPr>
              <w:t>CHF</w:t>
            </w:r>
          </w:p>
        </w:tc>
        <w:tc>
          <w:tcPr>
            <w:tcW w:w="990" w:type="dxa"/>
            <w:tcBorders>
              <w:top w:val="single" w:sz="4" w:space="0" w:color="auto"/>
            </w:tcBorders>
          </w:tcPr>
          <w:p w14:paraId="4AE56BF5" w14:textId="77777777" w:rsidR="00D72B42" w:rsidRPr="00D72B42" w:rsidRDefault="00D72B42" w:rsidP="00D84D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i w:val="0"/>
                <w:sz w:val="20"/>
                <w:szCs w:val="20"/>
              </w:rPr>
              <w:t>HIV</w:t>
            </w:r>
          </w:p>
        </w:tc>
        <w:tc>
          <w:tcPr>
            <w:tcW w:w="1440" w:type="dxa"/>
            <w:tcBorders>
              <w:top w:val="single" w:sz="4" w:space="0" w:color="auto"/>
            </w:tcBorders>
          </w:tcPr>
          <w:p w14:paraId="5E6B7E61" w14:textId="77777777" w:rsidR="00D72B42" w:rsidRPr="00D72B42" w:rsidRDefault="00D72B42" w:rsidP="00D84D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i w:val="0"/>
                <w:sz w:val="20"/>
                <w:szCs w:val="20"/>
              </w:rPr>
              <w:t>History of Malignancy</w:t>
            </w:r>
          </w:p>
        </w:tc>
      </w:tr>
      <w:tr w:rsidR="002532FB" w:rsidRPr="00D72B42" w14:paraId="16814526"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7F7F7F" w:themeColor="text1" w:themeTint="80"/>
            </w:tcBorders>
            <w:shd w:val="clear" w:color="auto" w:fill="F2F2F2" w:themeFill="background1" w:themeFillShade="F2"/>
          </w:tcPr>
          <w:p w14:paraId="05461443" w14:textId="7B9ED7B7"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Pioneer II</w:t>
            </w:r>
            <w:r w:rsidRPr="002532FB">
              <w:rPr>
                <w:rFonts w:ascii="Times New Roman" w:hAnsi="Times New Roman" w:cs="Times New Roman"/>
                <w:b/>
                <w:bCs/>
                <w:sz w:val="22"/>
                <w:szCs w:val="22"/>
              </w:rPr>
              <w:fldChar w:fldCharType="begin" w:fldLock="1"/>
            </w:r>
            <w:r w:rsidRPr="002532FB">
              <w:rPr>
                <w:rFonts w:ascii="Times New Roman" w:hAnsi="Times New Roman" w:cs="Times New Roman"/>
                <w:b/>
                <w:bCs/>
                <w:i w:val="0"/>
                <w:iCs w:val="0"/>
                <w:sz w:val="22"/>
                <w:szCs w:val="22"/>
              </w:rPr>
              <w:instrText>ADDIN CSL_CITATION {"citationItems":[{"id":"ITEM-1","itemData":{"DOI":"10.1056/nejmoa1504370","ISSN":"0028-4793","PMID":"27518661","abstract":"Copyright © 2016 Massachusetts Medical Society. All rights reserved. BACKGROUND Hidradenitis suppurativa is a painful, chronic inflammatory skin disease with few options for effective treatment. In a phase 2 trial, adalimumab, an antibody against tumor necrosis factor á, showed efficacy against hidradenitis suppurativa. METHODS PIONEER I and II were similarly designed, phase 3 multicenter trials of adalimumab for hidradenitis suppurativa, with two double-blind, placebo-controlled periods. In period 1, patients were randomly assigned in a 1:1 ratio to 40 mg of adalimumab weekly or matching placebo for 12 weeks. In period 2, patients were reassigned to adalimumab at a weekly or every-other-week dose or to placebo for 24 weeks. The primary end point was a clinical response, defined as at least a 50% reduction from baseline in the abscess and inflammatory-nodule count, with no increase in abscess or draining-fistula counts, at week 12. RESULTS We enrolled 307 patients in PIONEER I and 326 in PIONEER II. Clinical response rates at week 12 were significantly higher for the groups receiving adalimumab weekly than for the placebo groups: 41.8% versus 26.0% in PIONEER I (P = 0.003) and 58.9% versus 27.6% in PIONEER II (P&lt;0.001). Patients receiving adalimumab had significantly greater improvement than the placebo groups in rank-ordered secondary outcomes (lesions, pain, and the modified Sartorius score for disease severity) at week 12 in PIONEER II only. Serious adverse events in period 1 (excluding worsening of underlying disease) occurred in 1.3% of patients receiving adalimumab and 1.3% of those receiving placebo in PIONEER I and in 1.8% and 3.7% of patients, respectively, in PIONEER II. In period 2, the rates of serious adverse events were 4.6% or less in all the groups in both studies, with no significant between-group differences. CONCLUSIONS Treatment with adalimumab (40 mg weekly), as compared with placebo, resulted in significantly higher clinical response rates in both trials at 12 weeks; rates of serious adverse events were similar in the study groups.","author":[{"dropping-particle":"","family":"Kimball","given":"Alexa B.","non-dropping-particle":"","parse-names":false,"suffix":""},{"dropping-particle":"","family":"Okun","given":"Martin M.","non-dropping-particle":"","parse-names":false,"suffix":""},{"dropping-particle":"","family":"Williams","given":"David A.","non-dropping-particle":"","parse-names":false,"suffix":""},{"dropping-particle":"","family":"Gottlieb","given":"Alice B.","non-dropping-particle":"","parse-names":false,"suffix":""},{"dropping-particle":"","family":"Papp","given":"Kim A.","non-dropping-particle":"","parse-names":false,"suffix":""},{"dropping-particle":"","family":"Zouboulis","given":"Christos C.","non-dropping-particle":"","parse-names":false,"suffix":""},{"dropping-particle":"","family":"Armstrong","given":"April W.","non-dropping-particle":"","parse-names":false,"suffix":""},{"dropping-particle":"","family":"Kerdel","given":"Francisco","non-dropping-particle":"","parse-names":false,"suffix":""},{"dropping-particle":"","family":"Gold","given":"Michael H.","non-dropping-particle":"","parse-names":false,"suffix":""},{"dropping-particle":"","family":"Forman","given":"Seth B.","non-dropping-particle":"","parse-names":false,"suffix":""},{"dropping-particle":"","family":"Korman","given":"Neil J.","non-dropping-particle":"","parse-names":false,"suffix":""},{"dropping-particle":"","family":"Giamarellos-Bourboulis","given":"Evangelos J.","non-dropping-particle":"","parse-names":false,"suffix":""},{"dropping-particle":"","family":"Crowley","given":"Jeffrey J.","non-dropping-particle":"","parse-names":false,"suffix":""},{"dropping-particle":"","family":"Lynde","given":"Charles","non-dropping-particle":"","parse-names":false,"suffix":""},{"dropping-particle":"","family":"Reguiai","given":"Ziad","non-dropping-particle":"","parse-names":false,"suffix":""},{"dropping-particle":"","family":"Prens","given":"Errol-Prospero","non-dropping-particle":"","parse-names":false,"suffix":""},{"dropping-particle":"","family":"Alwawi","given":"Eihab","non-dropping-particle":"","parse-names":false,"suffix":""},{"dropping-particle":"","family":"Mostafa","given":"Nael M.","non-dropping-particle":"","parse-names":false,"suffix":""},{"dropping-particle":"","family":"Pinsky","given":"Brett","non-dropping-particle":"","parse-names":false,"suffix":""},{"dropping-particle":"","family":"Sundaram","given":"Murali","non-dropping-particle":"","parse-names":false,"suffix":""},{"dropping-particle":"","family":"Gu","given":"Yihua","non-dropping-particle":"","parse-names":false,"suffix":""},{"dropping-particle":"","family":"Carlson","given":"Dawn M.","non-dropping-particle":"","parse-names":false,"suffix":""},{"dropping-particle":"","family":"Jemec","given":"Gregor B.E.","non-dropping-particle":"","parse-names":false,"suffix":""}],"container-title":"New England Journal of Medicine","id":"ITEM-1","issue":"5","issued":{"date-parts":[["2016"]]},"page":"422-434","title":"Two Phase 3 Trials of Adalimumab for Hidradenitis Suppurativa","type":"article-journal","volume":"375"},"uris":["http://www.mendeley.com/documents/?uuid=8c6c5c34-2a86-4658-b16a-e3d605696e12"]}],"mendeley":{"formattedCitation":"(1)","plainTextFormattedCitation":"(1)","previouslyFormattedCitation":"(1)"},"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1</w:t>
            </w:r>
            <w:r w:rsidRPr="002532FB">
              <w:rPr>
                <w:rFonts w:ascii="Times New Roman" w:hAnsi="Times New Roman" w:cs="Times New Roman"/>
                <w:b/>
                <w:bCs/>
                <w:i w:val="0"/>
                <w:sz w:val="22"/>
                <w:szCs w:val="22"/>
              </w:rPr>
              <w:t>]</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1070" w:type="dxa"/>
          </w:tcPr>
          <w:p w14:paraId="79C4D03F" w14:textId="58584B90"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c>
          <w:tcPr>
            <w:tcW w:w="990" w:type="dxa"/>
          </w:tcPr>
          <w:p w14:paraId="0E75FCBF" w14:textId="6E914470"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c>
          <w:tcPr>
            <w:tcW w:w="1440" w:type="dxa"/>
          </w:tcPr>
          <w:p w14:paraId="5F6DE89A" w14:textId="70384481"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r>
      <w:tr w:rsidR="002532FB" w:rsidRPr="00D72B42" w14:paraId="5645C562" w14:textId="77777777" w:rsidTr="00D84DAE">
        <w:trPr>
          <w:trHeight w:val="316"/>
        </w:trPr>
        <w:tc>
          <w:tcPr>
            <w:cnfStyle w:val="001000000000" w:firstRow="0" w:lastRow="0" w:firstColumn="1" w:lastColumn="0" w:oddVBand="0" w:evenVBand="0" w:oddHBand="0" w:evenHBand="0" w:firstRowFirstColumn="0" w:firstRowLastColumn="0" w:lastRowFirstColumn="0" w:lastRowLastColumn="0"/>
            <w:tcW w:w="1890" w:type="dxa"/>
          </w:tcPr>
          <w:p w14:paraId="7846772D" w14:textId="374FEABD"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Pioneer I</w:t>
            </w:r>
            <w:r w:rsidRPr="002532FB">
              <w:rPr>
                <w:rFonts w:ascii="Times New Roman" w:hAnsi="Times New Roman" w:cs="Times New Roman"/>
                <w:bCs/>
                <w:i w:val="0"/>
                <w:sz w:val="22"/>
                <w:szCs w:val="22"/>
              </w:rPr>
              <w:t>[1]</w:t>
            </w:r>
          </w:p>
        </w:tc>
        <w:tc>
          <w:tcPr>
            <w:tcW w:w="1070" w:type="dxa"/>
          </w:tcPr>
          <w:p w14:paraId="5071C5DE" w14:textId="18FB9068"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c>
          <w:tcPr>
            <w:tcW w:w="990" w:type="dxa"/>
          </w:tcPr>
          <w:p w14:paraId="37C0BA34" w14:textId="2AFBD3B3"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c>
          <w:tcPr>
            <w:tcW w:w="1440" w:type="dxa"/>
          </w:tcPr>
          <w:p w14:paraId="77B42D96" w14:textId="222461A6"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E6735">
              <w:rPr>
                <w:rFonts w:ascii="Segoe UI Symbol" w:hAnsi="Segoe UI Symbol" w:cs="Segoe UI Symbol"/>
                <w:b/>
                <w:noProof/>
                <w:color w:val="C00000"/>
                <w:sz w:val="20"/>
                <w:szCs w:val="20"/>
              </w:rPr>
              <w:t>✕</w:t>
            </w:r>
          </w:p>
        </w:tc>
      </w:tr>
      <w:tr w:rsidR="002532FB" w:rsidRPr="00D72B42" w14:paraId="3799ACAC"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4DB21E09" w14:textId="15D37C11"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Buimer</w:t>
            </w:r>
            <w:proofErr w:type="spellEnd"/>
            <w:r w:rsidRPr="002532FB">
              <w:rPr>
                <w:rFonts w:ascii="Times New Roman" w:hAnsi="Times New Roman" w:cs="Times New Roman"/>
                <w:bCs/>
                <w:i w:val="0"/>
                <w:sz w:val="22"/>
                <w:szCs w:val="22"/>
              </w:rPr>
              <w:t>[3]</w:t>
            </w:r>
            <w:r w:rsidRPr="002532FB">
              <w:rPr>
                <w:rFonts w:ascii="Times New Roman" w:hAnsi="Times New Roman" w:cs="Times New Roman"/>
                <w:b/>
                <w:bCs/>
                <w:i w:val="0"/>
                <w:iCs w:val="0"/>
                <w:sz w:val="22"/>
                <w:szCs w:val="22"/>
              </w:rPr>
              <w:t xml:space="preserve"> </w:t>
            </w:r>
          </w:p>
        </w:tc>
        <w:tc>
          <w:tcPr>
            <w:tcW w:w="1070" w:type="dxa"/>
          </w:tcPr>
          <w:p w14:paraId="544C74B2" w14:textId="2660C54E"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4A07">
              <w:rPr>
                <w:rFonts w:ascii="Segoe UI Symbol" w:eastAsia="Times New Roman" w:hAnsi="Segoe UI Symbol" w:cs="Segoe UI Symbol"/>
                <w:b/>
                <w:color w:val="0070C0"/>
                <w:sz w:val="22"/>
                <w:szCs w:val="22"/>
              </w:rPr>
              <w:t xml:space="preserve">✓ </w:t>
            </w:r>
          </w:p>
        </w:tc>
        <w:tc>
          <w:tcPr>
            <w:tcW w:w="990" w:type="dxa"/>
          </w:tcPr>
          <w:p w14:paraId="1425A3FD" w14:textId="697DFFE6"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4A07">
              <w:rPr>
                <w:rFonts w:ascii="Segoe UI Symbol" w:eastAsia="Times New Roman" w:hAnsi="Segoe UI Symbol" w:cs="Segoe UI Symbol"/>
                <w:b/>
                <w:color w:val="0070C0"/>
                <w:sz w:val="22"/>
                <w:szCs w:val="22"/>
              </w:rPr>
              <w:t xml:space="preserve">✓ </w:t>
            </w:r>
          </w:p>
        </w:tc>
        <w:tc>
          <w:tcPr>
            <w:tcW w:w="1440" w:type="dxa"/>
          </w:tcPr>
          <w:p w14:paraId="0310D3CA" w14:textId="21CF0E19"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4A07">
              <w:rPr>
                <w:rFonts w:ascii="Segoe UI Symbol" w:eastAsia="Times New Roman" w:hAnsi="Segoe UI Symbol" w:cs="Segoe UI Symbol"/>
                <w:b/>
                <w:color w:val="0070C0"/>
                <w:sz w:val="22"/>
                <w:szCs w:val="22"/>
              </w:rPr>
              <w:t xml:space="preserve">✓ </w:t>
            </w:r>
          </w:p>
        </w:tc>
      </w:tr>
      <w:tr w:rsidR="002532FB" w:rsidRPr="00D72B42" w14:paraId="044D5206"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1D82167C" w14:textId="7F4B58B0"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Kimball 2012</w:t>
            </w:r>
            <w:r w:rsidRPr="002532FB">
              <w:rPr>
                <w:rFonts w:ascii="Times New Roman" w:hAnsi="Times New Roman" w:cs="Times New Roman"/>
                <w:bCs/>
                <w:i w:val="0"/>
                <w:sz w:val="22"/>
                <w:szCs w:val="22"/>
              </w:rPr>
              <w:t>[4,5]</w:t>
            </w:r>
            <w:r w:rsidRPr="002532FB">
              <w:rPr>
                <w:rFonts w:ascii="Times New Roman" w:hAnsi="Times New Roman" w:cs="Times New Roman"/>
                <w:b/>
                <w:bCs/>
                <w:i w:val="0"/>
                <w:iCs w:val="0"/>
                <w:sz w:val="22"/>
                <w:szCs w:val="22"/>
              </w:rPr>
              <w:t xml:space="preserve">  </w:t>
            </w:r>
          </w:p>
        </w:tc>
        <w:tc>
          <w:tcPr>
            <w:tcW w:w="1070" w:type="dxa"/>
          </w:tcPr>
          <w:p w14:paraId="71F9ECA7" w14:textId="50F5158D"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62A4">
              <w:rPr>
                <w:rFonts w:ascii="Segoe UI Symbol" w:hAnsi="Segoe UI Symbol" w:cs="Segoe UI Symbol"/>
                <w:b/>
                <w:noProof/>
                <w:color w:val="C00000"/>
                <w:sz w:val="20"/>
                <w:szCs w:val="20"/>
              </w:rPr>
              <w:t>✕</w:t>
            </w:r>
          </w:p>
        </w:tc>
        <w:tc>
          <w:tcPr>
            <w:tcW w:w="990" w:type="dxa"/>
          </w:tcPr>
          <w:p w14:paraId="1BF8BC94" w14:textId="2E6F79C9"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62A4">
              <w:rPr>
                <w:rFonts w:ascii="Segoe UI Symbol" w:hAnsi="Segoe UI Symbol" w:cs="Segoe UI Symbol"/>
                <w:b/>
                <w:noProof/>
                <w:color w:val="C00000"/>
                <w:sz w:val="20"/>
                <w:szCs w:val="20"/>
              </w:rPr>
              <w:t>✕</w:t>
            </w:r>
          </w:p>
        </w:tc>
        <w:tc>
          <w:tcPr>
            <w:tcW w:w="1440" w:type="dxa"/>
          </w:tcPr>
          <w:p w14:paraId="306741A0" w14:textId="6310471E"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62A4">
              <w:rPr>
                <w:rFonts w:ascii="Segoe UI Symbol" w:hAnsi="Segoe UI Symbol" w:cs="Segoe UI Symbol"/>
                <w:b/>
                <w:noProof/>
                <w:color w:val="C00000"/>
                <w:sz w:val="20"/>
                <w:szCs w:val="20"/>
              </w:rPr>
              <w:t>✕</w:t>
            </w:r>
          </w:p>
        </w:tc>
      </w:tr>
      <w:tr w:rsidR="002532FB" w:rsidRPr="00D72B42" w14:paraId="76B8E77F" w14:textId="77777777" w:rsidTr="00D84DAE">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25505AD1" w14:textId="080E4DDE"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Jemec</w:t>
            </w:r>
            <w:proofErr w:type="spellEnd"/>
            <w:r w:rsidRPr="002532FB">
              <w:rPr>
                <w:rFonts w:ascii="Times New Roman" w:hAnsi="Times New Roman" w:cs="Times New Roman"/>
                <w:bCs/>
                <w:i w:val="0"/>
                <w:sz w:val="22"/>
                <w:szCs w:val="22"/>
              </w:rPr>
              <w:t>[7]</w:t>
            </w:r>
            <w:r w:rsidRPr="002532FB">
              <w:rPr>
                <w:rFonts w:ascii="Times New Roman" w:hAnsi="Times New Roman" w:cs="Times New Roman"/>
                <w:b/>
                <w:bCs/>
                <w:i w:val="0"/>
                <w:iCs w:val="0"/>
                <w:sz w:val="22"/>
                <w:szCs w:val="22"/>
              </w:rPr>
              <w:t xml:space="preserve"> </w:t>
            </w:r>
          </w:p>
        </w:tc>
        <w:tc>
          <w:tcPr>
            <w:tcW w:w="1070" w:type="dxa"/>
          </w:tcPr>
          <w:p w14:paraId="0C5CB16E" w14:textId="4D05C9CD"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72B42">
              <w:rPr>
                <w:rFonts w:ascii="Times New Roman" w:hAnsi="Times New Roman" w:cs="Times New Roman"/>
                <w:sz w:val="20"/>
                <w:szCs w:val="20"/>
              </w:rPr>
              <w:t xml:space="preserve">     </w:t>
            </w: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r w:rsidRPr="00D72B42">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b</w:t>
            </w:r>
          </w:p>
        </w:tc>
        <w:tc>
          <w:tcPr>
            <w:tcW w:w="990" w:type="dxa"/>
          </w:tcPr>
          <w:p w14:paraId="5B0F7D56" w14:textId="7887DF8A"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173E">
              <w:rPr>
                <w:rFonts w:ascii="Segoe UI Symbol" w:eastAsia="Times New Roman" w:hAnsi="Segoe UI Symbol" w:cs="Segoe UI Symbol"/>
                <w:b/>
                <w:color w:val="0070C0"/>
                <w:sz w:val="22"/>
                <w:szCs w:val="22"/>
              </w:rPr>
              <w:t xml:space="preserve">✓ </w:t>
            </w:r>
          </w:p>
        </w:tc>
        <w:tc>
          <w:tcPr>
            <w:tcW w:w="1440" w:type="dxa"/>
          </w:tcPr>
          <w:p w14:paraId="7C4824CE" w14:textId="4AC2B33F"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173E">
              <w:rPr>
                <w:rFonts w:ascii="Segoe UI Symbol" w:eastAsia="Times New Roman" w:hAnsi="Segoe UI Symbol" w:cs="Segoe UI Symbol"/>
                <w:b/>
                <w:color w:val="0070C0"/>
                <w:sz w:val="22"/>
                <w:szCs w:val="22"/>
              </w:rPr>
              <w:t xml:space="preserve">✓ </w:t>
            </w:r>
          </w:p>
        </w:tc>
      </w:tr>
      <w:tr w:rsidR="002532FB" w:rsidRPr="00D72B42" w14:paraId="38769F6B"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2E95EC4C" w14:textId="22604D88"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Yildiz</w:t>
            </w:r>
            <w:proofErr w:type="spellEnd"/>
            <w:r w:rsidRPr="002532FB">
              <w:rPr>
                <w:rFonts w:ascii="Times New Roman" w:hAnsi="Times New Roman" w:cs="Times New Roman"/>
                <w:b/>
                <w:bCs/>
                <w:sz w:val="22"/>
                <w:szCs w:val="22"/>
              </w:rPr>
              <w:fldChar w:fldCharType="begin" w:fldLock="1"/>
            </w:r>
            <w:r w:rsidRPr="002532FB">
              <w:rPr>
                <w:rFonts w:ascii="Times New Roman" w:hAnsi="Times New Roman" w:cs="Times New Roman"/>
                <w:b/>
                <w:bCs/>
                <w:i w:val="0"/>
                <w:iCs w:val="0"/>
                <w:sz w:val="22"/>
                <w:szCs w:val="22"/>
              </w:rPr>
              <w:instrText>ADDIN CSL_CITATION {"citationItems":[{"id":"ITEM-1","itemData":{"DOI":"10.1111/ijd.12936","ISSN":"13654632","PMID":"26267600","abstract":"Hyperbaric oxygen therapy (HBOT) appears to enhance wound healing, increase bactericidal activity, and act synergistically with a number of antibiotics. The aim of this study was to evaluate the efficacy of HBOT as an adjunctive therapy in patients with hidradenitis suppurativa (HS) treated with a combination of systemic rifampicin and clindamycin. The study was a prospective, single-center, single-dose, open-label, randomized controlled clinical study of HBOT in patients with moderate to severe HS. Efficacy was measured by modified Sartorius score (SS), HS Severity Index (HSSI), Dermatology Life Quality Index (DLQI), and a visual analog scale (VAS) before treatment and after the completion of 4 and 10 weeks of treatment. Erythrocyte sedimentation rate (ESR) and C-reactive protein (CRP) levels were also measured. Forty-three patients were enrolled in the study. More patients in the HBOT than in the control group showed a decrease of ≥50% from baseline parameters at week 10 for SS (100%), HSSI (100%), DLQI (95.5%), VAS (100%), ESR (100%), and CRP (72.7%). Clinically and statistically significant improvements from baseline were observed at 4 and 10 weeks in HSSI (P = 0.009 at both), SS (P = 0.021 at both), and DLQI (P = 0.044 at week 4, P = 0.009 at week 10). Adjunctive HBOT was considered to be effective in significantly improving antibiotic treatment of HS. The treatment was well tolerated, and no unexpected safety issues were identified.","author":[{"dropping-particle":"","family":"Yildiz","given":"Hamza","non-dropping-particle":"","parse-names":false,"suffix":""},{"dropping-particle":"","family":"Senol","given":"Levent","non-dropping-particle":"","parse-names":false,"suffix":""},{"dropping-particle":"","family":"Ercan","given":"Erdinc","non-dropping-particle":"","parse-names":false,"suffix":""},{"dropping-particle":"","family":"Bilgili","given":"Memet Ersan","non-dropping-particle":"","parse-names":false,"suffix":""},{"dropping-particle":"","family":"Karabudak Abuaf","given":"Ozlem","non-dropping-particle":"","parse-names":false,"suffix":""}],"container-title":"International Journal of Dermatology","id":"ITEM-1","issue":"2","issued":{"date-parts":[["2016"]]},"page":"232-237","title":"A prospective randomized controlled trial assessing the efficacy of adjunctive hyperbaric oxygen therapy in the treatment of hidradenitis suppurativa","type":"article-journal","volume":"55"},"uris":["http://www.mendeley.com/documents/?uuid=bc2e3e0a-235c-4928-883b-3d2d27e6e61f"]}],"mendeley":{"formattedCitation":"(8)","plainTextFormattedCitation":"(8)","previouslyFormattedCitation":"(8)"},"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Pr="002532FB">
              <w:rPr>
                <w:rFonts w:ascii="Times New Roman" w:hAnsi="Times New Roman" w:cs="Times New Roman"/>
                <w:bCs/>
                <w:i w:val="0"/>
                <w:iCs w:val="0"/>
                <w:noProof/>
                <w:sz w:val="22"/>
                <w:szCs w:val="22"/>
              </w:rPr>
              <w:t>[8]</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1070" w:type="dxa"/>
          </w:tcPr>
          <w:p w14:paraId="65293021" w14:textId="26A5AAF5"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72B42">
              <w:rPr>
                <w:rFonts w:ascii="Times New Roman" w:hAnsi="Times New Roman" w:cs="Times New Roman"/>
                <w:sz w:val="20"/>
                <w:szCs w:val="20"/>
              </w:rPr>
              <w:t xml:space="preserve"> </w:t>
            </w: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c>
          <w:tcPr>
            <w:tcW w:w="990" w:type="dxa"/>
          </w:tcPr>
          <w:p w14:paraId="78283DEC" w14:textId="0F97B9E1"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173E">
              <w:rPr>
                <w:rFonts w:ascii="Segoe UI Symbol" w:eastAsia="Times New Roman" w:hAnsi="Segoe UI Symbol" w:cs="Segoe UI Symbol"/>
                <w:b/>
                <w:color w:val="0070C0"/>
                <w:sz w:val="22"/>
                <w:szCs w:val="22"/>
              </w:rPr>
              <w:t xml:space="preserve">✓ </w:t>
            </w:r>
          </w:p>
        </w:tc>
        <w:tc>
          <w:tcPr>
            <w:tcW w:w="1440" w:type="dxa"/>
          </w:tcPr>
          <w:p w14:paraId="3ADC8211" w14:textId="2A634ECE"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4173E">
              <w:rPr>
                <w:rFonts w:ascii="Segoe UI Symbol" w:eastAsia="Times New Roman" w:hAnsi="Segoe UI Symbol" w:cs="Segoe UI Symbol"/>
                <w:b/>
                <w:color w:val="0070C0"/>
                <w:sz w:val="22"/>
                <w:szCs w:val="22"/>
              </w:rPr>
              <w:t xml:space="preserve">✓ </w:t>
            </w:r>
          </w:p>
        </w:tc>
      </w:tr>
      <w:tr w:rsidR="002532FB" w:rsidRPr="00D72B42" w14:paraId="43F3F06E" w14:textId="77777777" w:rsidTr="00D84D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39CE8C29" w14:textId="6C801C27"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Wilden</w:t>
            </w:r>
            <w:r w:rsidRPr="002532FB">
              <w:rPr>
                <w:rFonts w:ascii="Times New Roman" w:hAnsi="Times New Roman" w:cs="Times New Roman"/>
                <w:b/>
                <w:bCs/>
                <w:sz w:val="22"/>
                <w:szCs w:val="22"/>
              </w:rPr>
              <w:fldChar w:fldCharType="begin" w:fldLock="1"/>
            </w:r>
            <w:r w:rsidRPr="002532FB">
              <w:rPr>
                <w:rFonts w:ascii="Times New Roman" w:hAnsi="Times New Roman" w:cs="Times New Roman"/>
                <w:b/>
                <w:bCs/>
                <w:i w:val="0"/>
                <w:iCs w:val="0"/>
                <w:sz w:val="22"/>
                <w:szCs w:val="22"/>
              </w:rPr>
              <w:instrText>ADDIN CSL_CITATION {"citationItems":[{"id":"ITEM-1","itemData":{"DOI":"10.1080/09546634.2019.1677842","ISSN":"14711753","PMID":"31609667","abstract":"Background: Hidradenitis suppurativa is a chronic inflammatory disease with high burden. Treatment options are often unsatisfactory. We assessed the effect of a combination therapy of intense pulsed light (IPL) and radiofrequency (RF). Methods: The explorative study included 47 patients and was performed as a prospective, monocentric, randomized, three-arm parallel-group design trial with a prior 12 weeks observation period. Treatment arms were IPL and RF monotherapies or IPL + RF combination therapy. After 12 weeks, all patients received IPL + RF for additional 12 weeks (cross-over). Primary endpoint was the change in active lesion numbers, secondary endpoint the change in Dermatology Quality of Life Index (DLQI). Results: After 12 weeks, active lesion counts of the IPL + RF group decreased more than in the IPL group (p =.044); the decrease in DLQI was significantly higher in the IPL + RF and RF groups compared to IPL. Prolonged 24-week treatment with IPL + RF obtained better results as 12 weeks. Overall, disease burden after 24 weeks of treatment compared to disease fluctuation during the observation period was significantly lower (change in active lesions −3.6, p =.001; in DLQI −5.2, p =.003). Conclusions: IPL + RF treatment appears to represent a promising therapeutic option that leads to reduction of disease activity without severe side effects.","author":[{"dropping-particle":"","family":"Wilden","given":"Sophia","non-dropping-particle":"","parse-names":false,"suffix":""},{"dropping-particle":"","family":"Friis","given":"Marina","non-dropping-particle":"","parse-names":false,"suffix":""},{"dropping-particle":"","family":"Tuettenberg","given":"Andrea","non-dropping-particle":"","parse-names":false,"suffix":""},{"dropping-particle":"","family":"Staubach-Renz","given":"Petra","non-dropping-particle":"","parse-names":false,"suffix":""},{"dropping-particle":"","family":"Wegner","given":"Joanna","non-dropping-particle":"","parse-names":false,"suffix":""},{"dropping-particle":"","family":"Grabbe","given":"Stephan","non-dropping-particle":"","parse-names":false,"suffix":""},{"dropping-particle":"","family":"Stebut","given":"Esther","non-dropping-particle":"von","parse-names":false,"suffix":""}],"container-title":"Journal of Dermatological Treatment","id":"ITEM-1","issue":"5","issued":{"date-parts":[["2021"]]},"page":"530-537","title":"Combined treatment of hidradenitis suppurativa with intense pulsed light (IPL) and radiofrequency (RF)","type":"article-journal","volume":"32"},"uris":["http://www.mendeley.com/documents/?uuid=177e52e5-bc2e-4da0-baa0-ec028a2d751a"]}],"mendeley":{"formattedCitation":"(9)","plainTextFormattedCitation":"(9)","previouslyFormattedCitation":"(9)"},"properties":{"noteIndex":0},"schema":"https://github.com/citation-style-language/schema/raw/master/csl-citation.json"}</w:instrText>
            </w:r>
            <w:r w:rsidRPr="002532FB">
              <w:rPr>
                <w:rFonts w:ascii="Times New Roman" w:hAnsi="Times New Roman" w:cs="Times New Roman"/>
                <w:b/>
                <w:bCs/>
                <w:sz w:val="22"/>
                <w:szCs w:val="22"/>
              </w:rPr>
              <w:fldChar w:fldCharType="separate"/>
            </w:r>
            <w:r w:rsidRPr="002532FB">
              <w:rPr>
                <w:rFonts w:ascii="Times New Roman" w:hAnsi="Times New Roman" w:cs="Times New Roman"/>
                <w:bCs/>
                <w:i w:val="0"/>
                <w:iCs w:val="0"/>
                <w:noProof/>
                <w:sz w:val="22"/>
                <w:szCs w:val="22"/>
              </w:rPr>
              <w:t>[9]</w:t>
            </w:r>
            <w:r w:rsidRPr="002532FB">
              <w:rPr>
                <w:rFonts w:ascii="Times New Roman" w:hAnsi="Times New Roman" w:cs="Times New Roman"/>
                <w:b/>
                <w:bCs/>
                <w:sz w:val="22"/>
                <w:szCs w:val="22"/>
              </w:rPr>
              <w:fldChar w:fldCharType="end"/>
            </w:r>
            <w:r w:rsidRPr="002532FB">
              <w:rPr>
                <w:rFonts w:ascii="Times New Roman" w:hAnsi="Times New Roman" w:cs="Times New Roman"/>
                <w:b/>
                <w:bCs/>
                <w:i w:val="0"/>
                <w:iCs w:val="0"/>
                <w:sz w:val="22"/>
                <w:szCs w:val="22"/>
              </w:rPr>
              <w:t xml:space="preserve"> </w:t>
            </w:r>
          </w:p>
        </w:tc>
        <w:tc>
          <w:tcPr>
            <w:tcW w:w="1070" w:type="dxa"/>
          </w:tcPr>
          <w:p w14:paraId="648F2259" w14:textId="3CCF527E"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330A">
              <w:rPr>
                <w:rFonts w:ascii="Segoe UI Symbol" w:eastAsia="Times New Roman" w:hAnsi="Segoe UI Symbol" w:cs="Segoe UI Symbol"/>
                <w:b/>
                <w:color w:val="0070C0"/>
                <w:sz w:val="22"/>
                <w:szCs w:val="22"/>
              </w:rPr>
              <w:t xml:space="preserve">✓ </w:t>
            </w:r>
          </w:p>
        </w:tc>
        <w:tc>
          <w:tcPr>
            <w:tcW w:w="990" w:type="dxa"/>
          </w:tcPr>
          <w:p w14:paraId="6225988E" w14:textId="789C71D4"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330A">
              <w:rPr>
                <w:rFonts w:ascii="Segoe UI Symbol" w:eastAsia="Times New Roman" w:hAnsi="Segoe UI Symbol" w:cs="Segoe UI Symbol"/>
                <w:b/>
                <w:color w:val="0070C0"/>
                <w:sz w:val="22"/>
                <w:szCs w:val="22"/>
              </w:rPr>
              <w:t xml:space="preserve">✓ </w:t>
            </w:r>
          </w:p>
        </w:tc>
        <w:tc>
          <w:tcPr>
            <w:tcW w:w="1440" w:type="dxa"/>
          </w:tcPr>
          <w:p w14:paraId="575A72D3" w14:textId="24C7CBDA"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4330A">
              <w:rPr>
                <w:rFonts w:ascii="Segoe UI Symbol" w:eastAsia="Times New Roman" w:hAnsi="Segoe UI Symbol" w:cs="Segoe UI Symbol"/>
                <w:b/>
                <w:color w:val="0070C0"/>
                <w:sz w:val="22"/>
                <w:szCs w:val="22"/>
              </w:rPr>
              <w:t xml:space="preserve">✓ </w:t>
            </w:r>
          </w:p>
        </w:tc>
      </w:tr>
      <w:tr w:rsidR="002532FB" w:rsidRPr="00D72B42" w14:paraId="16A3E385"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005B7565" w14:textId="65DB271E"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Grant</w:t>
            </w:r>
            <w:r w:rsidRPr="002532FB">
              <w:rPr>
                <w:rFonts w:ascii="Times New Roman" w:hAnsi="Times New Roman" w:cs="Times New Roman"/>
                <w:bCs/>
                <w:sz w:val="22"/>
                <w:szCs w:val="22"/>
              </w:rPr>
              <w:fldChar w:fldCharType="begin" w:fldLock="1"/>
            </w:r>
            <w:r w:rsidRPr="002532FB">
              <w:rPr>
                <w:rFonts w:ascii="Times New Roman" w:hAnsi="Times New Roman" w:cs="Times New Roman"/>
                <w:bCs/>
                <w:i w:val="0"/>
                <w:iCs w:val="0"/>
                <w:sz w:val="22"/>
                <w:szCs w:val="22"/>
              </w:rPr>
              <w:instrText>ADDIN CSL_CITATION {"citationItems":[{"id":"ITEM-1","itemData":{"DOI":"10.1016/j.jaad.2009.06.050","ISSN":"01909622","PMID":"20115947","abstract":"Background: Biologic therapies with anti-tumor necrosis factor agents are promising treatments for hidradenitis suppurativa (HS). Objective: We assessed the efficacy and safety of infliximab (IFX) for the treatment of moderate to severe HS. Methods: A prospective double-blind treatment phase of 8 weeks where patients received IFX or placebo was followed by an open-label phase where patients taking placebo were given the opportunity to cross over to IFX, and an observational phase. Primary treatment efficacy was based on HS Severity Index. Secondary end points included Dermatology Life Quality Index, visual analog scale, and Physician Global Assessment scores. Inflammatory markers erythrocyte sedimentation rate and C-reactive protein were also assessed. Results: More patients in the IFX than in the placebo group showed a 50% or greater decrease from baseline HS Severity Index score. In addition, statistically and clinically significant improvement from baseline was observed at week 8 in Dermatology Life Quality Index score, visual analog scale score, erythrocyte sedimentation rate, and C-reactive protein compared with placebo. Patients in the placebo group treated with IFX after week 8 (crossover) responded similarly to the original IFX group. Many patients withdrew during the observational phase to continue anti-tumor necrosis factor-alfa therapy. No unexpected serious adverse events were observed. Limitations: Results are representative of a single center, patients were treated by a single physician, some patients did not return after their last infusion, and the HS Severity Index requires validation. Conclusions: This clinical study represents the first formal assessment of IFX for treatment of moderate to severe HS. IFX was well tolerated, no unexpected safety issues were identified, and improvements in pain intensity, disease severity, and quality of life were demonstrated with concomitant reduction in clinical markers of inflammation. © 2009 American Academy of Dermatology, Inc.","author":[{"dropping-particle":"","family":"Grant","given":"Annika","non-dropping-particle":"","parse-names":false,"suffix":""},{"dropping-particle":"","family":"Gonzalez","given":"Tayler","non-dropping-particle":"","parse-names":false,"suffix":""},{"dropping-particle":"","family":"Montgomery","given":"Michael O.","non-dropping-particle":"","parse-names":false,"suffix":""},{"dropping-particle":"","family":"Cardenas","given":"Vanessa","non-dropping-particle":"","parse-names":false,"suffix":""},{"dropping-particle":"","family":"Kerdel","given":"Francisco A.","non-dropping-particle":"","parse-names":false,"suffix":""}],"container-title":"Journal of the American Academy of Dermatology","id":"ITEM-1","issued":{"date-parts":[["2010"]]},"title":"Infliximab therapy for patients with moderate to severe hidradenitis suppurativa: A randomized, double-blind, placebo-controlled crossover trial","type":"article-journal"},"uris":["http://www.mendeley.com/documents/?uuid=4ac4371a-2ee1-48b1-b0a0-67442a4dcf98"]}],"mendeley":{"formattedCitation":"(10)","plainTextFormattedCitation":"(10)","previouslyFormattedCitation":"(10)"},"properties":{"noteIndex":0},"schema":"https://github.com/citation-style-language/schema/raw/master/csl-citation.json"}</w:instrText>
            </w:r>
            <w:r w:rsidRPr="002532FB">
              <w:rPr>
                <w:rFonts w:ascii="Times New Roman" w:hAnsi="Times New Roman" w:cs="Times New Roman"/>
                <w:bCs/>
                <w:sz w:val="22"/>
                <w:szCs w:val="22"/>
              </w:rPr>
              <w:fldChar w:fldCharType="separate"/>
            </w:r>
            <w:r w:rsidRPr="002532FB">
              <w:rPr>
                <w:rFonts w:ascii="Times New Roman" w:hAnsi="Times New Roman" w:cs="Times New Roman"/>
                <w:bCs/>
                <w:i w:val="0"/>
                <w:sz w:val="22"/>
                <w:szCs w:val="22"/>
              </w:rPr>
              <w:t>[10]</w:t>
            </w:r>
            <w:r w:rsidRPr="002532FB">
              <w:rPr>
                <w:rFonts w:ascii="Times New Roman" w:hAnsi="Times New Roman" w:cs="Times New Roman"/>
                <w:bCs/>
                <w:sz w:val="22"/>
                <w:szCs w:val="22"/>
              </w:rPr>
              <w:fldChar w:fldCharType="end"/>
            </w:r>
            <w:r w:rsidRPr="002532FB">
              <w:rPr>
                <w:rFonts w:ascii="Times New Roman" w:hAnsi="Times New Roman" w:cs="Times New Roman"/>
                <w:b/>
                <w:bCs/>
                <w:i w:val="0"/>
                <w:iCs w:val="0"/>
                <w:sz w:val="22"/>
                <w:szCs w:val="22"/>
              </w:rPr>
              <w:t xml:space="preserve"> </w:t>
            </w:r>
          </w:p>
        </w:tc>
        <w:tc>
          <w:tcPr>
            <w:tcW w:w="1070" w:type="dxa"/>
          </w:tcPr>
          <w:p w14:paraId="1F766E73" w14:textId="3741DD22"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0E51">
              <w:rPr>
                <w:rFonts w:ascii="Segoe UI Symbol" w:hAnsi="Segoe UI Symbol" w:cs="Segoe UI Symbol"/>
                <w:b/>
                <w:noProof/>
                <w:color w:val="C00000"/>
                <w:sz w:val="20"/>
                <w:szCs w:val="20"/>
              </w:rPr>
              <w:t>✕</w:t>
            </w:r>
          </w:p>
        </w:tc>
        <w:tc>
          <w:tcPr>
            <w:tcW w:w="990" w:type="dxa"/>
          </w:tcPr>
          <w:p w14:paraId="1D77E2C8" w14:textId="7F64C3FB"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0E51">
              <w:rPr>
                <w:rFonts w:ascii="Segoe UI Symbol" w:hAnsi="Segoe UI Symbol" w:cs="Segoe UI Symbol"/>
                <w:b/>
                <w:noProof/>
                <w:color w:val="C00000"/>
                <w:sz w:val="20"/>
                <w:szCs w:val="20"/>
              </w:rPr>
              <w:t>✕</w:t>
            </w:r>
          </w:p>
        </w:tc>
        <w:tc>
          <w:tcPr>
            <w:tcW w:w="1440" w:type="dxa"/>
          </w:tcPr>
          <w:p w14:paraId="1B43E48E" w14:textId="644BA974"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0E51">
              <w:rPr>
                <w:rFonts w:ascii="Segoe UI Symbol" w:hAnsi="Segoe UI Symbol" w:cs="Segoe UI Symbol"/>
                <w:b/>
                <w:noProof/>
                <w:color w:val="C00000"/>
                <w:sz w:val="20"/>
                <w:szCs w:val="20"/>
              </w:rPr>
              <w:t>✕</w:t>
            </w:r>
          </w:p>
        </w:tc>
      </w:tr>
      <w:tr w:rsidR="002532FB" w:rsidRPr="00D72B42" w14:paraId="2A42E703"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285C272E" w14:textId="6342C5BC"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Naouri</w:t>
            </w:r>
            <w:proofErr w:type="spellEnd"/>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12]</w:t>
            </w:r>
          </w:p>
        </w:tc>
        <w:tc>
          <w:tcPr>
            <w:tcW w:w="1070" w:type="dxa"/>
          </w:tcPr>
          <w:p w14:paraId="6949D1ED" w14:textId="11DC10C2"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500763D0" w14:textId="2505EF96"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468CFFEC" w14:textId="0771F6E7"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726E4117"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63A5359B" w14:textId="4602C827"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Fajgenbaum</w:t>
            </w:r>
            <w:proofErr w:type="spellEnd"/>
            <w:r w:rsidRPr="002532FB">
              <w:rPr>
                <w:rFonts w:ascii="Times New Roman" w:hAnsi="Times New Roman" w:cs="Times New Roman"/>
                <w:bCs/>
                <w:i w:val="0"/>
                <w:sz w:val="22"/>
                <w:szCs w:val="22"/>
              </w:rPr>
              <w:t>[13]</w:t>
            </w:r>
            <w:r w:rsidRPr="002532FB">
              <w:rPr>
                <w:rFonts w:ascii="Times New Roman" w:hAnsi="Times New Roman" w:cs="Times New Roman"/>
                <w:b/>
                <w:bCs/>
                <w:i w:val="0"/>
                <w:iCs w:val="0"/>
                <w:sz w:val="22"/>
                <w:szCs w:val="22"/>
              </w:rPr>
              <w:t xml:space="preserve"> </w:t>
            </w:r>
          </w:p>
        </w:tc>
        <w:tc>
          <w:tcPr>
            <w:tcW w:w="1070" w:type="dxa"/>
          </w:tcPr>
          <w:p w14:paraId="738999C6" w14:textId="427B8A30"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00DD2530" w14:textId="6FC514D2"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3EE8576A" w14:textId="3A19B0F8"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292B56DA"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0AC414E2" w14:textId="76D85C5A"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Angel</w:t>
            </w:r>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14]</w:t>
            </w:r>
            <w:r w:rsidRPr="002532FB">
              <w:rPr>
                <w:rFonts w:ascii="Times New Roman" w:hAnsi="Times New Roman" w:cs="Times New Roman"/>
                <w:b/>
                <w:bCs/>
                <w:i w:val="0"/>
                <w:iCs w:val="0"/>
                <w:sz w:val="22"/>
                <w:szCs w:val="22"/>
              </w:rPr>
              <w:t xml:space="preserve"> </w:t>
            </w:r>
          </w:p>
        </w:tc>
        <w:tc>
          <w:tcPr>
            <w:tcW w:w="1070" w:type="dxa"/>
          </w:tcPr>
          <w:p w14:paraId="42758DFD" w14:textId="1871379F"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32D50AFD" w14:textId="76BCB97E"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32134ADA" w14:textId="06A6E4A7"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04C3A890"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7EAFB1DF" w14:textId="0E36FD04"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Mortimer</w:t>
            </w:r>
            <w:r w:rsidRPr="002532FB">
              <w:rPr>
                <w:rFonts w:ascii="Times New Roman" w:hAnsi="Times New Roman" w:cs="Times New Roman"/>
                <w:bCs/>
                <w:i w:val="0"/>
                <w:sz w:val="22"/>
                <w:szCs w:val="22"/>
              </w:rPr>
              <w:t>[15]</w:t>
            </w:r>
          </w:p>
        </w:tc>
        <w:tc>
          <w:tcPr>
            <w:tcW w:w="1070" w:type="dxa"/>
          </w:tcPr>
          <w:p w14:paraId="46325820" w14:textId="4A6F7C9E"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146B9EAA" w14:textId="412504B2"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7FB2ADD4" w14:textId="4B9E83E1"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56485C2E"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61264A3E" w14:textId="7002FD72" w:rsidR="002532FB" w:rsidRPr="00D72B42" w:rsidRDefault="002532FB" w:rsidP="002532FB">
            <w:pPr>
              <w:rPr>
                <w:rFonts w:ascii="Times New Roman" w:hAnsi="Times New Roman" w:cs="Times New Roman"/>
                <w:b/>
                <w:sz w:val="20"/>
                <w:szCs w:val="20"/>
              </w:rPr>
            </w:pPr>
            <w:r w:rsidRPr="002532FB">
              <w:rPr>
                <w:rFonts w:ascii="Times New Roman" w:hAnsi="Times New Roman" w:cs="Times New Roman"/>
                <w:b/>
                <w:bCs/>
                <w:i w:val="0"/>
                <w:iCs w:val="0"/>
                <w:sz w:val="22"/>
                <w:szCs w:val="22"/>
              </w:rPr>
              <w:t>Andersen</w:t>
            </w:r>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16]</w:t>
            </w:r>
          </w:p>
        </w:tc>
        <w:tc>
          <w:tcPr>
            <w:tcW w:w="1070" w:type="dxa"/>
          </w:tcPr>
          <w:p w14:paraId="7DE71B31" w14:textId="320C9988"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260B1CF7" w14:textId="4431E61F"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1362F471" w14:textId="1B3624D5"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6BA041DF"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31053557" w14:textId="546EDADF"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Mahmoud</w:t>
            </w:r>
            <w:r w:rsidRPr="002532FB">
              <w:rPr>
                <w:rFonts w:ascii="Times New Roman" w:hAnsi="Times New Roman" w:cs="Times New Roman"/>
                <w:bCs/>
                <w:i w:val="0"/>
                <w:sz w:val="22"/>
                <w:szCs w:val="22"/>
              </w:rPr>
              <w:t>[17.18]</w:t>
            </w:r>
            <w:r w:rsidRPr="002532FB">
              <w:rPr>
                <w:rFonts w:ascii="Times New Roman" w:hAnsi="Times New Roman" w:cs="Times New Roman"/>
                <w:b/>
                <w:bCs/>
                <w:i w:val="0"/>
                <w:iCs w:val="0"/>
                <w:sz w:val="22"/>
                <w:szCs w:val="22"/>
              </w:rPr>
              <w:t xml:space="preserve"> </w:t>
            </w:r>
          </w:p>
        </w:tc>
        <w:tc>
          <w:tcPr>
            <w:tcW w:w="1070" w:type="dxa"/>
          </w:tcPr>
          <w:p w14:paraId="5AD3D641" w14:textId="286AD1F8"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990" w:type="dxa"/>
          </w:tcPr>
          <w:p w14:paraId="0BCF72FA" w14:textId="49561BB6"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c>
          <w:tcPr>
            <w:tcW w:w="1440" w:type="dxa"/>
          </w:tcPr>
          <w:p w14:paraId="307AA1DC" w14:textId="072FCDE8"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033C">
              <w:rPr>
                <w:rFonts w:ascii="Segoe UI Symbol" w:eastAsia="Times New Roman" w:hAnsi="Segoe UI Symbol" w:cs="Segoe UI Symbol"/>
                <w:b/>
                <w:color w:val="0070C0"/>
                <w:sz w:val="22"/>
                <w:szCs w:val="22"/>
              </w:rPr>
              <w:t xml:space="preserve">✓ </w:t>
            </w:r>
          </w:p>
        </w:tc>
      </w:tr>
      <w:tr w:rsidR="002532FB" w:rsidRPr="00D72B42" w14:paraId="7A3E1D04" w14:textId="77777777" w:rsidTr="00D84D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7E0BF6C1" w14:textId="224E6C84"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Miller</w:t>
            </w:r>
            <w:r w:rsidRPr="002532FB">
              <w:rPr>
                <w:rFonts w:ascii="Times New Roman" w:hAnsi="Times New Roman" w:cs="Times New Roman"/>
                <w:bCs/>
                <w:i w:val="0"/>
                <w:sz w:val="22"/>
                <w:szCs w:val="22"/>
              </w:rPr>
              <w:t>[19]</w:t>
            </w:r>
            <w:r w:rsidRPr="002532FB">
              <w:rPr>
                <w:rFonts w:ascii="Times New Roman" w:hAnsi="Times New Roman" w:cs="Times New Roman"/>
                <w:b/>
                <w:bCs/>
                <w:i w:val="0"/>
                <w:iCs w:val="0"/>
                <w:sz w:val="22"/>
                <w:szCs w:val="22"/>
              </w:rPr>
              <w:t xml:space="preserve"> </w:t>
            </w:r>
          </w:p>
        </w:tc>
        <w:tc>
          <w:tcPr>
            <w:tcW w:w="1070" w:type="dxa"/>
          </w:tcPr>
          <w:p w14:paraId="6BC9FECF" w14:textId="2B8B43E1"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b</w:t>
            </w:r>
          </w:p>
        </w:tc>
        <w:tc>
          <w:tcPr>
            <w:tcW w:w="990" w:type="dxa"/>
          </w:tcPr>
          <w:p w14:paraId="3F41330D" w14:textId="5F48EB21"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b</w:t>
            </w:r>
          </w:p>
        </w:tc>
        <w:tc>
          <w:tcPr>
            <w:tcW w:w="1440" w:type="dxa"/>
          </w:tcPr>
          <w:p w14:paraId="43504A45" w14:textId="132DEE88"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b</w:t>
            </w:r>
          </w:p>
        </w:tc>
      </w:tr>
      <w:tr w:rsidR="002532FB" w:rsidRPr="00D72B42" w14:paraId="423C309F"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3BEC2E7F" w14:textId="31D9A45E"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Adams</w:t>
            </w:r>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20]</w:t>
            </w:r>
            <w:r w:rsidRPr="002532FB">
              <w:rPr>
                <w:rFonts w:ascii="Times New Roman" w:hAnsi="Times New Roman" w:cs="Times New Roman"/>
                <w:b/>
                <w:bCs/>
                <w:i w:val="0"/>
                <w:iCs w:val="0"/>
                <w:sz w:val="22"/>
                <w:szCs w:val="22"/>
              </w:rPr>
              <w:t xml:space="preserve"> </w:t>
            </w:r>
          </w:p>
        </w:tc>
        <w:tc>
          <w:tcPr>
            <w:tcW w:w="1070" w:type="dxa"/>
          </w:tcPr>
          <w:p w14:paraId="0287C5F7" w14:textId="0B6DEEC7"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C1D">
              <w:rPr>
                <w:rFonts w:ascii="Segoe UI Symbol" w:hAnsi="Segoe UI Symbol" w:cs="Segoe UI Symbol"/>
                <w:b/>
                <w:noProof/>
                <w:color w:val="C00000"/>
                <w:sz w:val="20"/>
                <w:szCs w:val="20"/>
              </w:rPr>
              <w:t>✕</w:t>
            </w:r>
          </w:p>
        </w:tc>
        <w:tc>
          <w:tcPr>
            <w:tcW w:w="990" w:type="dxa"/>
          </w:tcPr>
          <w:p w14:paraId="2DC25731" w14:textId="7B977ACC"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C1D">
              <w:rPr>
                <w:rFonts w:ascii="Segoe UI Symbol" w:hAnsi="Segoe UI Symbol" w:cs="Segoe UI Symbol"/>
                <w:b/>
                <w:noProof/>
                <w:color w:val="C00000"/>
                <w:sz w:val="20"/>
                <w:szCs w:val="20"/>
              </w:rPr>
              <w:t>✕</w:t>
            </w:r>
          </w:p>
        </w:tc>
        <w:tc>
          <w:tcPr>
            <w:tcW w:w="1440" w:type="dxa"/>
          </w:tcPr>
          <w:p w14:paraId="1397D111" w14:textId="56FE3E5B"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C1D">
              <w:rPr>
                <w:rFonts w:ascii="Segoe UI Symbol" w:hAnsi="Segoe UI Symbol" w:cs="Segoe UI Symbol"/>
                <w:b/>
                <w:noProof/>
                <w:color w:val="C00000"/>
                <w:sz w:val="20"/>
                <w:szCs w:val="20"/>
              </w:rPr>
              <w:t>✕</w:t>
            </w:r>
          </w:p>
        </w:tc>
      </w:tr>
      <w:tr w:rsidR="002532FB" w:rsidRPr="00D72B42" w14:paraId="277D8DA9"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1A222D7D" w14:textId="1E381771"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Tzanetakou</w:t>
            </w:r>
            <w:proofErr w:type="spellEnd"/>
            <w:r w:rsidRPr="002532FB">
              <w:rPr>
                <w:rFonts w:ascii="Times New Roman" w:hAnsi="Times New Roman" w:cs="Times New Roman"/>
                <w:b/>
                <w:bCs/>
                <w:i w:val="0"/>
                <w:iCs w:val="0"/>
                <w:sz w:val="22"/>
                <w:szCs w:val="22"/>
              </w:rPr>
              <w:t>[</w:t>
            </w:r>
            <w:r w:rsidRPr="002532FB">
              <w:rPr>
                <w:rFonts w:ascii="Times New Roman" w:hAnsi="Times New Roman" w:cs="Times New Roman"/>
                <w:bCs/>
                <w:i w:val="0"/>
                <w:iCs w:val="0"/>
                <w:sz w:val="22"/>
                <w:szCs w:val="22"/>
              </w:rPr>
              <w:t>21]</w:t>
            </w:r>
          </w:p>
        </w:tc>
        <w:tc>
          <w:tcPr>
            <w:tcW w:w="1070" w:type="dxa"/>
          </w:tcPr>
          <w:p w14:paraId="77662D07" w14:textId="4FFAFE8B"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251B">
              <w:rPr>
                <w:rFonts w:ascii="Segoe UI Symbol" w:eastAsia="Times New Roman" w:hAnsi="Segoe UI Symbol" w:cs="Segoe UI Symbol"/>
                <w:b/>
                <w:color w:val="0070C0"/>
                <w:sz w:val="22"/>
                <w:szCs w:val="22"/>
              </w:rPr>
              <w:t>✓</w:t>
            </w:r>
          </w:p>
        </w:tc>
        <w:tc>
          <w:tcPr>
            <w:tcW w:w="990" w:type="dxa"/>
          </w:tcPr>
          <w:p w14:paraId="25DA54BD" w14:textId="417462D3"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43FE">
              <w:rPr>
                <w:rFonts w:ascii="Segoe UI Symbol" w:hAnsi="Segoe UI Symbol" w:cs="Segoe UI Symbol"/>
                <w:b/>
                <w:noProof/>
                <w:color w:val="C00000"/>
                <w:sz w:val="20"/>
                <w:szCs w:val="20"/>
              </w:rPr>
              <w:t>✕</w:t>
            </w:r>
          </w:p>
        </w:tc>
        <w:tc>
          <w:tcPr>
            <w:tcW w:w="1440" w:type="dxa"/>
          </w:tcPr>
          <w:p w14:paraId="43F19F6A" w14:textId="04F464E1"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43FE">
              <w:rPr>
                <w:rFonts w:ascii="Segoe UI Symbol" w:hAnsi="Segoe UI Symbol" w:cs="Segoe UI Symbol"/>
                <w:b/>
                <w:noProof/>
                <w:color w:val="C00000"/>
                <w:sz w:val="20"/>
                <w:szCs w:val="20"/>
              </w:rPr>
              <w:t>✕</w:t>
            </w:r>
          </w:p>
        </w:tc>
      </w:tr>
      <w:tr w:rsidR="002532FB" w:rsidRPr="00D72B42" w14:paraId="2A256984"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16B0524E" w14:textId="2A6E2DC1"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Kanni</w:t>
            </w:r>
            <w:proofErr w:type="spellEnd"/>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23]</w:t>
            </w:r>
            <w:r w:rsidRPr="002532FB">
              <w:rPr>
                <w:rFonts w:ascii="Times New Roman" w:hAnsi="Times New Roman" w:cs="Times New Roman"/>
                <w:b/>
                <w:bCs/>
                <w:i w:val="0"/>
                <w:iCs w:val="0"/>
                <w:sz w:val="22"/>
                <w:szCs w:val="22"/>
              </w:rPr>
              <w:t xml:space="preserve"> </w:t>
            </w:r>
          </w:p>
        </w:tc>
        <w:tc>
          <w:tcPr>
            <w:tcW w:w="1070" w:type="dxa"/>
          </w:tcPr>
          <w:p w14:paraId="3FBA1B05" w14:textId="6B03FC5A" w:rsidR="002532FB" w:rsidRPr="00D72B42" w:rsidDel="00786E7C"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3251B">
              <w:rPr>
                <w:rFonts w:ascii="Segoe UI Symbol" w:eastAsia="Times New Roman" w:hAnsi="Segoe UI Symbol" w:cs="Segoe UI Symbol"/>
                <w:b/>
                <w:color w:val="0070C0"/>
                <w:sz w:val="22"/>
                <w:szCs w:val="22"/>
              </w:rPr>
              <w:t>✓</w:t>
            </w:r>
          </w:p>
        </w:tc>
        <w:tc>
          <w:tcPr>
            <w:tcW w:w="990" w:type="dxa"/>
          </w:tcPr>
          <w:p w14:paraId="61AB66C8" w14:textId="4A1D8E96" w:rsidR="002532FB" w:rsidRPr="00D72B42" w:rsidDel="00786E7C"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p>
        </w:tc>
        <w:tc>
          <w:tcPr>
            <w:tcW w:w="1440" w:type="dxa"/>
          </w:tcPr>
          <w:p w14:paraId="0792E9F1" w14:textId="12F4EB14" w:rsidR="002532FB" w:rsidRPr="00D72B42" w:rsidDel="00786E7C"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3251B">
              <w:rPr>
                <w:rFonts w:ascii="Segoe UI Symbol" w:eastAsia="Times New Roman" w:hAnsi="Segoe UI Symbol" w:cs="Segoe UI Symbol"/>
                <w:b/>
                <w:color w:val="0070C0"/>
                <w:sz w:val="22"/>
                <w:szCs w:val="22"/>
              </w:rPr>
              <w:t>✓</w:t>
            </w:r>
          </w:p>
        </w:tc>
      </w:tr>
      <w:tr w:rsidR="002532FB" w:rsidRPr="00D72B42" w14:paraId="4DD1A287"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784DB1CF" w14:textId="662875E4"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Vossen</w:t>
            </w:r>
            <w:proofErr w:type="spellEnd"/>
            <w:r w:rsidRPr="002532FB">
              <w:rPr>
                <w:rFonts w:ascii="Times New Roman" w:hAnsi="Times New Roman" w:cs="Times New Roman"/>
                <w:bCs/>
                <w:i w:val="0"/>
                <w:sz w:val="22"/>
                <w:szCs w:val="22"/>
              </w:rPr>
              <w:t>[24]</w:t>
            </w:r>
            <w:r w:rsidRPr="002532FB">
              <w:rPr>
                <w:rFonts w:ascii="Times New Roman" w:hAnsi="Times New Roman" w:cs="Times New Roman"/>
                <w:b/>
                <w:bCs/>
                <w:i w:val="0"/>
                <w:iCs w:val="0"/>
                <w:sz w:val="22"/>
                <w:szCs w:val="22"/>
              </w:rPr>
              <w:t xml:space="preserve"> </w:t>
            </w:r>
          </w:p>
        </w:tc>
        <w:tc>
          <w:tcPr>
            <w:tcW w:w="1070" w:type="dxa"/>
          </w:tcPr>
          <w:p w14:paraId="16F6E590" w14:textId="68C2D3D7"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c>
          <w:tcPr>
            <w:tcW w:w="990" w:type="dxa"/>
          </w:tcPr>
          <w:p w14:paraId="18D18468" w14:textId="32E57EC5"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c>
          <w:tcPr>
            <w:tcW w:w="1440" w:type="dxa"/>
          </w:tcPr>
          <w:p w14:paraId="38D13B03" w14:textId="2A6651BB"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r>
      <w:tr w:rsidR="002532FB" w:rsidRPr="00D72B42" w14:paraId="44EF3E84"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7E54F6F9" w14:textId="56819113"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Grimstad</w:t>
            </w:r>
            <w:proofErr w:type="spellEnd"/>
            <w:r w:rsidRPr="002532FB">
              <w:rPr>
                <w:rFonts w:ascii="Times New Roman" w:hAnsi="Times New Roman" w:cs="Times New Roman"/>
                <w:bCs/>
                <w:i w:val="0"/>
                <w:sz w:val="22"/>
                <w:szCs w:val="22"/>
              </w:rPr>
              <w:t>[25]</w:t>
            </w:r>
          </w:p>
        </w:tc>
        <w:tc>
          <w:tcPr>
            <w:tcW w:w="1070" w:type="dxa"/>
          </w:tcPr>
          <w:p w14:paraId="31A2BBBD" w14:textId="2E6BE36E"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05F2">
              <w:rPr>
                <w:rFonts w:ascii="Segoe UI Symbol" w:eastAsia="Times New Roman" w:hAnsi="Segoe UI Symbol" w:cs="Segoe UI Symbol"/>
                <w:b/>
                <w:color w:val="0070C0"/>
                <w:sz w:val="22"/>
                <w:szCs w:val="22"/>
              </w:rPr>
              <w:t xml:space="preserve">✓ </w:t>
            </w:r>
          </w:p>
        </w:tc>
        <w:tc>
          <w:tcPr>
            <w:tcW w:w="990" w:type="dxa"/>
          </w:tcPr>
          <w:p w14:paraId="4B08FD74" w14:textId="7C00B8F9"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05F2">
              <w:rPr>
                <w:rFonts w:ascii="Segoe UI Symbol" w:eastAsia="Times New Roman" w:hAnsi="Segoe UI Symbol" w:cs="Segoe UI Symbol"/>
                <w:b/>
                <w:color w:val="0070C0"/>
                <w:sz w:val="22"/>
                <w:szCs w:val="22"/>
              </w:rPr>
              <w:t xml:space="preserve">✓ </w:t>
            </w:r>
          </w:p>
        </w:tc>
        <w:tc>
          <w:tcPr>
            <w:tcW w:w="1440" w:type="dxa"/>
          </w:tcPr>
          <w:p w14:paraId="32F03A09" w14:textId="42C52A58"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05F2">
              <w:rPr>
                <w:rFonts w:ascii="Segoe UI Symbol" w:eastAsia="Times New Roman" w:hAnsi="Segoe UI Symbol" w:cs="Segoe UI Symbol"/>
                <w:b/>
                <w:color w:val="0070C0"/>
                <w:sz w:val="22"/>
                <w:szCs w:val="22"/>
              </w:rPr>
              <w:t xml:space="preserve">✓ </w:t>
            </w:r>
          </w:p>
        </w:tc>
      </w:tr>
      <w:tr w:rsidR="002532FB" w:rsidRPr="00D72B42" w14:paraId="54599EC8" w14:textId="77777777" w:rsidTr="00D84DA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890" w:type="dxa"/>
            <w:shd w:val="clear" w:color="auto" w:fill="F2F2F2" w:themeFill="background1" w:themeFillShade="F2"/>
          </w:tcPr>
          <w:p w14:paraId="293E203A" w14:textId="08A05BB9"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Azim</w:t>
            </w:r>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27]</w:t>
            </w:r>
            <w:r w:rsidRPr="002532FB">
              <w:rPr>
                <w:rFonts w:ascii="Times New Roman" w:hAnsi="Times New Roman" w:cs="Times New Roman"/>
                <w:b/>
                <w:bCs/>
                <w:i w:val="0"/>
                <w:iCs w:val="0"/>
                <w:sz w:val="22"/>
                <w:szCs w:val="22"/>
              </w:rPr>
              <w:t xml:space="preserve"> </w:t>
            </w:r>
          </w:p>
        </w:tc>
        <w:tc>
          <w:tcPr>
            <w:tcW w:w="1070" w:type="dxa"/>
          </w:tcPr>
          <w:p w14:paraId="14810B79" w14:textId="34913932" w:rsidR="002532FB" w:rsidRPr="00D72B4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c>
          <w:tcPr>
            <w:tcW w:w="990" w:type="dxa"/>
          </w:tcPr>
          <w:p w14:paraId="35A1DCD3" w14:textId="76B91DC7"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c>
          <w:tcPr>
            <w:tcW w:w="1440" w:type="dxa"/>
          </w:tcPr>
          <w:p w14:paraId="1DA16984" w14:textId="5A80DE89" w:rsidR="002532FB" w:rsidRPr="00D72B4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52EF">
              <w:rPr>
                <w:rFonts w:ascii="Segoe UI Symbol" w:hAnsi="Segoe UI Symbol" w:cs="Segoe UI Symbol"/>
                <w:b/>
                <w:noProof/>
                <w:color w:val="C00000"/>
                <w:sz w:val="20"/>
                <w:szCs w:val="20"/>
              </w:rPr>
              <w:t>✕</w:t>
            </w:r>
            <w:r>
              <w:rPr>
                <w:rFonts w:ascii="Times New Roman" w:hAnsi="Times New Roman" w:cs="Times New Roman"/>
                <w:sz w:val="20"/>
                <w:szCs w:val="20"/>
                <w:vertAlign w:val="superscript"/>
              </w:rPr>
              <w:t>a</w:t>
            </w:r>
          </w:p>
        </w:tc>
      </w:tr>
      <w:tr w:rsidR="002532FB" w:rsidRPr="00D72B42" w14:paraId="0D94DBD2" w14:textId="77777777" w:rsidTr="00D84DAE">
        <w:trPr>
          <w:trHeight w:val="338"/>
        </w:trPr>
        <w:tc>
          <w:tcPr>
            <w:cnfStyle w:val="001000000000" w:firstRow="0" w:lastRow="0" w:firstColumn="1" w:lastColumn="0" w:oddVBand="0" w:evenVBand="0" w:oddHBand="0" w:evenHBand="0" w:firstRowFirstColumn="0" w:firstRowLastColumn="0" w:lastRowFirstColumn="0" w:lastRowLastColumn="0"/>
            <w:tcW w:w="1890" w:type="dxa"/>
          </w:tcPr>
          <w:p w14:paraId="0D2D307B" w14:textId="07481680" w:rsidR="002532FB" w:rsidRPr="00D72B42" w:rsidRDefault="002532FB" w:rsidP="002532FB">
            <w:pPr>
              <w:rPr>
                <w:rFonts w:ascii="Times New Roman" w:hAnsi="Times New Roman" w:cs="Times New Roman"/>
                <w:b/>
                <w:i w:val="0"/>
                <w:sz w:val="20"/>
                <w:szCs w:val="20"/>
              </w:rPr>
            </w:pPr>
            <w:proofErr w:type="spellStart"/>
            <w:r w:rsidRPr="002532FB">
              <w:rPr>
                <w:rFonts w:ascii="Times New Roman" w:hAnsi="Times New Roman" w:cs="Times New Roman"/>
                <w:b/>
                <w:bCs/>
                <w:i w:val="0"/>
                <w:iCs w:val="0"/>
                <w:sz w:val="22"/>
                <w:szCs w:val="22"/>
              </w:rPr>
              <w:t>Highton</w:t>
            </w:r>
            <w:proofErr w:type="spellEnd"/>
            <w:r w:rsidRPr="002532FB">
              <w:rPr>
                <w:rFonts w:ascii="Times New Roman" w:hAnsi="Times New Roman" w:cs="Times New Roman"/>
                <w:b/>
                <w:bCs/>
                <w:i w:val="0"/>
                <w:sz w:val="22"/>
                <w:szCs w:val="22"/>
              </w:rPr>
              <w:t>[</w:t>
            </w:r>
            <w:r w:rsidRPr="002532FB">
              <w:rPr>
                <w:rFonts w:ascii="Times New Roman" w:hAnsi="Times New Roman" w:cs="Times New Roman"/>
                <w:bCs/>
                <w:i w:val="0"/>
                <w:sz w:val="22"/>
                <w:szCs w:val="22"/>
              </w:rPr>
              <w:t>28]</w:t>
            </w:r>
          </w:p>
        </w:tc>
        <w:tc>
          <w:tcPr>
            <w:tcW w:w="1070" w:type="dxa"/>
          </w:tcPr>
          <w:p w14:paraId="4F736C1F" w14:textId="599F6DB9" w:rsidR="002532FB" w:rsidRPr="00D72B42" w:rsidRDefault="002532FB" w:rsidP="002532FB">
            <w:pPr>
              <w:ind w:left="-12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c>
          <w:tcPr>
            <w:tcW w:w="990" w:type="dxa"/>
          </w:tcPr>
          <w:p w14:paraId="1A07BA0E" w14:textId="62CDD656"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c>
          <w:tcPr>
            <w:tcW w:w="1440" w:type="dxa"/>
          </w:tcPr>
          <w:p w14:paraId="357967EE" w14:textId="7AF89BF4"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r>
      <w:tr w:rsidR="002532FB" w:rsidRPr="00D72B42" w14:paraId="3A22342C" w14:textId="77777777" w:rsidTr="00D84DA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90" w:type="dxa"/>
            <w:tcBorders>
              <w:bottom w:val="single" w:sz="4" w:space="0" w:color="auto"/>
            </w:tcBorders>
            <w:shd w:val="clear" w:color="auto" w:fill="F2F2F2" w:themeFill="background1" w:themeFillShade="F2"/>
          </w:tcPr>
          <w:p w14:paraId="22C1D045" w14:textId="0A4973E7" w:rsidR="002532FB" w:rsidRPr="00D72B42" w:rsidRDefault="002532FB" w:rsidP="002532FB">
            <w:pPr>
              <w:rPr>
                <w:rFonts w:ascii="Times New Roman" w:hAnsi="Times New Roman" w:cs="Times New Roman"/>
                <w:b/>
                <w:i w:val="0"/>
                <w:sz w:val="20"/>
                <w:szCs w:val="20"/>
              </w:rPr>
            </w:pPr>
            <w:r w:rsidRPr="002532FB">
              <w:rPr>
                <w:rFonts w:ascii="Times New Roman" w:hAnsi="Times New Roman" w:cs="Times New Roman"/>
                <w:b/>
                <w:bCs/>
                <w:i w:val="0"/>
                <w:iCs w:val="0"/>
                <w:sz w:val="22"/>
                <w:szCs w:val="22"/>
              </w:rPr>
              <w:t>Fadel</w:t>
            </w:r>
            <w:r w:rsidRPr="002532FB">
              <w:rPr>
                <w:rFonts w:ascii="Times New Roman" w:hAnsi="Times New Roman" w:cs="Times New Roman"/>
                <w:bCs/>
                <w:i w:val="0"/>
                <w:sz w:val="22"/>
                <w:szCs w:val="22"/>
              </w:rPr>
              <w:t>[29]</w:t>
            </w:r>
            <w:r w:rsidRPr="002532FB">
              <w:rPr>
                <w:rFonts w:ascii="Times New Roman" w:hAnsi="Times New Roman" w:cs="Times New Roman"/>
                <w:b/>
                <w:bCs/>
                <w:i w:val="0"/>
                <w:iCs w:val="0"/>
                <w:sz w:val="22"/>
                <w:szCs w:val="22"/>
              </w:rPr>
              <w:t xml:space="preserve"> </w:t>
            </w:r>
          </w:p>
        </w:tc>
        <w:tc>
          <w:tcPr>
            <w:tcW w:w="1070" w:type="dxa"/>
            <w:tcBorders>
              <w:bottom w:val="single" w:sz="4" w:space="0" w:color="auto"/>
            </w:tcBorders>
          </w:tcPr>
          <w:p w14:paraId="4FAAC6C3" w14:textId="544128FA" w:rsidR="002532FB" w:rsidRPr="00D72B42" w:rsidDel="00923C82" w:rsidRDefault="002532FB" w:rsidP="002532FB">
            <w:pPr>
              <w:ind w:left="-12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c>
          <w:tcPr>
            <w:tcW w:w="990" w:type="dxa"/>
            <w:tcBorders>
              <w:bottom w:val="single" w:sz="4" w:space="0" w:color="auto"/>
            </w:tcBorders>
          </w:tcPr>
          <w:p w14:paraId="65980F4A" w14:textId="0DA48114" w:rsidR="002532FB" w:rsidRPr="00D72B42" w:rsidDel="00923C8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c>
          <w:tcPr>
            <w:tcW w:w="1440" w:type="dxa"/>
            <w:tcBorders>
              <w:bottom w:val="single" w:sz="4" w:space="0" w:color="auto"/>
            </w:tcBorders>
          </w:tcPr>
          <w:p w14:paraId="158F6BAB" w14:textId="2E83C89E" w:rsidR="002532FB" w:rsidRPr="00D72B42" w:rsidDel="00923C82" w:rsidRDefault="002532FB" w:rsidP="002532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D0F0F">
              <w:rPr>
                <w:rFonts w:ascii="Segoe UI Symbol" w:eastAsia="Times New Roman" w:hAnsi="Segoe UI Symbol" w:cs="Segoe UI Symbol"/>
                <w:b/>
                <w:color w:val="0070C0"/>
                <w:sz w:val="22"/>
                <w:szCs w:val="22"/>
              </w:rPr>
              <w:t xml:space="preserve">✓ </w:t>
            </w:r>
          </w:p>
        </w:tc>
      </w:tr>
      <w:tr w:rsidR="002532FB" w:rsidRPr="00D72B42" w14:paraId="0FF48A18" w14:textId="77777777" w:rsidTr="00D84DAE">
        <w:trPr>
          <w:trHeight w:val="454"/>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auto"/>
              <w:bottom w:val="single" w:sz="4" w:space="0" w:color="auto"/>
            </w:tcBorders>
          </w:tcPr>
          <w:p w14:paraId="4D38468A" w14:textId="77777777" w:rsidR="002532FB" w:rsidRPr="00D72B42" w:rsidRDefault="002532FB" w:rsidP="002532FB">
            <w:pPr>
              <w:jc w:val="center"/>
              <w:rPr>
                <w:rFonts w:ascii="Times New Roman" w:hAnsi="Times New Roman" w:cs="Times New Roman"/>
                <w:b/>
                <w:i w:val="0"/>
                <w:sz w:val="20"/>
                <w:szCs w:val="20"/>
              </w:rPr>
            </w:pPr>
            <w:r w:rsidRPr="00D72B42">
              <w:rPr>
                <w:rFonts w:ascii="Times New Roman" w:hAnsi="Times New Roman" w:cs="Times New Roman"/>
                <w:b/>
                <w:i w:val="0"/>
                <w:sz w:val="20"/>
                <w:szCs w:val="20"/>
              </w:rPr>
              <w:t>Studies with exclusion, n (%)</w:t>
            </w:r>
          </w:p>
        </w:tc>
        <w:tc>
          <w:tcPr>
            <w:tcW w:w="1070" w:type="dxa"/>
            <w:tcBorders>
              <w:top w:val="single" w:sz="4" w:space="0" w:color="auto"/>
              <w:bottom w:val="single" w:sz="4" w:space="0" w:color="auto"/>
            </w:tcBorders>
          </w:tcPr>
          <w:p w14:paraId="6095B6D9" w14:textId="77777777"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sz w:val="20"/>
                <w:szCs w:val="20"/>
              </w:rPr>
              <w:t>10 (43)</w:t>
            </w:r>
          </w:p>
        </w:tc>
        <w:tc>
          <w:tcPr>
            <w:tcW w:w="990" w:type="dxa"/>
            <w:tcBorders>
              <w:top w:val="single" w:sz="4" w:space="0" w:color="auto"/>
              <w:bottom w:val="single" w:sz="4" w:space="0" w:color="auto"/>
            </w:tcBorders>
          </w:tcPr>
          <w:p w14:paraId="6A949698" w14:textId="77777777"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sz w:val="20"/>
                <w:szCs w:val="20"/>
              </w:rPr>
              <w:t>10 (43)</w:t>
            </w:r>
          </w:p>
        </w:tc>
        <w:tc>
          <w:tcPr>
            <w:tcW w:w="1440" w:type="dxa"/>
            <w:tcBorders>
              <w:top w:val="single" w:sz="4" w:space="0" w:color="auto"/>
              <w:bottom w:val="single" w:sz="4" w:space="0" w:color="auto"/>
            </w:tcBorders>
          </w:tcPr>
          <w:p w14:paraId="61623768" w14:textId="77777777" w:rsidR="002532FB" w:rsidRPr="00D72B42" w:rsidRDefault="002532FB" w:rsidP="002532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72B42">
              <w:rPr>
                <w:rFonts w:ascii="Times New Roman" w:hAnsi="Times New Roman" w:cs="Times New Roman"/>
                <w:b/>
                <w:sz w:val="20"/>
                <w:szCs w:val="20"/>
              </w:rPr>
              <w:t>9 (39)</w:t>
            </w:r>
          </w:p>
        </w:tc>
      </w:tr>
    </w:tbl>
    <w:p w14:paraId="1A506A90" w14:textId="77777777" w:rsidR="003933E2" w:rsidRDefault="003933E2" w:rsidP="00D72B42">
      <w:pPr>
        <w:contextualSpacing/>
        <w:rPr>
          <w:rFonts w:ascii="Times New Roman" w:hAnsi="Times New Roman" w:cs="Times New Roman"/>
          <w:sz w:val="20"/>
          <w:szCs w:val="20"/>
          <w:u w:val="single"/>
        </w:rPr>
      </w:pPr>
    </w:p>
    <w:p w14:paraId="1A14D3FB" w14:textId="77777777" w:rsidR="003933E2" w:rsidRDefault="003933E2" w:rsidP="00D72B42">
      <w:pPr>
        <w:contextualSpacing/>
        <w:rPr>
          <w:rFonts w:ascii="Times New Roman" w:hAnsi="Times New Roman" w:cs="Times New Roman"/>
          <w:sz w:val="20"/>
          <w:szCs w:val="20"/>
          <w:u w:val="single"/>
        </w:rPr>
      </w:pPr>
    </w:p>
    <w:p w14:paraId="2C150A78" w14:textId="77777777" w:rsidR="003933E2" w:rsidRDefault="003933E2" w:rsidP="00D72B42">
      <w:pPr>
        <w:contextualSpacing/>
        <w:rPr>
          <w:rFonts w:ascii="Times New Roman" w:hAnsi="Times New Roman" w:cs="Times New Roman"/>
          <w:sz w:val="20"/>
          <w:szCs w:val="20"/>
          <w:u w:val="single"/>
        </w:rPr>
      </w:pPr>
    </w:p>
    <w:p w14:paraId="3E3F5F9B" w14:textId="77777777" w:rsidR="003933E2" w:rsidRDefault="003933E2" w:rsidP="00D72B42">
      <w:pPr>
        <w:contextualSpacing/>
        <w:rPr>
          <w:rFonts w:ascii="Times New Roman" w:hAnsi="Times New Roman" w:cs="Times New Roman"/>
          <w:sz w:val="20"/>
          <w:szCs w:val="20"/>
          <w:u w:val="single"/>
        </w:rPr>
      </w:pPr>
    </w:p>
    <w:p w14:paraId="20439820" w14:textId="77777777" w:rsidR="003933E2" w:rsidRDefault="003933E2" w:rsidP="00D72B42">
      <w:pPr>
        <w:contextualSpacing/>
        <w:rPr>
          <w:rFonts w:ascii="Times New Roman" w:hAnsi="Times New Roman" w:cs="Times New Roman"/>
          <w:sz w:val="20"/>
          <w:szCs w:val="20"/>
          <w:u w:val="single"/>
        </w:rPr>
      </w:pPr>
    </w:p>
    <w:p w14:paraId="5C2FBCCB" w14:textId="77777777" w:rsidR="003933E2" w:rsidRDefault="003933E2" w:rsidP="00D72B42">
      <w:pPr>
        <w:contextualSpacing/>
        <w:rPr>
          <w:rFonts w:ascii="Times New Roman" w:hAnsi="Times New Roman" w:cs="Times New Roman"/>
          <w:sz w:val="20"/>
          <w:szCs w:val="20"/>
          <w:u w:val="single"/>
        </w:rPr>
      </w:pPr>
    </w:p>
    <w:p w14:paraId="2E6AA84A" w14:textId="77777777" w:rsidR="003933E2" w:rsidRDefault="003933E2" w:rsidP="00D72B42">
      <w:pPr>
        <w:contextualSpacing/>
        <w:rPr>
          <w:rFonts w:ascii="Times New Roman" w:hAnsi="Times New Roman" w:cs="Times New Roman"/>
          <w:sz w:val="20"/>
          <w:szCs w:val="20"/>
          <w:u w:val="single"/>
        </w:rPr>
      </w:pPr>
    </w:p>
    <w:p w14:paraId="4CC6F1FA" w14:textId="77777777" w:rsidR="003933E2" w:rsidRDefault="003933E2" w:rsidP="00D72B42">
      <w:pPr>
        <w:contextualSpacing/>
        <w:rPr>
          <w:rFonts w:ascii="Times New Roman" w:hAnsi="Times New Roman" w:cs="Times New Roman"/>
          <w:sz w:val="20"/>
          <w:szCs w:val="20"/>
          <w:u w:val="single"/>
        </w:rPr>
      </w:pPr>
    </w:p>
    <w:p w14:paraId="073DEE86" w14:textId="77777777" w:rsidR="003933E2" w:rsidRDefault="003933E2" w:rsidP="00D72B42">
      <w:pPr>
        <w:contextualSpacing/>
        <w:rPr>
          <w:rFonts w:ascii="Times New Roman" w:hAnsi="Times New Roman" w:cs="Times New Roman"/>
          <w:sz w:val="20"/>
          <w:szCs w:val="20"/>
          <w:u w:val="single"/>
        </w:rPr>
      </w:pPr>
    </w:p>
    <w:p w14:paraId="6DF430F7" w14:textId="77777777" w:rsidR="003933E2" w:rsidRDefault="003933E2" w:rsidP="00D72B42">
      <w:pPr>
        <w:contextualSpacing/>
        <w:rPr>
          <w:rFonts w:ascii="Times New Roman" w:hAnsi="Times New Roman" w:cs="Times New Roman"/>
          <w:sz w:val="20"/>
          <w:szCs w:val="20"/>
          <w:u w:val="single"/>
        </w:rPr>
      </w:pPr>
    </w:p>
    <w:p w14:paraId="4C076CF7" w14:textId="77777777" w:rsidR="003933E2" w:rsidRDefault="003933E2" w:rsidP="00D72B42">
      <w:pPr>
        <w:contextualSpacing/>
        <w:rPr>
          <w:rFonts w:ascii="Times New Roman" w:hAnsi="Times New Roman" w:cs="Times New Roman"/>
          <w:sz w:val="20"/>
          <w:szCs w:val="20"/>
          <w:u w:val="single"/>
        </w:rPr>
      </w:pPr>
    </w:p>
    <w:p w14:paraId="53EC15AC" w14:textId="77777777" w:rsidR="003933E2" w:rsidRDefault="003933E2" w:rsidP="00D72B42">
      <w:pPr>
        <w:contextualSpacing/>
        <w:rPr>
          <w:rFonts w:ascii="Times New Roman" w:hAnsi="Times New Roman" w:cs="Times New Roman"/>
          <w:sz w:val="20"/>
          <w:szCs w:val="20"/>
          <w:u w:val="single"/>
        </w:rPr>
      </w:pPr>
    </w:p>
    <w:p w14:paraId="23084E70" w14:textId="77777777" w:rsidR="003933E2" w:rsidRDefault="003933E2" w:rsidP="00D72B42">
      <w:pPr>
        <w:contextualSpacing/>
        <w:rPr>
          <w:rFonts w:ascii="Times New Roman" w:hAnsi="Times New Roman" w:cs="Times New Roman"/>
          <w:sz w:val="20"/>
          <w:szCs w:val="20"/>
          <w:u w:val="single"/>
        </w:rPr>
      </w:pPr>
    </w:p>
    <w:p w14:paraId="10B5E832" w14:textId="77777777" w:rsidR="003933E2" w:rsidRDefault="003933E2" w:rsidP="00D72B42">
      <w:pPr>
        <w:contextualSpacing/>
        <w:rPr>
          <w:rFonts w:ascii="Times New Roman" w:hAnsi="Times New Roman" w:cs="Times New Roman"/>
          <w:sz w:val="20"/>
          <w:szCs w:val="20"/>
          <w:u w:val="single"/>
        </w:rPr>
      </w:pPr>
    </w:p>
    <w:p w14:paraId="2D9980E9" w14:textId="77777777" w:rsidR="003933E2" w:rsidRDefault="003933E2" w:rsidP="00D72B42">
      <w:pPr>
        <w:contextualSpacing/>
        <w:rPr>
          <w:rFonts w:ascii="Times New Roman" w:hAnsi="Times New Roman" w:cs="Times New Roman"/>
          <w:sz w:val="20"/>
          <w:szCs w:val="20"/>
          <w:u w:val="single"/>
        </w:rPr>
      </w:pPr>
    </w:p>
    <w:p w14:paraId="74F32DB4" w14:textId="77777777" w:rsidR="003933E2" w:rsidRDefault="003933E2" w:rsidP="00D72B42">
      <w:pPr>
        <w:contextualSpacing/>
        <w:rPr>
          <w:rFonts w:ascii="Times New Roman" w:hAnsi="Times New Roman" w:cs="Times New Roman"/>
          <w:sz w:val="20"/>
          <w:szCs w:val="20"/>
          <w:u w:val="single"/>
        </w:rPr>
      </w:pPr>
    </w:p>
    <w:p w14:paraId="302D4209" w14:textId="77777777" w:rsidR="003933E2" w:rsidRDefault="003933E2" w:rsidP="00D72B42">
      <w:pPr>
        <w:contextualSpacing/>
        <w:rPr>
          <w:rFonts w:ascii="Times New Roman" w:hAnsi="Times New Roman" w:cs="Times New Roman"/>
          <w:sz w:val="20"/>
          <w:szCs w:val="20"/>
          <w:u w:val="single"/>
        </w:rPr>
      </w:pPr>
    </w:p>
    <w:p w14:paraId="534B1F9F" w14:textId="77777777" w:rsidR="003933E2" w:rsidRDefault="003933E2" w:rsidP="00D72B42">
      <w:pPr>
        <w:contextualSpacing/>
        <w:rPr>
          <w:rFonts w:ascii="Times New Roman" w:hAnsi="Times New Roman" w:cs="Times New Roman"/>
          <w:sz w:val="20"/>
          <w:szCs w:val="20"/>
          <w:u w:val="single"/>
        </w:rPr>
      </w:pPr>
    </w:p>
    <w:p w14:paraId="0408F420" w14:textId="77777777" w:rsidR="003933E2" w:rsidRDefault="003933E2" w:rsidP="00D72B42">
      <w:pPr>
        <w:contextualSpacing/>
        <w:rPr>
          <w:rFonts w:ascii="Times New Roman" w:hAnsi="Times New Roman" w:cs="Times New Roman"/>
          <w:sz w:val="20"/>
          <w:szCs w:val="20"/>
          <w:u w:val="single"/>
        </w:rPr>
      </w:pPr>
    </w:p>
    <w:p w14:paraId="668A2F89" w14:textId="77777777" w:rsidR="003933E2" w:rsidRDefault="003933E2" w:rsidP="00D72B42">
      <w:pPr>
        <w:contextualSpacing/>
        <w:rPr>
          <w:rFonts w:ascii="Times New Roman" w:hAnsi="Times New Roman" w:cs="Times New Roman"/>
          <w:sz w:val="20"/>
          <w:szCs w:val="20"/>
          <w:u w:val="single"/>
        </w:rPr>
      </w:pPr>
    </w:p>
    <w:p w14:paraId="5E4E98A6" w14:textId="77777777" w:rsidR="003933E2" w:rsidRDefault="003933E2" w:rsidP="00D72B42">
      <w:pPr>
        <w:contextualSpacing/>
        <w:rPr>
          <w:rFonts w:ascii="Times New Roman" w:hAnsi="Times New Roman" w:cs="Times New Roman"/>
          <w:sz w:val="20"/>
          <w:szCs w:val="20"/>
          <w:u w:val="single"/>
        </w:rPr>
      </w:pPr>
    </w:p>
    <w:p w14:paraId="0842F824" w14:textId="77777777" w:rsidR="003933E2" w:rsidRDefault="003933E2" w:rsidP="00D72B42">
      <w:pPr>
        <w:contextualSpacing/>
        <w:rPr>
          <w:rFonts w:ascii="Times New Roman" w:hAnsi="Times New Roman" w:cs="Times New Roman"/>
          <w:sz w:val="20"/>
          <w:szCs w:val="20"/>
          <w:u w:val="single"/>
        </w:rPr>
      </w:pPr>
    </w:p>
    <w:p w14:paraId="0C363CC5" w14:textId="77777777" w:rsidR="003933E2" w:rsidRDefault="003933E2" w:rsidP="00D72B42">
      <w:pPr>
        <w:contextualSpacing/>
        <w:rPr>
          <w:rFonts w:ascii="Times New Roman" w:hAnsi="Times New Roman" w:cs="Times New Roman"/>
          <w:sz w:val="20"/>
          <w:szCs w:val="20"/>
          <w:u w:val="single"/>
        </w:rPr>
      </w:pPr>
    </w:p>
    <w:p w14:paraId="17C6142E" w14:textId="77777777" w:rsidR="003933E2" w:rsidRDefault="003933E2" w:rsidP="00D72B42">
      <w:pPr>
        <w:contextualSpacing/>
        <w:rPr>
          <w:rFonts w:ascii="Times New Roman" w:hAnsi="Times New Roman" w:cs="Times New Roman"/>
          <w:sz w:val="20"/>
          <w:szCs w:val="20"/>
          <w:u w:val="single"/>
        </w:rPr>
      </w:pPr>
    </w:p>
    <w:p w14:paraId="2500EE8C" w14:textId="77777777" w:rsidR="003933E2" w:rsidRDefault="003933E2" w:rsidP="00D72B42">
      <w:pPr>
        <w:contextualSpacing/>
        <w:rPr>
          <w:rFonts w:ascii="Times New Roman" w:hAnsi="Times New Roman" w:cs="Times New Roman"/>
          <w:sz w:val="20"/>
          <w:szCs w:val="20"/>
          <w:u w:val="single"/>
        </w:rPr>
      </w:pPr>
    </w:p>
    <w:p w14:paraId="2FCC2F6D" w14:textId="77777777" w:rsidR="003933E2" w:rsidRDefault="003933E2" w:rsidP="00D72B42">
      <w:pPr>
        <w:contextualSpacing/>
        <w:rPr>
          <w:rFonts w:ascii="Times New Roman" w:hAnsi="Times New Roman" w:cs="Times New Roman"/>
          <w:sz w:val="20"/>
          <w:szCs w:val="20"/>
          <w:u w:val="single"/>
        </w:rPr>
      </w:pPr>
    </w:p>
    <w:p w14:paraId="474435C6" w14:textId="77777777" w:rsidR="003933E2" w:rsidRDefault="003933E2" w:rsidP="00D72B42">
      <w:pPr>
        <w:contextualSpacing/>
        <w:rPr>
          <w:rFonts w:ascii="Times New Roman" w:hAnsi="Times New Roman" w:cs="Times New Roman"/>
          <w:sz w:val="20"/>
          <w:szCs w:val="20"/>
          <w:u w:val="single"/>
        </w:rPr>
      </w:pPr>
    </w:p>
    <w:p w14:paraId="1ECFCA38" w14:textId="77777777" w:rsidR="003933E2" w:rsidRDefault="003933E2" w:rsidP="00D72B42">
      <w:pPr>
        <w:contextualSpacing/>
        <w:rPr>
          <w:rFonts w:ascii="Times New Roman" w:hAnsi="Times New Roman" w:cs="Times New Roman"/>
          <w:sz w:val="20"/>
          <w:szCs w:val="20"/>
          <w:u w:val="single"/>
        </w:rPr>
      </w:pPr>
    </w:p>
    <w:p w14:paraId="248D7F4B" w14:textId="77777777" w:rsidR="003933E2" w:rsidRDefault="003933E2" w:rsidP="00D72B42">
      <w:pPr>
        <w:contextualSpacing/>
        <w:rPr>
          <w:rFonts w:ascii="Times New Roman" w:hAnsi="Times New Roman" w:cs="Times New Roman"/>
          <w:sz w:val="20"/>
          <w:szCs w:val="20"/>
          <w:u w:val="single"/>
        </w:rPr>
      </w:pPr>
    </w:p>
    <w:p w14:paraId="63591585" w14:textId="77777777" w:rsidR="003933E2" w:rsidRDefault="003933E2" w:rsidP="00D72B42">
      <w:pPr>
        <w:contextualSpacing/>
        <w:rPr>
          <w:rFonts w:ascii="Times New Roman" w:hAnsi="Times New Roman" w:cs="Times New Roman"/>
          <w:sz w:val="20"/>
          <w:szCs w:val="20"/>
          <w:u w:val="single"/>
        </w:rPr>
      </w:pPr>
    </w:p>
    <w:p w14:paraId="6B9B6EC6" w14:textId="77777777" w:rsidR="003933E2" w:rsidRDefault="003933E2" w:rsidP="00D72B42">
      <w:pPr>
        <w:contextualSpacing/>
        <w:rPr>
          <w:rFonts w:ascii="Times New Roman" w:hAnsi="Times New Roman" w:cs="Times New Roman"/>
          <w:sz w:val="20"/>
          <w:szCs w:val="20"/>
          <w:u w:val="single"/>
        </w:rPr>
      </w:pPr>
    </w:p>
    <w:p w14:paraId="44F58B81" w14:textId="77777777" w:rsidR="003933E2" w:rsidRDefault="003933E2" w:rsidP="00D72B42">
      <w:pPr>
        <w:contextualSpacing/>
        <w:rPr>
          <w:rFonts w:ascii="Times New Roman" w:hAnsi="Times New Roman" w:cs="Times New Roman"/>
          <w:sz w:val="20"/>
          <w:szCs w:val="20"/>
          <w:u w:val="single"/>
        </w:rPr>
      </w:pPr>
    </w:p>
    <w:p w14:paraId="1AF5AB28" w14:textId="77777777" w:rsidR="003933E2" w:rsidRDefault="003933E2" w:rsidP="00D72B42">
      <w:pPr>
        <w:contextualSpacing/>
        <w:rPr>
          <w:rFonts w:ascii="Times New Roman" w:hAnsi="Times New Roman" w:cs="Times New Roman"/>
          <w:sz w:val="20"/>
          <w:szCs w:val="20"/>
          <w:u w:val="single"/>
        </w:rPr>
      </w:pPr>
    </w:p>
    <w:p w14:paraId="5DB3E875" w14:textId="77777777" w:rsidR="003933E2" w:rsidRDefault="003933E2" w:rsidP="00D72B42">
      <w:pPr>
        <w:contextualSpacing/>
        <w:rPr>
          <w:rFonts w:ascii="Times New Roman" w:hAnsi="Times New Roman" w:cs="Times New Roman"/>
          <w:sz w:val="20"/>
          <w:szCs w:val="20"/>
          <w:u w:val="single"/>
        </w:rPr>
      </w:pPr>
    </w:p>
    <w:p w14:paraId="59E9C2EB" w14:textId="77777777" w:rsidR="003933E2" w:rsidRDefault="003933E2" w:rsidP="00D72B42">
      <w:pPr>
        <w:contextualSpacing/>
        <w:rPr>
          <w:rFonts w:ascii="Times New Roman" w:hAnsi="Times New Roman" w:cs="Times New Roman"/>
          <w:sz w:val="20"/>
          <w:szCs w:val="20"/>
          <w:u w:val="single"/>
        </w:rPr>
      </w:pPr>
    </w:p>
    <w:p w14:paraId="77E79938" w14:textId="77777777" w:rsidR="003933E2" w:rsidRDefault="003933E2" w:rsidP="00D72B42">
      <w:pPr>
        <w:contextualSpacing/>
        <w:rPr>
          <w:rFonts w:ascii="Times New Roman" w:hAnsi="Times New Roman" w:cs="Times New Roman"/>
          <w:sz w:val="20"/>
          <w:szCs w:val="20"/>
          <w:u w:val="single"/>
        </w:rPr>
      </w:pPr>
    </w:p>
    <w:p w14:paraId="0AEDF01C" w14:textId="77777777" w:rsidR="003933E2" w:rsidRDefault="003933E2" w:rsidP="00D72B42">
      <w:pPr>
        <w:contextualSpacing/>
        <w:rPr>
          <w:rFonts w:ascii="Times New Roman" w:hAnsi="Times New Roman" w:cs="Times New Roman"/>
          <w:sz w:val="20"/>
          <w:szCs w:val="20"/>
          <w:u w:val="single"/>
        </w:rPr>
      </w:pPr>
    </w:p>
    <w:p w14:paraId="652111E6" w14:textId="77777777" w:rsidR="003933E2" w:rsidRDefault="003933E2" w:rsidP="00D72B42">
      <w:pPr>
        <w:contextualSpacing/>
        <w:rPr>
          <w:rFonts w:ascii="Times New Roman" w:hAnsi="Times New Roman" w:cs="Times New Roman"/>
          <w:sz w:val="20"/>
          <w:szCs w:val="20"/>
          <w:u w:val="single"/>
        </w:rPr>
      </w:pPr>
    </w:p>
    <w:p w14:paraId="40B89971" w14:textId="77777777" w:rsidR="003933E2" w:rsidRDefault="003933E2" w:rsidP="00D72B42">
      <w:pPr>
        <w:contextualSpacing/>
        <w:rPr>
          <w:rFonts w:ascii="Times New Roman" w:hAnsi="Times New Roman" w:cs="Times New Roman"/>
          <w:sz w:val="20"/>
          <w:szCs w:val="20"/>
          <w:u w:val="single"/>
        </w:rPr>
      </w:pPr>
    </w:p>
    <w:p w14:paraId="04E36BAE" w14:textId="77777777" w:rsidR="003933E2" w:rsidRDefault="003933E2" w:rsidP="00D72B42">
      <w:pPr>
        <w:contextualSpacing/>
        <w:rPr>
          <w:rFonts w:ascii="Times New Roman" w:hAnsi="Times New Roman" w:cs="Times New Roman"/>
          <w:sz w:val="20"/>
          <w:szCs w:val="20"/>
          <w:u w:val="single"/>
        </w:rPr>
      </w:pPr>
    </w:p>
    <w:p w14:paraId="71763465" w14:textId="0CCAAAB2" w:rsidR="00D72B42" w:rsidRPr="00D72B42" w:rsidRDefault="00D86769" w:rsidP="00D72B42">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Supplemental Table 2 </w:t>
      </w:r>
      <w:r w:rsidR="00D72B42" w:rsidRPr="00D72B42">
        <w:rPr>
          <w:rFonts w:ascii="Times New Roman" w:hAnsi="Times New Roman" w:cs="Times New Roman"/>
          <w:sz w:val="20"/>
          <w:szCs w:val="20"/>
          <w:u w:val="single"/>
        </w:rPr>
        <w:t>Key:</w:t>
      </w:r>
    </w:p>
    <w:p w14:paraId="1E63EA67" w14:textId="77777777" w:rsidR="00D72B42" w:rsidRPr="00D72B42" w:rsidRDefault="00D72B42" w:rsidP="00D72B42">
      <w:pPr>
        <w:contextualSpacing/>
        <w:rPr>
          <w:rFonts w:ascii="Times New Roman" w:hAnsi="Times New Roman" w:cs="Times New Roman"/>
          <w:sz w:val="20"/>
          <w:szCs w:val="20"/>
          <w:vertAlign w:val="superscript"/>
        </w:rPr>
      </w:pPr>
      <w:r w:rsidRPr="00D72B42">
        <w:rPr>
          <w:rFonts w:ascii="Times New Roman" w:hAnsi="Times New Roman" w:cs="Times New Roman"/>
          <w:sz w:val="20"/>
          <w:szCs w:val="20"/>
        </w:rPr>
        <w:t>HIV: Human Immunodeficiency Virus; CHF: Congestive heart failure</w:t>
      </w:r>
    </w:p>
    <w:p w14:paraId="7F3C0909" w14:textId="1D70A259" w:rsidR="00E30C95" w:rsidRDefault="00E30C95" w:rsidP="00D72B42">
      <w:pPr>
        <w:contextualSpacing/>
        <w:rPr>
          <w:rFonts w:ascii="Times New Roman" w:hAnsi="Times New Roman" w:cs="Times New Roman"/>
          <w:sz w:val="20"/>
          <w:szCs w:val="20"/>
          <w:vertAlign w:val="superscript"/>
        </w:rPr>
      </w:pPr>
      <w:r w:rsidRPr="00A3251B">
        <w:rPr>
          <w:rFonts w:ascii="Segoe UI Symbol" w:eastAsia="Times New Roman" w:hAnsi="Segoe UI Symbol" w:cs="Segoe UI Symbol"/>
          <w:b/>
          <w:color w:val="0070C0"/>
          <w:sz w:val="22"/>
          <w:szCs w:val="22"/>
        </w:rPr>
        <w:t>✓</w:t>
      </w:r>
      <w:r>
        <w:rPr>
          <w:rFonts w:ascii="Segoe UI Symbol" w:eastAsia="Times New Roman" w:hAnsi="Segoe UI Symbol" w:cs="Segoe UI Symbol"/>
          <w:b/>
          <w:color w:val="0070C0"/>
          <w:sz w:val="22"/>
          <w:szCs w:val="22"/>
        </w:rPr>
        <w:t xml:space="preserve"> </w:t>
      </w:r>
      <w:r>
        <w:rPr>
          <w:rFonts w:ascii="Times New Roman" w:hAnsi="Times New Roman" w:cs="Times New Roman"/>
          <w:sz w:val="20"/>
          <w:szCs w:val="20"/>
        </w:rPr>
        <w:t>Included</w:t>
      </w:r>
      <w:r w:rsidRPr="00CC0944">
        <w:rPr>
          <w:rFonts w:ascii="Times New Roman" w:hAnsi="Times New Roman" w:cs="Times New Roman"/>
          <w:sz w:val="20"/>
          <w:szCs w:val="20"/>
        </w:rPr>
        <w:t xml:space="preserve">; </w:t>
      </w:r>
      <w:r w:rsidRPr="003B52EF">
        <w:rPr>
          <w:rFonts w:ascii="Segoe UI Symbol" w:hAnsi="Segoe UI Symbol" w:cs="Segoe UI Symbol"/>
          <w:b/>
          <w:noProof/>
          <w:color w:val="C00000"/>
          <w:sz w:val="20"/>
          <w:szCs w:val="20"/>
        </w:rPr>
        <w:t>✕</w:t>
      </w:r>
      <w:r w:rsidRPr="00CC0944">
        <w:rPr>
          <w:rFonts w:ascii="Times New Roman" w:hAnsi="Times New Roman" w:cs="Times New Roman"/>
          <w:sz w:val="20"/>
          <w:szCs w:val="20"/>
          <w:vertAlign w:val="superscript"/>
        </w:rPr>
        <w:t xml:space="preserve"> </w:t>
      </w:r>
      <w:r>
        <w:rPr>
          <w:rFonts w:ascii="Times New Roman" w:hAnsi="Times New Roman" w:cs="Times New Roman"/>
          <w:sz w:val="20"/>
          <w:szCs w:val="20"/>
        </w:rPr>
        <w:t>Excluded</w:t>
      </w:r>
      <w:r w:rsidRPr="00CC0944">
        <w:rPr>
          <w:rFonts w:ascii="Times New Roman" w:hAnsi="Times New Roman" w:cs="Times New Roman"/>
          <w:sz w:val="20"/>
          <w:szCs w:val="20"/>
        </w:rPr>
        <w:t>;</w:t>
      </w:r>
    </w:p>
    <w:p w14:paraId="587FCD2A" w14:textId="41290ACC" w:rsidR="00D72B42" w:rsidRPr="00D72B42" w:rsidRDefault="00D72B42" w:rsidP="00D72B42">
      <w:pPr>
        <w:contextualSpacing/>
        <w:rPr>
          <w:rFonts w:ascii="Times New Roman" w:hAnsi="Times New Roman" w:cs="Times New Roman"/>
          <w:sz w:val="20"/>
          <w:szCs w:val="20"/>
        </w:rPr>
      </w:pPr>
      <w:proofErr w:type="spellStart"/>
      <w:r>
        <w:rPr>
          <w:rFonts w:ascii="Times New Roman" w:hAnsi="Times New Roman" w:cs="Times New Roman"/>
          <w:sz w:val="20"/>
          <w:szCs w:val="20"/>
          <w:vertAlign w:val="superscript"/>
        </w:rPr>
        <w:t>a</w:t>
      </w:r>
      <w:r>
        <w:rPr>
          <w:rFonts w:ascii="Times New Roman" w:hAnsi="Times New Roman" w:cs="Times New Roman"/>
          <w:sz w:val="20"/>
          <w:szCs w:val="20"/>
        </w:rPr>
        <w:t>I</w:t>
      </w:r>
      <w:r w:rsidRPr="00D72B42">
        <w:rPr>
          <w:rFonts w:ascii="Times New Roman" w:hAnsi="Times New Roman" w:cs="Times New Roman"/>
          <w:sz w:val="20"/>
          <w:szCs w:val="20"/>
        </w:rPr>
        <w:t>ntervention</w:t>
      </w:r>
      <w:proofErr w:type="spellEnd"/>
      <w:r w:rsidRPr="00D72B42">
        <w:rPr>
          <w:rFonts w:ascii="Times New Roman" w:hAnsi="Times New Roman" w:cs="Times New Roman"/>
          <w:sz w:val="20"/>
          <w:szCs w:val="20"/>
        </w:rPr>
        <w:t xml:space="preserve"> unlikely to cause harm to this subset of patients based on medical comorbidities</w:t>
      </w:r>
    </w:p>
    <w:p w14:paraId="17E5F560" w14:textId="57F82F00" w:rsidR="00D72B42" w:rsidRPr="00D72B42" w:rsidRDefault="00D72B42" w:rsidP="00D72B42">
      <w:pPr>
        <w:contextualSpacing/>
        <w:rPr>
          <w:rFonts w:ascii="Times New Roman" w:hAnsi="Times New Roman" w:cs="Times New Roman"/>
          <w:sz w:val="20"/>
          <w:szCs w:val="20"/>
        </w:rPr>
      </w:pPr>
      <w:proofErr w:type="spellStart"/>
      <w:r>
        <w:rPr>
          <w:rFonts w:ascii="Times New Roman" w:hAnsi="Times New Roman" w:cs="Times New Roman"/>
          <w:sz w:val="20"/>
          <w:szCs w:val="20"/>
          <w:vertAlign w:val="superscript"/>
        </w:rPr>
        <w:t>b</w:t>
      </w:r>
      <w:r w:rsidRPr="00D72B42">
        <w:rPr>
          <w:rFonts w:ascii="Times New Roman" w:hAnsi="Times New Roman" w:cs="Times New Roman"/>
          <w:sz w:val="20"/>
          <w:szCs w:val="20"/>
        </w:rPr>
        <w:t>Obtained</w:t>
      </w:r>
      <w:proofErr w:type="spellEnd"/>
      <w:r w:rsidRPr="00D72B42">
        <w:rPr>
          <w:rFonts w:ascii="Times New Roman" w:hAnsi="Times New Roman" w:cs="Times New Roman"/>
          <w:sz w:val="20"/>
          <w:szCs w:val="20"/>
        </w:rPr>
        <w:t xml:space="preserve"> through personal correspondence with authors</w:t>
      </w:r>
    </w:p>
    <w:p w14:paraId="69273D61" w14:textId="77777777" w:rsidR="00D72B42" w:rsidRPr="00EF7197" w:rsidRDefault="00D72B42" w:rsidP="00D72B42">
      <w:pPr>
        <w:contextualSpacing/>
        <w:rPr>
          <w:rFonts w:ascii="Times New Roman" w:hAnsi="Times New Roman" w:cs="Times New Roman"/>
        </w:rPr>
      </w:pPr>
    </w:p>
    <w:p w14:paraId="3362711E" w14:textId="77777777" w:rsidR="00D72B42" w:rsidRPr="00CC0944" w:rsidRDefault="00D72B42" w:rsidP="00D72B42">
      <w:pPr>
        <w:contextualSpacing/>
        <w:rPr>
          <w:rFonts w:ascii="Times New Roman" w:hAnsi="Times New Roman" w:cs="Times New Roman"/>
          <w:b/>
          <w:sz w:val="20"/>
          <w:szCs w:val="20"/>
        </w:rPr>
      </w:pPr>
    </w:p>
    <w:p w14:paraId="629A60CA" w14:textId="77777777" w:rsidR="00D72B42" w:rsidRPr="00CC0944" w:rsidRDefault="00D72B42" w:rsidP="00D72B42">
      <w:pPr>
        <w:contextualSpacing/>
        <w:rPr>
          <w:rFonts w:ascii="Times New Roman" w:hAnsi="Times New Roman" w:cs="Times New Roman"/>
          <w:b/>
          <w:sz w:val="20"/>
          <w:szCs w:val="20"/>
        </w:rPr>
      </w:pPr>
    </w:p>
    <w:p w14:paraId="57801DDE" w14:textId="77777777" w:rsidR="00D72B42" w:rsidRPr="00CC0944" w:rsidRDefault="00D72B42" w:rsidP="00D72B42">
      <w:pPr>
        <w:contextualSpacing/>
        <w:rPr>
          <w:rFonts w:ascii="Times New Roman" w:hAnsi="Times New Roman" w:cs="Times New Roman"/>
          <w:b/>
          <w:sz w:val="20"/>
          <w:szCs w:val="20"/>
        </w:rPr>
      </w:pPr>
    </w:p>
    <w:p w14:paraId="6906AA7B" w14:textId="77777777" w:rsidR="00D72B42" w:rsidRPr="00CC0944" w:rsidRDefault="00D72B42" w:rsidP="00D72B42">
      <w:pPr>
        <w:contextualSpacing/>
        <w:rPr>
          <w:rFonts w:ascii="Times New Roman" w:hAnsi="Times New Roman" w:cs="Times New Roman"/>
          <w:b/>
          <w:sz w:val="20"/>
          <w:szCs w:val="20"/>
        </w:rPr>
      </w:pPr>
    </w:p>
    <w:p w14:paraId="3FC732E9" w14:textId="77777777" w:rsidR="00D72B42" w:rsidRPr="00CC0944" w:rsidRDefault="00D72B42" w:rsidP="00D72B42">
      <w:pPr>
        <w:contextualSpacing/>
        <w:rPr>
          <w:rFonts w:ascii="Times New Roman" w:hAnsi="Times New Roman" w:cs="Times New Roman"/>
          <w:sz w:val="20"/>
          <w:szCs w:val="20"/>
        </w:rPr>
      </w:pPr>
    </w:p>
    <w:p w14:paraId="0298138F" w14:textId="77777777" w:rsidR="00546494" w:rsidRPr="00A3251B" w:rsidRDefault="00546494" w:rsidP="00546494">
      <w:pPr>
        <w:rPr>
          <w:rFonts w:ascii="Times New Roman" w:hAnsi="Times New Roman" w:cs="Times New Roman"/>
          <w:sz w:val="22"/>
          <w:szCs w:val="22"/>
        </w:rPr>
      </w:pPr>
      <w:r w:rsidRPr="00A3251B">
        <w:rPr>
          <w:rFonts w:ascii="Times New Roman" w:hAnsi="Times New Roman" w:cs="Times New Roman"/>
          <w:sz w:val="22"/>
          <w:szCs w:val="22"/>
        </w:rPr>
        <w:br w:type="page"/>
      </w:r>
    </w:p>
    <w:p w14:paraId="1F32FED6" w14:textId="77777777" w:rsidR="00546494" w:rsidRDefault="00546494" w:rsidP="00546494">
      <w:pPr>
        <w:rPr>
          <w:rFonts w:ascii="Times New Roman" w:hAnsi="Times New Roman" w:cs="Times New Roman"/>
          <w:b/>
          <w:bCs/>
          <w:sz w:val="22"/>
          <w:szCs w:val="22"/>
        </w:rPr>
        <w:sectPr w:rsidR="00546494" w:rsidSect="003933E2">
          <w:pgSz w:w="12240" w:h="15840"/>
          <w:pgMar w:top="720" w:right="720" w:bottom="720" w:left="720" w:header="720" w:footer="720" w:gutter="0"/>
          <w:cols w:space="720"/>
          <w:docGrid w:linePitch="360"/>
        </w:sectPr>
      </w:pPr>
    </w:p>
    <w:p w14:paraId="02671FD4" w14:textId="77777777" w:rsidR="00546494" w:rsidRDefault="00546494" w:rsidP="00546494">
      <w:pPr>
        <w:rPr>
          <w:rFonts w:ascii="Times New Roman" w:hAnsi="Times New Roman" w:cs="Times New Roman"/>
          <w:b/>
          <w:bCs/>
          <w:sz w:val="22"/>
          <w:szCs w:val="22"/>
        </w:rPr>
      </w:pPr>
      <w:r>
        <w:rPr>
          <w:rFonts w:ascii="Times New Roman" w:hAnsi="Times New Roman" w:cs="Times New Roman"/>
          <w:b/>
          <w:bCs/>
          <w:sz w:val="22"/>
          <w:szCs w:val="22"/>
        </w:rPr>
        <w:lastRenderedPageBreak/>
        <w:t>Supplemental Figure 1:  Summary of literature search and study selection</w:t>
      </w:r>
    </w:p>
    <w:p w14:paraId="493CC874" w14:textId="77777777" w:rsidR="000A35E0" w:rsidRDefault="00546494" w:rsidP="00546494">
      <w:pPr>
        <w:rPr>
          <w:rFonts w:ascii="Times New Roman" w:hAnsi="Times New Roman" w:cs="Times New Roman"/>
          <w:b/>
          <w:bCs/>
          <w:sz w:val="22"/>
          <w:szCs w:val="22"/>
        </w:rPr>
      </w:pPr>
      <w:r w:rsidRPr="00A3251B">
        <w:rPr>
          <w:rFonts w:ascii="Times New Roman" w:hAnsi="Times New Roman" w:cs="Times New Roman"/>
          <w:bCs/>
          <w:noProof/>
          <w:sz w:val="22"/>
          <w:szCs w:val="22"/>
        </w:rPr>
        <w:drawing>
          <wp:inline distT="0" distB="0" distL="0" distR="0" wp14:anchorId="23C60989" wp14:editId="7F6883EA">
            <wp:extent cx="6858000" cy="3700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28 at 8.49.12 PM.png"/>
                    <pic:cNvPicPr/>
                  </pic:nvPicPr>
                  <pic:blipFill>
                    <a:blip r:embed="rId10">
                      <a:extLst>
                        <a:ext uri="{28A0092B-C50C-407E-A947-70E740481C1C}">
                          <a14:useLocalDpi xmlns:a14="http://schemas.microsoft.com/office/drawing/2010/main" val="0"/>
                        </a:ext>
                      </a:extLst>
                    </a:blip>
                    <a:stretch>
                      <a:fillRect/>
                    </a:stretch>
                  </pic:blipFill>
                  <pic:spPr>
                    <a:xfrm>
                      <a:off x="0" y="0"/>
                      <a:ext cx="6858000" cy="3700780"/>
                    </a:xfrm>
                    <a:prstGeom prst="rect">
                      <a:avLst/>
                    </a:prstGeom>
                  </pic:spPr>
                </pic:pic>
              </a:graphicData>
            </a:graphic>
          </wp:inline>
        </w:drawing>
      </w:r>
    </w:p>
    <w:p w14:paraId="3BE2EC13" w14:textId="77777777" w:rsidR="000A35E0" w:rsidRDefault="000A35E0">
      <w:pPr>
        <w:spacing w:after="160" w:line="259" w:lineRule="auto"/>
        <w:rPr>
          <w:rFonts w:ascii="Times New Roman" w:hAnsi="Times New Roman" w:cs="Times New Roman"/>
          <w:b/>
          <w:bCs/>
          <w:sz w:val="22"/>
          <w:szCs w:val="22"/>
        </w:rPr>
      </w:pPr>
      <w:r>
        <w:rPr>
          <w:rFonts w:ascii="Times New Roman" w:hAnsi="Times New Roman" w:cs="Times New Roman"/>
          <w:b/>
          <w:bCs/>
          <w:sz w:val="22"/>
          <w:szCs w:val="22"/>
        </w:rPr>
        <w:br w:type="page"/>
      </w:r>
    </w:p>
    <w:p w14:paraId="0B876EE5" w14:textId="77777777" w:rsidR="00546494" w:rsidRPr="00A3251B" w:rsidRDefault="00546494" w:rsidP="00546494">
      <w:pPr>
        <w:rPr>
          <w:rFonts w:ascii="Times New Roman" w:hAnsi="Times New Roman" w:cs="Times New Roman"/>
          <w:b/>
          <w:bCs/>
          <w:sz w:val="22"/>
          <w:szCs w:val="22"/>
        </w:rPr>
        <w:sectPr w:rsidR="00546494" w:rsidRPr="00A3251B" w:rsidSect="003933E2">
          <w:pgSz w:w="12240" w:h="15840"/>
          <w:pgMar w:top="720" w:right="720" w:bottom="720" w:left="720" w:header="720" w:footer="720" w:gutter="0"/>
          <w:cols w:space="720"/>
          <w:docGrid w:linePitch="360"/>
        </w:sectPr>
      </w:pPr>
    </w:p>
    <w:p w14:paraId="65B6006F" w14:textId="7658470A" w:rsidR="000A35E0" w:rsidRPr="00EF7197" w:rsidRDefault="00A54B4C" w:rsidP="000A35E0">
      <w:pPr>
        <w:spacing w:line="480" w:lineRule="auto"/>
        <w:rPr>
          <w:rFonts w:ascii="Times New Roman" w:hAnsi="Times New Roman" w:cs="Times New Roman"/>
          <w:b/>
          <w:u w:val="single"/>
        </w:rPr>
      </w:pPr>
      <w:r>
        <w:rPr>
          <w:rFonts w:ascii="Times New Roman" w:hAnsi="Times New Roman" w:cs="Times New Roman"/>
          <w:b/>
          <w:u w:val="single"/>
        </w:rPr>
        <w:lastRenderedPageBreak/>
        <w:t xml:space="preserve">Appendix 1: </w:t>
      </w:r>
      <w:bookmarkStart w:id="0" w:name="_GoBack"/>
      <w:bookmarkEnd w:id="0"/>
      <w:r w:rsidR="00B53477">
        <w:rPr>
          <w:rFonts w:ascii="Times New Roman" w:hAnsi="Times New Roman" w:cs="Times New Roman"/>
          <w:b/>
          <w:u w:val="single"/>
        </w:rPr>
        <w:t>Literature</w:t>
      </w:r>
      <w:r w:rsidR="000A35E0">
        <w:rPr>
          <w:rFonts w:ascii="Times New Roman" w:hAnsi="Times New Roman" w:cs="Times New Roman"/>
          <w:b/>
          <w:u w:val="single"/>
        </w:rPr>
        <w:t xml:space="preserve"> </w:t>
      </w:r>
      <w:r w:rsidR="000A35E0" w:rsidRPr="00EF7197">
        <w:rPr>
          <w:rFonts w:ascii="Times New Roman" w:hAnsi="Times New Roman" w:cs="Times New Roman"/>
          <w:b/>
          <w:u w:val="single"/>
        </w:rPr>
        <w:t xml:space="preserve">Search Strategies: </w:t>
      </w:r>
    </w:p>
    <w:p w14:paraId="123B99D7" w14:textId="77777777" w:rsidR="000A35E0" w:rsidRPr="00EF7197" w:rsidRDefault="000A35E0" w:rsidP="000A35E0">
      <w:pPr>
        <w:spacing w:line="480" w:lineRule="auto"/>
        <w:rPr>
          <w:rFonts w:ascii="Times New Roman" w:hAnsi="Times New Roman" w:cs="Times New Roman"/>
          <w:b/>
        </w:rPr>
      </w:pPr>
      <w:r w:rsidRPr="00EF7197">
        <w:rPr>
          <w:rFonts w:ascii="Times New Roman" w:hAnsi="Times New Roman" w:cs="Times New Roman"/>
          <w:b/>
        </w:rPr>
        <w:t>PubMed (pubmed.gov)</w:t>
      </w:r>
    </w:p>
    <w:p w14:paraId="138975B8" w14:textId="77777777" w:rsidR="000A35E0" w:rsidRPr="00EF7197" w:rsidRDefault="000A35E0" w:rsidP="000A35E0">
      <w:pPr>
        <w:pStyle w:val="ListParagraph"/>
        <w:numPr>
          <w:ilvl w:val="0"/>
          <w:numId w:val="1"/>
        </w:numPr>
        <w:spacing w:after="160" w:line="480" w:lineRule="auto"/>
      </w:pPr>
      <w:r w:rsidRPr="00EF7197">
        <w:t>"hidradenitis suppurativa"[</w:t>
      </w:r>
      <w:proofErr w:type="spellStart"/>
      <w:r w:rsidRPr="00EF7197">
        <w:t>MeSH</w:t>
      </w:r>
      <w:proofErr w:type="spellEnd"/>
      <w:r w:rsidRPr="00EF7197">
        <w:t xml:space="preserve"> Terms] OR "hidradenitis suppurativa"[TW] OR acne </w:t>
      </w:r>
      <w:proofErr w:type="spellStart"/>
      <w:r w:rsidRPr="00EF7197">
        <w:t>inversa</w:t>
      </w:r>
      <w:proofErr w:type="spellEnd"/>
      <w:r w:rsidRPr="00EF7197">
        <w:t>[TW]</w:t>
      </w:r>
    </w:p>
    <w:p w14:paraId="1B75D88E" w14:textId="77777777" w:rsidR="000A35E0" w:rsidRPr="00EF7197" w:rsidRDefault="000A35E0" w:rsidP="000A35E0">
      <w:pPr>
        <w:pStyle w:val="ListParagraph"/>
        <w:numPr>
          <w:ilvl w:val="0"/>
          <w:numId w:val="1"/>
        </w:numPr>
        <w:spacing w:after="160" w:line="480" w:lineRule="auto"/>
      </w:pPr>
      <w:r w:rsidRPr="00EF7197">
        <w:t>"Clinical Trial" [Publication Type] OR "Clinical Trials as Topic"[Mesh] OR “clinical trial*”[TW] OR “controlled clinical trial*”[TW] OR “randomized clinical trial*”[TW]</w:t>
      </w:r>
    </w:p>
    <w:p w14:paraId="130188B8" w14:textId="77777777" w:rsidR="000A35E0" w:rsidRPr="00EF7197" w:rsidRDefault="000A35E0" w:rsidP="000A35E0">
      <w:pPr>
        <w:pStyle w:val="ListParagraph"/>
        <w:numPr>
          <w:ilvl w:val="0"/>
          <w:numId w:val="1"/>
        </w:numPr>
        <w:spacing w:after="160" w:line="480" w:lineRule="auto"/>
      </w:pPr>
      <w:r w:rsidRPr="00EF7197">
        <w:t xml:space="preserve">#1 AND #2 </w:t>
      </w:r>
    </w:p>
    <w:p w14:paraId="3CE6B91C" w14:textId="77777777" w:rsidR="000A35E0" w:rsidRPr="00EF7197" w:rsidRDefault="000A35E0" w:rsidP="000A35E0">
      <w:pPr>
        <w:pStyle w:val="ListParagraph"/>
        <w:numPr>
          <w:ilvl w:val="0"/>
          <w:numId w:val="1"/>
        </w:numPr>
        <w:spacing w:line="480" w:lineRule="auto"/>
      </w:pPr>
      <w:r w:rsidRPr="00EF7197">
        <w:t>#3 AND English [</w:t>
      </w:r>
      <w:proofErr w:type="spellStart"/>
      <w:r w:rsidRPr="00EF7197">
        <w:t>lang</w:t>
      </w:r>
      <w:proofErr w:type="spellEnd"/>
      <w:r w:rsidRPr="00EF7197">
        <w:t>]</w:t>
      </w:r>
    </w:p>
    <w:p w14:paraId="7A583ED6" w14:textId="77777777" w:rsidR="000A35E0" w:rsidRPr="00EF7197" w:rsidRDefault="000A35E0" w:rsidP="000A35E0">
      <w:pPr>
        <w:spacing w:line="480" w:lineRule="auto"/>
        <w:rPr>
          <w:rFonts w:ascii="Times New Roman" w:hAnsi="Times New Roman" w:cs="Times New Roman"/>
        </w:rPr>
      </w:pPr>
    </w:p>
    <w:p w14:paraId="266F8584" w14:textId="77777777" w:rsidR="000A35E0" w:rsidRPr="00EF7197" w:rsidRDefault="000A35E0" w:rsidP="000A35E0">
      <w:pPr>
        <w:spacing w:line="480" w:lineRule="auto"/>
        <w:rPr>
          <w:rFonts w:ascii="Times New Roman" w:hAnsi="Times New Roman" w:cs="Times New Roman"/>
          <w:b/>
        </w:rPr>
      </w:pPr>
      <w:r w:rsidRPr="00EF7197">
        <w:rPr>
          <w:rFonts w:ascii="Times New Roman" w:hAnsi="Times New Roman" w:cs="Times New Roman"/>
          <w:b/>
        </w:rPr>
        <w:t>EMBASE (embase.com)</w:t>
      </w:r>
    </w:p>
    <w:p w14:paraId="1F61D07A" w14:textId="77777777" w:rsidR="000A35E0" w:rsidRPr="00EF7197" w:rsidRDefault="000A35E0" w:rsidP="000A35E0">
      <w:pPr>
        <w:pStyle w:val="ListParagraph"/>
        <w:numPr>
          <w:ilvl w:val="0"/>
          <w:numId w:val="4"/>
        </w:numPr>
        <w:spacing w:line="480" w:lineRule="auto"/>
      </w:pPr>
      <w:r w:rsidRPr="00EF7197">
        <w:t>'</w:t>
      </w:r>
      <w:proofErr w:type="spellStart"/>
      <w:r w:rsidRPr="00EF7197">
        <w:t>suppurative</w:t>
      </w:r>
      <w:proofErr w:type="spellEnd"/>
      <w:r w:rsidRPr="00EF7197">
        <w:t xml:space="preserve"> hidradenitis'/</w:t>
      </w:r>
      <w:proofErr w:type="spellStart"/>
      <w:r w:rsidRPr="00EF7197">
        <w:t>exp</w:t>
      </w:r>
      <w:proofErr w:type="spellEnd"/>
      <w:r w:rsidRPr="00EF7197">
        <w:t xml:space="preserve"> OR '</w:t>
      </w:r>
      <w:proofErr w:type="spellStart"/>
      <w:r w:rsidRPr="00EF7197">
        <w:t>hidradentitis</w:t>
      </w:r>
      <w:proofErr w:type="spellEnd"/>
      <w:r w:rsidRPr="00EF7197">
        <w:t xml:space="preserve"> </w:t>
      </w:r>
      <w:proofErr w:type="spellStart"/>
      <w:r w:rsidRPr="00EF7197">
        <w:t>supprativa</w:t>
      </w:r>
      <w:proofErr w:type="spellEnd"/>
      <w:r w:rsidRPr="00EF7197">
        <w:t>':</w:t>
      </w:r>
      <w:proofErr w:type="spellStart"/>
      <w:r w:rsidRPr="00EF7197">
        <w:t>ti,ab</w:t>
      </w:r>
      <w:proofErr w:type="spellEnd"/>
      <w:r w:rsidRPr="00EF7197">
        <w:t xml:space="preserve"> OR 'acne </w:t>
      </w:r>
      <w:proofErr w:type="spellStart"/>
      <w:r w:rsidRPr="00EF7197">
        <w:t>inversa</w:t>
      </w:r>
      <w:proofErr w:type="spellEnd"/>
      <w:r w:rsidRPr="00EF7197">
        <w:t>':</w:t>
      </w:r>
      <w:proofErr w:type="spellStart"/>
      <w:r w:rsidRPr="00EF7197">
        <w:t>ti,ab</w:t>
      </w:r>
      <w:proofErr w:type="spellEnd"/>
      <w:r w:rsidRPr="00EF7197">
        <w:t xml:space="preserve"> 'clinical trial'/</w:t>
      </w:r>
      <w:proofErr w:type="spellStart"/>
      <w:r w:rsidRPr="00EF7197">
        <w:t>exp</w:t>
      </w:r>
      <w:proofErr w:type="spellEnd"/>
      <w:r w:rsidRPr="00EF7197">
        <w:t xml:space="preserve"> OR 'clinical trial*':</w:t>
      </w:r>
      <w:proofErr w:type="spellStart"/>
      <w:r w:rsidRPr="00EF7197">
        <w:t>ti,ab</w:t>
      </w:r>
      <w:proofErr w:type="spellEnd"/>
      <w:r w:rsidRPr="00EF7197">
        <w:t xml:space="preserve"> OR (clinical NEAR/2 trial*) OR (controlled NEAR/2 ‘clinical trial*’) OR (randomized NEAR/2 ‘clinical trial*’)</w:t>
      </w:r>
    </w:p>
    <w:p w14:paraId="0687A2A7" w14:textId="77777777" w:rsidR="000A35E0" w:rsidRPr="00EF7197" w:rsidRDefault="000A35E0" w:rsidP="000A35E0">
      <w:pPr>
        <w:pStyle w:val="ListParagraph"/>
        <w:numPr>
          <w:ilvl w:val="0"/>
          <w:numId w:val="4"/>
        </w:numPr>
        <w:spacing w:line="480" w:lineRule="auto"/>
      </w:pPr>
      <w:r w:rsidRPr="00EF7197">
        <w:t xml:space="preserve">#1 AND #2 </w:t>
      </w:r>
    </w:p>
    <w:p w14:paraId="1C779B57" w14:textId="77777777" w:rsidR="000A35E0" w:rsidRPr="00EF7197" w:rsidRDefault="000A35E0" w:rsidP="000A35E0">
      <w:pPr>
        <w:pStyle w:val="ListParagraph"/>
        <w:numPr>
          <w:ilvl w:val="0"/>
          <w:numId w:val="4"/>
        </w:numPr>
        <w:spacing w:line="480" w:lineRule="auto"/>
      </w:pPr>
      <w:r w:rsidRPr="00EF7197">
        <w:t>#3 AND [</w:t>
      </w:r>
      <w:proofErr w:type="spellStart"/>
      <w:r w:rsidRPr="00EF7197">
        <w:t>english</w:t>
      </w:r>
      <w:proofErr w:type="spellEnd"/>
      <w:r w:rsidRPr="00EF7197">
        <w:t>]/</w:t>
      </w:r>
      <w:proofErr w:type="spellStart"/>
      <w:r w:rsidRPr="00EF7197">
        <w:t>lim</w:t>
      </w:r>
      <w:proofErr w:type="spellEnd"/>
      <w:r w:rsidRPr="00EF7197">
        <w:t xml:space="preserve"> AND ('article'/it OR 'article in press'/it OR 'review'/it)</w:t>
      </w:r>
    </w:p>
    <w:p w14:paraId="338F14B3" w14:textId="77777777" w:rsidR="000A35E0" w:rsidRPr="00EF7197" w:rsidRDefault="000A35E0" w:rsidP="000A35E0">
      <w:pPr>
        <w:spacing w:line="480" w:lineRule="auto"/>
        <w:rPr>
          <w:rFonts w:ascii="Times New Roman" w:hAnsi="Times New Roman" w:cs="Times New Roman"/>
          <w:b/>
        </w:rPr>
      </w:pPr>
    </w:p>
    <w:p w14:paraId="1319E46E" w14:textId="77777777" w:rsidR="000A35E0" w:rsidRPr="00EF7197" w:rsidRDefault="000A35E0" w:rsidP="000A35E0">
      <w:pPr>
        <w:spacing w:line="480" w:lineRule="auto"/>
        <w:rPr>
          <w:rFonts w:ascii="Times New Roman" w:hAnsi="Times New Roman" w:cs="Times New Roman"/>
          <w:b/>
        </w:rPr>
      </w:pPr>
      <w:r w:rsidRPr="00EF7197">
        <w:rPr>
          <w:rFonts w:ascii="Times New Roman" w:hAnsi="Times New Roman" w:cs="Times New Roman"/>
          <w:b/>
        </w:rPr>
        <w:t>Central (cochranelibrary.com)</w:t>
      </w:r>
    </w:p>
    <w:p w14:paraId="635D1BC9" w14:textId="77777777" w:rsidR="000A35E0" w:rsidRPr="00EF7197" w:rsidRDefault="000A35E0" w:rsidP="000A35E0">
      <w:pPr>
        <w:pStyle w:val="ListParagraph"/>
        <w:numPr>
          <w:ilvl w:val="0"/>
          <w:numId w:val="2"/>
        </w:numPr>
        <w:spacing w:line="480" w:lineRule="auto"/>
      </w:pPr>
      <w:proofErr w:type="spellStart"/>
      <w:r w:rsidRPr="00EF7197">
        <w:t>MeSH</w:t>
      </w:r>
      <w:proofErr w:type="spellEnd"/>
      <w:r w:rsidRPr="00EF7197">
        <w:t xml:space="preserve"> descriptor: [Hidradenitis Suppurativa] explode all trees</w:t>
      </w:r>
      <w:r w:rsidRPr="00EF7197">
        <w:tab/>
      </w:r>
    </w:p>
    <w:p w14:paraId="05FFE755" w14:textId="77777777" w:rsidR="000A35E0" w:rsidRPr="00EF7197" w:rsidRDefault="000A35E0" w:rsidP="000A35E0">
      <w:pPr>
        <w:pStyle w:val="ListParagraph"/>
        <w:numPr>
          <w:ilvl w:val="0"/>
          <w:numId w:val="2"/>
        </w:numPr>
        <w:spacing w:line="480" w:lineRule="auto"/>
      </w:pPr>
      <w:r w:rsidRPr="00EF7197">
        <w:t>“hidradenitis suppurativa”:</w:t>
      </w:r>
      <w:proofErr w:type="spellStart"/>
      <w:r w:rsidRPr="00EF7197">
        <w:t>ti,ab</w:t>
      </w:r>
      <w:proofErr w:type="spellEnd"/>
    </w:p>
    <w:p w14:paraId="455A5E47" w14:textId="77777777" w:rsidR="000A35E0" w:rsidRPr="00EF7197" w:rsidRDefault="000A35E0" w:rsidP="000A35E0">
      <w:pPr>
        <w:pStyle w:val="ListParagraph"/>
        <w:numPr>
          <w:ilvl w:val="0"/>
          <w:numId w:val="2"/>
        </w:numPr>
        <w:spacing w:line="480" w:lineRule="auto"/>
      </w:pPr>
      <w:r w:rsidRPr="00EF7197">
        <w:t xml:space="preserve">"acne </w:t>
      </w:r>
      <w:proofErr w:type="spellStart"/>
      <w:r w:rsidRPr="00EF7197">
        <w:t>inversa</w:t>
      </w:r>
      <w:proofErr w:type="spellEnd"/>
      <w:r w:rsidRPr="00EF7197">
        <w:t>":</w:t>
      </w:r>
      <w:proofErr w:type="spellStart"/>
      <w:r w:rsidRPr="00EF7197">
        <w:t>ti,ab</w:t>
      </w:r>
      <w:proofErr w:type="spellEnd"/>
      <w:r w:rsidRPr="00EF7197">
        <w:tab/>
      </w:r>
    </w:p>
    <w:p w14:paraId="36DF9EB0" w14:textId="77777777" w:rsidR="000A35E0" w:rsidRPr="00EF7197" w:rsidRDefault="000A35E0" w:rsidP="000A35E0">
      <w:pPr>
        <w:pStyle w:val="ListParagraph"/>
        <w:numPr>
          <w:ilvl w:val="0"/>
          <w:numId w:val="2"/>
        </w:numPr>
        <w:spacing w:line="480" w:lineRule="auto"/>
      </w:pPr>
      <w:r w:rsidRPr="00EF7197">
        <w:t xml:space="preserve"> #1 OR #2 OR #3</w:t>
      </w:r>
      <w:r w:rsidRPr="00EF7197">
        <w:tab/>
      </w:r>
    </w:p>
    <w:p w14:paraId="3BD7980F" w14:textId="77777777" w:rsidR="000A35E0" w:rsidRPr="00EF7197" w:rsidRDefault="000A35E0" w:rsidP="000A35E0">
      <w:pPr>
        <w:pStyle w:val="ListParagraph"/>
        <w:numPr>
          <w:ilvl w:val="0"/>
          <w:numId w:val="2"/>
        </w:numPr>
        <w:spacing w:line="480" w:lineRule="auto"/>
      </w:pPr>
      <w:proofErr w:type="spellStart"/>
      <w:r w:rsidRPr="00EF7197">
        <w:t>MeSH</w:t>
      </w:r>
      <w:proofErr w:type="spellEnd"/>
      <w:r w:rsidRPr="00EF7197">
        <w:t xml:space="preserve"> descriptor: [Clinical Trial] explode all trees</w:t>
      </w:r>
      <w:r w:rsidRPr="00EF7197">
        <w:tab/>
      </w:r>
    </w:p>
    <w:p w14:paraId="58F15449" w14:textId="77777777" w:rsidR="000A35E0" w:rsidRPr="00EF7197" w:rsidRDefault="000A35E0" w:rsidP="000A35E0">
      <w:pPr>
        <w:pStyle w:val="ListParagraph"/>
        <w:numPr>
          <w:ilvl w:val="0"/>
          <w:numId w:val="2"/>
        </w:numPr>
        <w:spacing w:line="480" w:lineRule="auto"/>
      </w:pPr>
      <w:r w:rsidRPr="00EF7197">
        <w:t>"clinical trial":</w:t>
      </w:r>
      <w:proofErr w:type="spellStart"/>
      <w:r w:rsidRPr="00EF7197">
        <w:t>ti,ab</w:t>
      </w:r>
      <w:proofErr w:type="spellEnd"/>
      <w:r w:rsidRPr="00EF7197">
        <w:t xml:space="preserve"> OR clinical NEAR/2 trial* OR (controlled NEAR/2 “clinical trial*”) OR (randomized NEAR/2 “clinical trial*”)</w:t>
      </w:r>
    </w:p>
    <w:p w14:paraId="3D3B5062" w14:textId="77777777" w:rsidR="000A35E0" w:rsidRPr="00EF7197" w:rsidRDefault="000A35E0" w:rsidP="000A35E0">
      <w:pPr>
        <w:pStyle w:val="ListParagraph"/>
        <w:numPr>
          <w:ilvl w:val="0"/>
          <w:numId w:val="2"/>
        </w:numPr>
        <w:spacing w:line="480" w:lineRule="auto"/>
      </w:pPr>
      <w:r w:rsidRPr="00EF7197">
        <w:t>#5 OR #6</w:t>
      </w:r>
      <w:r w:rsidRPr="00EF7197">
        <w:tab/>
      </w:r>
    </w:p>
    <w:p w14:paraId="27878D9B" w14:textId="77777777" w:rsidR="000A35E0" w:rsidRPr="00EF7197" w:rsidRDefault="000A35E0" w:rsidP="000A35E0">
      <w:pPr>
        <w:pStyle w:val="ListParagraph"/>
        <w:numPr>
          <w:ilvl w:val="0"/>
          <w:numId w:val="2"/>
        </w:numPr>
        <w:spacing w:line="480" w:lineRule="auto"/>
      </w:pPr>
      <w:r w:rsidRPr="00EF7197">
        <w:t>#4 AND #7</w:t>
      </w:r>
      <w:r w:rsidRPr="00EF7197">
        <w:tab/>
      </w:r>
    </w:p>
    <w:p w14:paraId="16502A29" w14:textId="77777777" w:rsidR="000A35E0" w:rsidRPr="00EF7197" w:rsidRDefault="000A35E0" w:rsidP="000A35E0">
      <w:pPr>
        <w:spacing w:line="480" w:lineRule="auto"/>
        <w:rPr>
          <w:rFonts w:ascii="Times New Roman" w:hAnsi="Times New Roman" w:cs="Times New Roman"/>
        </w:rPr>
      </w:pPr>
    </w:p>
    <w:p w14:paraId="1C6E18E0"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lastRenderedPageBreak/>
        <w:br/>
        <w:t>Science Citation Index Expanded</w:t>
      </w:r>
    </w:p>
    <w:p w14:paraId="46BD02C5"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Social Sciences Citation Index</w:t>
      </w:r>
    </w:p>
    <w:p w14:paraId="5C201EA6"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Arts &amp; Humanities Citation Index</w:t>
      </w:r>
    </w:p>
    <w:p w14:paraId="5744B366"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Conference Proceedings Citation Index – Science</w:t>
      </w:r>
    </w:p>
    <w:p w14:paraId="01A33BE1"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Conference Proceedings Citation Index – Social Science &amp; Humanities</w:t>
      </w:r>
    </w:p>
    <w:p w14:paraId="6E3CE8D3"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Book Citation Index – Science</w:t>
      </w:r>
    </w:p>
    <w:p w14:paraId="31BCC870"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Book Citation Index – Social Sciences &amp; Humanities</w:t>
      </w:r>
    </w:p>
    <w:p w14:paraId="3262315A"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Emerging Sources Citation Index</w:t>
      </w:r>
    </w:p>
    <w:p w14:paraId="7C0C1A2A" w14:textId="77777777" w:rsidR="000A35E0" w:rsidRPr="00EF7197" w:rsidRDefault="000A35E0" w:rsidP="000A35E0">
      <w:pPr>
        <w:rPr>
          <w:rFonts w:ascii="Times New Roman" w:hAnsi="Times New Roman" w:cs="Times New Roman"/>
          <w:b/>
        </w:rPr>
      </w:pPr>
      <w:r w:rsidRPr="00EF7197">
        <w:rPr>
          <w:rFonts w:ascii="Times New Roman" w:hAnsi="Times New Roman" w:cs="Times New Roman"/>
          <w:b/>
        </w:rPr>
        <w:t>Current Chemical Reactions</w:t>
      </w:r>
    </w:p>
    <w:p w14:paraId="7754C09B" w14:textId="77777777" w:rsidR="000A35E0" w:rsidRPr="00EF7197" w:rsidRDefault="000A35E0" w:rsidP="000A35E0">
      <w:pPr>
        <w:rPr>
          <w:rFonts w:ascii="Times New Roman" w:hAnsi="Times New Roman" w:cs="Times New Roman"/>
          <w:b/>
        </w:rPr>
      </w:pPr>
    </w:p>
    <w:p w14:paraId="096DE430" w14:textId="77777777" w:rsidR="000A35E0" w:rsidRPr="00EF7197" w:rsidRDefault="000A35E0" w:rsidP="000A35E0">
      <w:pPr>
        <w:pStyle w:val="ListParagraph"/>
        <w:numPr>
          <w:ilvl w:val="0"/>
          <w:numId w:val="3"/>
        </w:numPr>
        <w:spacing w:line="480" w:lineRule="auto"/>
        <w:rPr>
          <w:color w:val="333333"/>
        </w:rPr>
      </w:pPr>
      <w:r w:rsidRPr="00EF7197">
        <w:rPr>
          <w:color w:val="333333"/>
        </w:rPr>
        <w:t xml:space="preserve">(TS=("hidradenitis suppurativa") OR TS=("acne </w:t>
      </w:r>
      <w:proofErr w:type="spellStart"/>
      <w:r w:rsidRPr="00EF7197">
        <w:rPr>
          <w:color w:val="333333"/>
        </w:rPr>
        <w:t>inversa</w:t>
      </w:r>
      <w:proofErr w:type="spellEnd"/>
      <w:r w:rsidRPr="00EF7197">
        <w:rPr>
          <w:color w:val="333333"/>
        </w:rPr>
        <w:t>"))</w:t>
      </w:r>
    </w:p>
    <w:p w14:paraId="57D7ABE0" w14:textId="77777777" w:rsidR="000A35E0" w:rsidRPr="00EF7197" w:rsidRDefault="000A35E0" w:rsidP="000A35E0">
      <w:pPr>
        <w:pStyle w:val="ListParagraph"/>
        <w:numPr>
          <w:ilvl w:val="0"/>
          <w:numId w:val="3"/>
        </w:numPr>
        <w:spacing w:line="480" w:lineRule="auto"/>
        <w:rPr>
          <w:color w:val="333333"/>
        </w:rPr>
      </w:pPr>
      <w:r w:rsidRPr="00EF7197">
        <w:rPr>
          <w:color w:val="333333"/>
        </w:rPr>
        <w:t>(TS=(clinical NEAR/2 trial*) OR TS=(controlled NEAR/2 “clinical trial*”) OR TS=(randomized NEAR/2 “clinical trial*”))</w:t>
      </w:r>
    </w:p>
    <w:p w14:paraId="07E99130" w14:textId="77777777" w:rsidR="000A35E0" w:rsidRPr="00EF7197" w:rsidRDefault="000A35E0" w:rsidP="000A35E0">
      <w:pPr>
        <w:pStyle w:val="ListParagraph"/>
        <w:numPr>
          <w:ilvl w:val="0"/>
          <w:numId w:val="3"/>
        </w:numPr>
        <w:spacing w:line="480" w:lineRule="auto"/>
        <w:rPr>
          <w:color w:val="333333"/>
        </w:rPr>
      </w:pPr>
      <w:r w:rsidRPr="00EF7197">
        <w:rPr>
          <w:color w:val="333333"/>
        </w:rPr>
        <w:t xml:space="preserve">#1 AND #2 </w:t>
      </w:r>
    </w:p>
    <w:p w14:paraId="267385A0" w14:textId="77777777" w:rsidR="000A35E0" w:rsidRPr="00EF7197" w:rsidRDefault="000A35E0" w:rsidP="000A35E0">
      <w:pPr>
        <w:pStyle w:val="ListParagraph"/>
        <w:numPr>
          <w:ilvl w:val="0"/>
          <w:numId w:val="3"/>
        </w:numPr>
        <w:spacing w:line="480" w:lineRule="auto"/>
        <w:rPr>
          <w:color w:val="333333"/>
        </w:rPr>
      </w:pPr>
      <w:r w:rsidRPr="00EF7197">
        <w:rPr>
          <w:color w:val="333333"/>
        </w:rPr>
        <w:t>#3 AND LANGUAGE: (English) AND (Article OR Review)</w:t>
      </w:r>
    </w:p>
    <w:p w14:paraId="38DA24E4" w14:textId="0F7772E7" w:rsidR="00DD4C8C" w:rsidRDefault="00DD4C8C" w:rsidP="000A35E0">
      <w:pPr>
        <w:rPr>
          <w:b/>
        </w:rPr>
      </w:pPr>
    </w:p>
    <w:p w14:paraId="747FCFD9" w14:textId="6655A00E" w:rsidR="00813B26" w:rsidRDefault="00813B26" w:rsidP="000A35E0">
      <w:pPr>
        <w:rPr>
          <w:b/>
        </w:rPr>
      </w:pPr>
    </w:p>
    <w:p w14:paraId="7DEA2C66" w14:textId="1BB633CD" w:rsidR="00813B26" w:rsidRDefault="00813B26" w:rsidP="000A35E0">
      <w:pPr>
        <w:rPr>
          <w:b/>
        </w:rPr>
      </w:pPr>
    </w:p>
    <w:p w14:paraId="37EE04EF" w14:textId="414006E9" w:rsidR="00813B26" w:rsidRDefault="00813B26" w:rsidP="000A35E0">
      <w:pPr>
        <w:rPr>
          <w:b/>
        </w:rPr>
      </w:pPr>
    </w:p>
    <w:p w14:paraId="5055FA6D" w14:textId="0D750303" w:rsidR="00813B26" w:rsidRDefault="00813B26" w:rsidP="000A35E0">
      <w:pPr>
        <w:rPr>
          <w:b/>
        </w:rPr>
      </w:pPr>
    </w:p>
    <w:p w14:paraId="5D0154A4" w14:textId="17190D85" w:rsidR="00813B26" w:rsidRDefault="00813B26" w:rsidP="000A35E0">
      <w:pPr>
        <w:rPr>
          <w:b/>
        </w:rPr>
      </w:pPr>
    </w:p>
    <w:p w14:paraId="3728570C" w14:textId="21A035E3" w:rsidR="00813B26" w:rsidRDefault="00813B26" w:rsidP="000A35E0">
      <w:pPr>
        <w:rPr>
          <w:b/>
        </w:rPr>
      </w:pPr>
    </w:p>
    <w:p w14:paraId="1A4006BB" w14:textId="254EEF6E" w:rsidR="00813B26" w:rsidRDefault="00813B26" w:rsidP="000A35E0">
      <w:pPr>
        <w:rPr>
          <w:b/>
        </w:rPr>
      </w:pPr>
    </w:p>
    <w:p w14:paraId="60440AFA" w14:textId="2D66059E" w:rsidR="00813B26" w:rsidRDefault="00813B26" w:rsidP="000A35E0">
      <w:pPr>
        <w:rPr>
          <w:b/>
        </w:rPr>
      </w:pPr>
    </w:p>
    <w:p w14:paraId="3DF24E59" w14:textId="13B47EE8" w:rsidR="00813B26" w:rsidRDefault="00813B26" w:rsidP="000A35E0">
      <w:pPr>
        <w:rPr>
          <w:b/>
        </w:rPr>
      </w:pPr>
    </w:p>
    <w:p w14:paraId="0E754434" w14:textId="43C64207" w:rsidR="00813B26" w:rsidRDefault="00813B26" w:rsidP="000A35E0">
      <w:pPr>
        <w:rPr>
          <w:b/>
        </w:rPr>
      </w:pPr>
    </w:p>
    <w:p w14:paraId="27DFD6CB" w14:textId="513FF1D4" w:rsidR="00813B26" w:rsidRDefault="00813B26" w:rsidP="000A35E0">
      <w:pPr>
        <w:rPr>
          <w:b/>
        </w:rPr>
      </w:pPr>
    </w:p>
    <w:p w14:paraId="1D2D21D1" w14:textId="6777138F" w:rsidR="00813B26" w:rsidRDefault="00813B26" w:rsidP="000A35E0">
      <w:pPr>
        <w:rPr>
          <w:b/>
        </w:rPr>
      </w:pPr>
    </w:p>
    <w:p w14:paraId="5E363D79" w14:textId="61E133B4" w:rsidR="00813B26" w:rsidRDefault="00813B26" w:rsidP="000A35E0">
      <w:pPr>
        <w:rPr>
          <w:b/>
        </w:rPr>
      </w:pPr>
    </w:p>
    <w:p w14:paraId="17897E0C" w14:textId="10B55D4A" w:rsidR="00813B26" w:rsidRDefault="00813B26" w:rsidP="000A35E0">
      <w:pPr>
        <w:rPr>
          <w:b/>
        </w:rPr>
      </w:pPr>
    </w:p>
    <w:p w14:paraId="18C8ABF0" w14:textId="6578D7AC" w:rsidR="00813B26" w:rsidRDefault="00813B26" w:rsidP="000A35E0">
      <w:pPr>
        <w:rPr>
          <w:b/>
        </w:rPr>
      </w:pPr>
    </w:p>
    <w:p w14:paraId="67F6D83E" w14:textId="03D2BEE9" w:rsidR="00813B26" w:rsidRDefault="00813B26" w:rsidP="000A35E0">
      <w:pPr>
        <w:rPr>
          <w:b/>
        </w:rPr>
      </w:pPr>
    </w:p>
    <w:p w14:paraId="46F291D6" w14:textId="62D1AA7D" w:rsidR="00813B26" w:rsidRDefault="00813B26" w:rsidP="000A35E0">
      <w:pPr>
        <w:rPr>
          <w:b/>
        </w:rPr>
      </w:pPr>
    </w:p>
    <w:p w14:paraId="20865EE5" w14:textId="5DF336BB" w:rsidR="00813B26" w:rsidRDefault="00813B26" w:rsidP="000A35E0">
      <w:pPr>
        <w:rPr>
          <w:b/>
        </w:rPr>
      </w:pPr>
    </w:p>
    <w:p w14:paraId="56877EF8" w14:textId="271EE489" w:rsidR="00813B26" w:rsidRDefault="00813B26" w:rsidP="000A35E0">
      <w:pPr>
        <w:rPr>
          <w:b/>
        </w:rPr>
      </w:pPr>
    </w:p>
    <w:p w14:paraId="67321995" w14:textId="080C63B7" w:rsidR="00813B26" w:rsidRDefault="00813B26" w:rsidP="000A35E0">
      <w:pPr>
        <w:rPr>
          <w:b/>
        </w:rPr>
      </w:pPr>
    </w:p>
    <w:p w14:paraId="5E5A1D40" w14:textId="4220FBD0" w:rsidR="00813B26" w:rsidRDefault="00813B26" w:rsidP="000A35E0">
      <w:pPr>
        <w:rPr>
          <w:b/>
        </w:rPr>
      </w:pPr>
    </w:p>
    <w:p w14:paraId="0669330F" w14:textId="0CD8676C" w:rsidR="00813B26" w:rsidRDefault="00813B26" w:rsidP="000A35E0">
      <w:pPr>
        <w:rPr>
          <w:b/>
        </w:rPr>
      </w:pPr>
    </w:p>
    <w:p w14:paraId="65044AB6" w14:textId="70B315F6" w:rsidR="00813B26" w:rsidRDefault="00813B26" w:rsidP="000A35E0">
      <w:pPr>
        <w:rPr>
          <w:b/>
        </w:rPr>
      </w:pPr>
    </w:p>
    <w:p w14:paraId="215E6326" w14:textId="3D0E681F" w:rsidR="00813B26" w:rsidRDefault="00813B26" w:rsidP="000A35E0">
      <w:pPr>
        <w:rPr>
          <w:b/>
        </w:rPr>
      </w:pPr>
    </w:p>
    <w:p w14:paraId="6CBD3364" w14:textId="31698422" w:rsidR="00813B26" w:rsidRDefault="00813B26" w:rsidP="000A35E0">
      <w:pPr>
        <w:rPr>
          <w:b/>
        </w:rPr>
      </w:pPr>
    </w:p>
    <w:p w14:paraId="0DBFF8C6" w14:textId="0105F8A1" w:rsidR="00813B26" w:rsidRDefault="00813B26" w:rsidP="000A35E0">
      <w:pPr>
        <w:rPr>
          <w:b/>
        </w:rPr>
      </w:pPr>
    </w:p>
    <w:p w14:paraId="5D1FE811" w14:textId="77777777" w:rsidR="00D86769" w:rsidRDefault="00D86769" w:rsidP="000A35E0">
      <w:pPr>
        <w:rPr>
          <w:b/>
        </w:rPr>
      </w:pPr>
    </w:p>
    <w:p w14:paraId="45750C03" w14:textId="77777777" w:rsidR="00D84DAE" w:rsidRDefault="00D84DAE" w:rsidP="00813B26">
      <w:pPr>
        <w:widowControl w:val="0"/>
        <w:autoSpaceDE w:val="0"/>
        <w:autoSpaceDN w:val="0"/>
        <w:adjustRightInd w:val="0"/>
        <w:ind w:left="640" w:hanging="640"/>
        <w:rPr>
          <w:rFonts w:ascii="Times New Roman" w:hAnsi="Times New Roman" w:cs="Times New Roman"/>
          <w:b/>
          <w:sz w:val="22"/>
          <w:szCs w:val="22"/>
        </w:rPr>
      </w:pPr>
      <w:r>
        <w:rPr>
          <w:rFonts w:ascii="Times New Roman" w:hAnsi="Times New Roman" w:cs="Times New Roman"/>
          <w:b/>
          <w:sz w:val="22"/>
          <w:szCs w:val="22"/>
        </w:rPr>
        <w:lastRenderedPageBreak/>
        <w:t xml:space="preserve">Supplemental Reference </w:t>
      </w:r>
    </w:p>
    <w:p w14:paraId="4D68F725" w14:textId="77777777" w:rsidR="00D84DAE" w:rsidRDefault="00D84DAE" w:rsidP="00813B26">
      <w:pPr>
        <w:widowControl w:val="0"/>
        <w:autoSpaceDE w:val="0"/>
        <w:autoSpaceDN w:val="0"/>
        <w:adjustRightInd w:val="0"/>
        <w:ind w:left="640" w:hanging="640"/>
        <w:rPr>
          <w:rFonts w:ascii="Times New Roman" w:hAnsi="Times New Roman" w:cs="Times New Roman"/>
          <w:b/>
          <w:sz w:val="22"/>
          <w:szCs w:val="22"/>
        </w:rPr>
      </w:pPr>
    </w:p>
    <w:p w14:paraId="3EC6B7A9" w14:textId="753EF155"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Pr>
          <w:rFonts w:ascii="Times New Roman" w:hAnsi="Times New Roman" w:cs="Times New Roman"/>
          <w:b/>
          <w:sz w:val="22"/>
          <w:szCs w:val="22"/>
        </w:rPr>
        <w:fldChar w:fldCharType="begin" w:fldLock="1"/>
      </w:r>
      <w:r>
        <w:rPr>
          <w:rFonts w:ascii="Times New Roman" w:hAnsi="Times New Roman" w:cs="Times New Roman"/>
          <w:b/>
          <w:sz w:val="22"/>
          <w:szCs w:val="22"/>
        </w:rPr>
        <w:instrText xml:space="preserve">ADDIN Mendeley Bibliography CSL_BIBLIOGRAPHY </w:instrText>
      </w:r>
      <w:r>
        <w:rPr>
          <w:rFonts w:ascii="Times New Roman" w:hAnsi="Times New Roman" w:cs="Times New Roman"/>
          <w:b/>
          <w:sz w:val="22"/>
          <w:szCs w:val="22"/>
        </w:rPr>
        <w:fldChar w:fldCharType="separate"/>
      </w:r>
      <w:r w:rsidRPr="00D84DAE">
        <w:rPr>
          <w:rFonts w:ascii="Times New Roman" w:hAnsi="Times New Roman" w:cs="Times New Roman"/>
          <w:noProof/>
          <w:sz w:val="22"/>
        </w:rPr>
        <w:t xml:space="preserve">1. </w:t>
      </w:r>
      <w:r w:rsidRPr="00D84DAE">
        <w:rPr>
          <w:rFonts w:ascii="Times New Roman" w:hAnsi="Times New Roman" w:cs="Times New Roman"/>
          <w:noProof/>
          <w:sz w:val="22"/>
        </w:rPr>
        <w:tab/>
        <w:t xml:space="preserve">Kimball AB, Okun MM, Williams DA, Gottlieb AB, Papp KA, Zouboulis CC, et al. Two Phase 3 Trials of Adalimumab for Hidradenitis Suppurativa. N Engl J Med. 2016;375(5):422–34. </w:t>
      </w:r>
    </w:p>
    <w:p w14:paraId="6880A6A8"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 </w:t>
      </w:r>
      <w:r w:rsidRPr="00D84DAE">
        <w:rPr>
          <w:rFonts w:ascii="Times New Roman" w:hAnsi="Times New Roman" w:cs="Times New Roman"/>
          <w:noProof/>
          <w:sz w:val="22"/>
        </w:rPr>
        <w:tab/>
        <w:t xml:space="preserve">Kimball AB, Jemec GBE, Yang M, Kageleiry A, Signorovitch JE, Okun MM, et al. Assessing the validity, responsiveness and meaningfulness of the Hidradenitis Suppurativa Clinical Response (HiSCR) as the clinical endpoint for hidradenitis suppurativa treatment. Br J Dermatol. 2014;171(6):1434–42. </w:t>
      </w:r>
    </w:p>
    <w:p w14:paraId="2A867A30"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3. </w:t>
      </w:r>
      <w:r w:rsidRPr="00D84DAE">
        <w:rPr>
          <w:rFonts w:ascii="Times New Roman" w:hAnsi="Times New Roman" w:cs="Times New Roman"/>
          <w:noProof/>
          <w:sz w:val="22"/>
        </w:rPr>
        <w:tab/>
        <w:t xml:space="preserve">Buimer MG, Ankersmit MFP, Wobbes T, Klinkenbijl JHG. Surgical treatment of hidradenitis suppurativa with gentamicin sulfate: A prospective randomized study. Dermatologic Surg. 2008 Feb;34(2):224–7. </w:t>
      </w:r>
    </w:p>
    <w:p w14:paraId="040A4049"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4. </w:t>
      </w:r>
      <w:r w:rsidRPr="00D84DAE">
        <w:rPr>
          <w:rFonts w:ascii="Times New Roman" w:hAnsi="Times New Roman" w:cs="Times New Roman"/>
          <w:noProof/>
          <w:sz w:val="22"/>
        </w:rPr>
        <w:tab/>
        <w:t xml:space="preserve">Kimball AB, Kerdel F, Adams D, Mrowietz U, Gelfand JM, Gniadecki R, et al. Adalimumab for the treatment of moderate to severe hidradenitis suppurativa: A parallel randomized trial. Ann Intern Med. 2012;157(12):846–55. </w:t>
      </w:r>
    </w:p>
    <w:p w14:paraId="1850D08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5. </w:t>
      </w:r>
      <w:r w:rsidRPr="00D84DAE">
        <w:rPr>
          <w:rFonts w:ascii="Times New Roman" w:hAnsi="Times New Roman" w:cs="Times New Roman"/>
          <w:noProof/>
          <w:sz w:val="22"/>
        </w:rPr>
        <w:tab/>
        <w:t xml:space="preserve">Scheinfeld N, Sundaram M, Teixeira H, Gu Y, Okun M. Reduction in pain scores and improvement in depressive symptoms in patients with hidradenitis suppurativa treated with adalimumab in a phase 2, randomized, placebo-controlled trial. Dermatol Online J. 2016;22(3). </w:t>
      </w:r>
    </w:p>
    <w:p w14:paraId="6F5C20EE"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6. </w:t>
      </w:r>
      <w:r w:rsidRPr="00D84DAE">
        <w:rPr>
          <w:rFonts w:ascii="Times New Roman" w:hAnsi="Times New Roman" w:cs="Times New Roman"/>
          <w:noProof/>
          <w:sz w:val="22"/>
        </w:rPr>
        <w:tab/>
        <w:t xml:space="preserve">Robinson A, Kardos M, Kimball AB. Physician Global Assessment (PGA) and Psoriasis Area and Severity Index (PASI): Why do both? A systematic analysis of randomized controlled trials of biologic agents for moderate to severe plaque psoriasis. J Am Acad Dermatol. 2012;66(3):369–75. </w:t>
      </w:r>
    </w:p>
    <w:p w14:paraId="3C68478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7. </w:t>
      </w:r>
      <w:r w:rsidRPr="00D84DAE">
        <w:rPr>
          <w:rFonts w:ascii="Times New Roman" w:hAnsi="Times New Roman" w:cs="Times New Roman"/>
          <w:noProof/>
          <w:sz w:val="22"/>
        </w:rPr>
        <w:tab/>
        <w:t xml:space="preserve">Jemec GBE, Wendelboe P. Topical clindamycin versus systemic tetracycline in the treatment of hidradenitis suppurativa. J Am Acad Dermatol. 1998;39(6):971–4. </w:t>
      </w:r>
    </w:p>
    <w:p w14:paraId="078C72F1"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8. </w:t>
      </w:r>
      <w:r w:rsidRPr="00D84DAE">
        <w:rPr>
          <w:rFonts w:ascii="Times New Roman" w:hAnsi="Times New Roman" w:cs="Times New Roman"/>
          <w:noProof/>
          <w:sz w:val="22"/>
        </w:rPr>
        <w:tab/>
        <w:t xml:space="preserve">Yildiz H, Senol L, Ercan E, Bilgili ME, Karabudak Abuaf O. A prospective randomized controlled trial assessing the efficacy of adjunctive hyperbaric oxygen therapy in the treatment of hidradenitis suppurativa. Int J Dermatol. 2016;55(2):232–7. </w:t>
      </w:r>
    </w:p>
    <w:p w14:paraId="32222ED0"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9. </w:t>
      </w:r>
      <w:r w:rsidRPr="00D84DAE">
        <w:rPr>
          <w:rFonts w:ascii="Times New Roman" w:hAnsi="Times New Roman" w:cs="Times New Roman"/>
          <w:noProof/>
          <w:sz w:val="22"/>
        </w:rPr>
        <w:tab/>
        <w:t xml:space="preserve">Wilden S, Friis M, Tuettenberg A, Staubach-Renz P, Wegner J, Grabbe S, et al. Combined treatment of hidradenitis suppurativa with intense pulsed light (IPL) and radiofrequency (RF). J Dermatolog Treat. 2021;32(5):530–7. </w:t>
      </w:r>
    </w:p>
    <w:p w14:paraId="646AC24B"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10. </w:t>
      </w:r>
      <w:r w:rsidRPr="00D84DAE">
        <w:rPr>
          <w:rFonts w:ascii="Times New Roman" w:hAnsi="Times New Roman" w:cs="Times New Roman"/>
          <w:noProof/>
          <w:sz w:val="22"/>
        </w:rPr>
        <w:tab/>
        <w:t xml:space="preserve">Grant A, Gonzalez T, Montgomery MO, Cardenas V, Kerdel FA. Infliximab therapy for patients with moderate to severe hidradenitis suppurativa: A randomized, double-blind, placebo-controlled crossover trial. J Am Acad Dermatol. 2010; </w:t>
      </w:r>
    </w:p>
    <w:p w14:paraId="6EACA430"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11. </w:t>
      </w:r>
      <w:r w:rsidRPr="00D84DAE">
        <w:rPr>
          <w:rFonts w:ascii="Times New Roman" w:hAnsi="Times New Roman" w:cs="Times New Roman"/>
          <w:noProof/>
          <w:sz w:val="22"/>
        </w:rPr>
        <w:tab/>
        <w:t xml:space="preserve">Sartorius K, Lapins J, Emtestam L, Jemec GBE. Suggestions for uniform outcome variables when reporting treatment effects in hidradenitis suppurativa [11]. Vol. 149, British Journal of Dermatology. 2003. p. 211–3. </w:t>
      </w:r>
    </w:p>
    <w:p w14:paraId="7023C9AF"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12. </w:t>
      </w:r>
      <w:r w:rsidRPr="00D84DAE">
        <w:rPr>
          <w:rFonts w:ascii="Times New Roman" w:hAnsi="Times New Roman" w:cs="Times New Roman"/>
          <w:noProof/>
          <w:sz w:val="22"/>
        </w:rPr>
        <w:tab/>
        <w:t xml:space="preserve">Naouri M, Maruani A, Lagrange S, Cogrel O, Servy A, Collet Vilette AM, et al. Treatment of hidradenitis suppurativa using a long-pulsed hair removal neodymium:yttrium-aluminium-garnet laser: A multicenter, prospective, randomized, intraindividual, comparative trial. J Am Acad Dermatol. 2021;84(1):203–5. </w:t>
      </w:r>
    </w:p>
    <w:p w14:paraId="27FD2F58"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13. </w:t>
      </w:r>
      <w:r w:rsidRPr="00D84DAE">
        <w:rPr>
          <w:rFonts w:ascii="Times New Roman" w:hAnsi="Times New Roman" w:cs="Times New Roman"/>
          <w:noProof/>
          <w:sz w:val="22"/>
        </w:rPr>
        <w:tab/>
        <w:t xml:space="preserve">Fajgenbaum K, Crouse L, Dong L, Zeng D, Sayed C. Intralesional Triamcinolone May Not Be Beneficial for Treating Acute Hidradenitis Suppurativa Lesions: A Double-Blind, Randomized, Placebo-Controlled Trial. Dermatologic Surg. 2020;46(5):685–9. </w:t>
      </w:r>
    </w:p>
    <w:p w14:paraId="370E04AF"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14. </w:t>
      </w:r>
      <w:r w:rsidRPr="00D84DAE">
        <w:rPr>
          <w:rFonts w:ascii="Times New Roman" w:hAnsi="Times New Roman" w:cs="Times New Roman"/>
          <w:noProof/>
          <w:sz w:val="22"/>
        </w:rPr>
        <w:tab/>
        <w:t xml:space="preserve">Angel MF, Ramasastry SS, Manders EK, Granfield D, Futress JW. Beneficial effects of staphage lysate in the treatment of chronic recurrent hidradenitis suppurativa. Surg Forum. 1987;38:111–2. </w:t>
      </w:r>
    </w:p>
    <w:p w14:paraId="2FD66C8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15. </w:t>
      </w:r>
      <w:r w:rsidRPr="00D84DAE">
        <w:rPr>
          <w:rFonts w:ascii="Times New Roman" w:hAnsi="Times New Roman" w:cs="Times New Roman"/>
          <w:noProof/>
          <w:sz w:val="22"/>
        </w:rPr>
        <w:tab/>
        <w:t>MORTIMER PS, DAWBER RPR, GALES MA, MOORE RA. A double</w:t>
      </w:r>
      <w:r w:rsidRPr="00D84DAE">
        <w:rPr>
          <w:rFonts w:ascii="Cambria Math" w:hAnsi="Cambria Math" w:cs="Cambria Math"/>
          <w:noProof/>
          <w:sz w:val="22"/>
        </w:rPr>
        <w:t>‐</w:t>
      </w:r>
      <w:r w:rsidRPr="00D84DAE">
        <w:rPr>
          <w:rFonts w:ascii="Times New Roman" w:hAnsi="Times New Roman" w:cs="Times New Roman"/>
          <w:noProof/>
          <w:sz w:val="22"/>
        </w:rPr>
        <w:t>blind controlled cross</w:t>
      </w:r>
      <w:r w:rsidRPr="00D84DAE">
        <w:rPr>
          <w:rFonts w:ascii="Cambria Math" w:hAnsi="Cambria Math" w:cs="Cambria Math"/>
          <w:noProof/>
          <w:sz w:val="22"/>
        </w:rPr>
        <w:t>‐</w:t>
      </w:r>
      <w:r w:rsidRPr="00D84DAE">
        <w:rPr>
          <w:rFonts w:ascii="Times New Roman" w:hAnsi="Times New Roman" w:cs="Times New Roman"/>
          <w:noProof/>
          <w:sz w:val="22"/>
        </w:rPr>
        <w:t xml:space="preserve">over trial of cyproterone acetate in females with hidradenitis suppurativa. Br J Dermatol. 1986;115(3):263–8. </w:t>
      </w:r>
    </w:p>
    <w:p w14:paraId="500DCD9B"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16. </w:t>
      </w:r>
      <w:r w:rsidRPr="00D84DAE">
        <w:rPr>
          <w:rFonts w:ascii="Times New Roman" w:hAnsi="Times New Roman" w:cs="Times New Roman"/>
          <w:noProof/>
          <w:sz w:val="22"/>
        </w:rPr>
        <w:tab/>
        <w:t xml:space="preserve">Lindsø Andersen P, Riis PT, Thorlacius L, Sigsgaard V, Nielsen CW, Chafranska L, et al. Intense pulsed light treatment for hidradenitis suppurativa: a within-person randomized controlled trial. Eur J Dermatology. 2020;30(6):723–9. </w:t>
      </w:r>
    </w:p>
    <w:p w14:paraId="3C95A25A"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17. </w:t>
      </w:r>
      <w:r w:rsidRPr="00D84DAE">
        <w:rPr>
          <w:rFonts w:ascii="Times New Roman" w:hAnsi="Times New Roman" w:cs="Times New Roman"/>
          <w:noProof/>
          <w:sz w:val="22"/>
        </w:rPr>
        <w:tab/>
        <w:t xml:space="preserve">Tierney E, Mahmoud BH, Hexsel C, Ozog D, Hamzavi I. Randomized control trial for the treatment of hidradenitis suppurativa with a neodymium-doped yttrium aluminium garnet laser. Dermatologic Surg. 2009;35(8):1188–98. </w:t>
      </w:r>
    </w:p>
    <w:p w14:paraId="538237E0"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18. </w:t>
      </w:r>
      <w:r w:rsidRPr="00D84DAE">
        <w:rPr>
          <w:rFonts w:ascii="Times New Roman" w:hAnsi="Times New Roman" w:cs="Times New Roman"/>
          <w:noProof/>
          <w:sz w:val="22"/>
        </w:rPr>
        <w:tab/>
        <w:t xml:space="preserve">Mahmoud BH, Tierney E, Hexsel CL, Pui J, Ozog DM, Hamzavi IH. Prospective controlled clinical and histopathologic study of hidradenitis suppurativa treated with the long-pulsed neodymium:yttrium-aluminium-garnet laser. J Am Acad Dermatol. 2010;62(4):637–45. </w:t>
      </w:r>
    </w:p>
    <w:p w14:paraId="45A67CC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19. </w:t>
      </w:r>
      <w:r w:rsidRPr="00D84DAE">
        <w:rPr>
          <w:rFonts w:ascii="Times New Roman" w:hAnsi="Times New Roman" w:cs="Times New Roman"/>
          <w:noProof/>
          <w:sz w:val="22"/>
        </w:rPr>
        <w:tab/>
        <w:t xml:space="preserve">Miller I, Lynggaard CD, Lophaven S, Zachariae C, Dufour DN, Jemec GBE. A double-blind placebo-controlled randomized trial of adalimumab in the treatment of hidradenitis suppurativa. Br J Dermatol. 2011;165(2):391–8. </w:t>
      </w:r>
    </w:p>
    <w:p w14:paraId="1F0D56BA"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20. </w:t>
      </w:r>
      <w:r w:rsidRPr="00D84DAE">
        <w:rPr>
          <w:rFonts w:ascii="Times New Roman" w:hAnsi="Times New Roman" w:cs="Times New Roman"/>
          <w:noProof/>
          <w:sz w:val="22"/>
        </w:rPr>
        <w:tab/>
        <w:t xml:space="preserve">Adams DR, Yankura JA, Fogelberg AC, Anderson BE. Treatment of hidradenitis suppurativa with etanercept injection. Arch Dermatol. 2010;146(5):501–4. </w:t>
      </w:r>
    </w:p>
    <w:p w14:paraId="5DC4EA25"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21. </w:t>
      </w:r>
      <w:r w:rsidRPr="00D84DAE">
        <w:rPr>
          <w:rFonts w:ascii="Times New Roman" w:hAnsi="Times New Roman" w:cs="Times New Roman"/>
          <w:noProof/>
          <w:sz w:val="22"/>
        </w:rPr>
        <w:tab/>
        <w:t xml:space="preserve">Tzanetakou V, Kanni T, Giatrakou S, Katoulis A, Papadavid E, Netea MG, et al. Safety and efficacy of anakinra in severe hidradenitis suppurativa a randomized clinical trial. JAMA Dermatology. 2016;152(1):52–9. </w:t>
      </w:r>
    </w:p>
    <w:p w14:paraId="66577FB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lastRenderedPageBreak/>
        <w:t xml:space="preserve">22. </w:t>
      </w:r>
      <w:r w:rsidRPr="00D84DAE">
        <w:rPr>
          <w:rFonts w:ascii="Times New Roman" w:hAnsi="Times New Roman" w:cs="Times New Roman"/>
          <w:noProof/>
          <w:sz w:val="22"/>
        </w:rPr>
        <w:tab/>
        <w:t xml:space="preserve">Giamarellos-Bourboulis EJ, Pelekanou E, Antonopoulou A, Petropoulou H, Baziaka F, Karagianni V, et al. An open-label phase II study of the safety and efficacy of etanercept for the therapy of hidradenitis suppurativa. Br J Dermatol. 2008; </w:t>
      </w:r>
    </w:p>
    <w:p w14:paraId="45CB1CAB"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23. </w:t>
      </w:r>
      <w:r w:rsidRPr="00D84DAE">
        <w:rPr>
          <w:rFonts w:ascii="Times New Roman" w:hAnsi="Times New Roman" w:cs="Times New Roman"/>
          <w:noProof/>
          <w:sz w:val="22"/>
        </w:rPr>
        <w:tab/>
        <w:t xml:space="preserve">Kanni T, Argyropoulou M, Spyridopoulos T, Pistiki A, Stecher M, Dinarello CA, et al. MABp1 Targeting IL-1α for Moderate to Severe Hidradenitis Suppurativa Not Eligible for Adalimumab: A Randomized Study. J Invest Dermatol. 2018;138(4):795–801. </w:t>
      </w:r>
    </w:p>
    <w:p w14:paraId="1C17A4C4"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24. </w:t>
      </w:r>
      <w:r w:rsidRPr="00D84DAE">
        <w:rPr>
          <w:rFonts w:ascii="Times New Roman" w:hAnsi="Times New Roman" w:cs="Times New Roman"/>
          <w:noProof/>
          <w:sz w:val="22"/>
        </w:rPr>
        <w:tab/>
        <w:t xml:space="preserve">Vossen ARJV, van Doorn MBA, van der Zee HH, Prens EP. Apremilast for moderate hidradenitis suppurativa: Results of a randomized controlled trial. J Am Acad Dermatol. 2019;80(1):80–8. </w:t>
      </w:r>
    </w:p>
    <w:p w14:paraId="5218A21C"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25. </w:t>
      </w:r>
      <w:r w:rsidRPr="00D84DAE">
        <w:rPr>
          <w:rFonts w:ascii="Times New Roman" w:hAnsi="Times New Roman" w:cs="Times New Roman"/>
          <w:noProof/>
          <w:sz w:val="22"/>
        </w:rPr>
        <w:tab/>
        <w:t>Grimstad Ø, Kvammen BØ, Swartling C. Botulinum Toxin Type B for Hidradenitis Suppurativa: A Randomised, Double-Blind, Placebo-Controlled Pilot Study. Am J Clin Dermatol [Internet]. 2020;21(5):741–8. Available from: https://doi.org/10.1007/s40257-020-00537-9</w:t>
      </w:r>
    </w:p>
    <w:p w14:paraId="160FDAC6"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26. </w:t>
      </w:r>
      <w:r w:rsidRPr="00D84DAE">
        <w:rPr>
          <w:rFonts w:ascii="Times New Roman" w:hAnsi="Times New Roman" w:cs="Times New Roman"/>
          <w:noProof/>
          <w:sz w:val="22"/>
        </w:rPr>
        <w:tab/>
        <w:t xml:space="preserve">FINLAY AY, KHAN GK. Dermatology Life Quality Index (DLQI)—a simple practical measure for routine clinical use. Clin Exp Dermatol. 1994;19(3):210–6. </w:t>
      </w:r>
    </w:p>
    <w:p w14:paraId="7948A628"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27. </w:t>
      </w:r>
      <w:r w:rsidRPr="00D84DAE">
        <w:rPr>
          <w:rFonts w:ascii="Times New Roman" w:hAnsi="Times New Roman" w:cs="Times New Roman"/>
          <w:noProof/>
          <w:sz w:val="22"/>
        </w:rPr>
        <w:tab/>
        <w:t xml:space="preserve">Abdel Azim AA, Salem RT, Abdelghani R. Combined fractional carbon dioxide laser and long-pulsed neodymium : yttrium-aluminium-garnet (1064 nm) laser in treatment of hidradenitis suppurativa; a prospective randomized intra-individual controlled study. Int J Dermatol. 2018 Sep 1;57(9):1135–44. </w:t>
      </w:r>
    </w:p>
    <w:p w14:paraId="731B50A1"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28. </w:t>
      </w:r>
      <w:r w:rsidRPr="00D84DAE">
        <w:rPr>
          <w:rFonts w:ascii="Times New Roman" w:hAnsi="Times New Roman" w:cs="Times New Roman"/>
          <w:noProof/>
          <w:sz w:val="22"/>
        </w:rPr>
        <w:tab/>
        <w:t xml:space="preserve">Highton L, Chan WY, Khwaja N, Laitung JKG. Treatment of hidradenitis suppurativa with intense pulsed light: A prospective study. Plast Reconstr Surg. 2011;128(2):459–65. </w:t>
      </w:r>
    </w:p>
    <w:p w14:paraId="79F11351"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29. </w:t>
      </w:r>
      <w:r w:rsidRPr="00D84DAE">
        <w:rPr>
          <w:rFonts w:ascii="Times New Roman" w:hAnsi="Times New Roman" w:cs="Times New Roman"/>
          <w:noProof/>
          <w:sz w:val="22"/>
        </w:rPr>
        <w:tab/>
        <w:t xml:space="preserve">Fadel MA, Tawfik AA. New topical photodynamic therapy for treatment of hidradenitis suppurativa using methylene blue niosomal gel: A single-blind, randomized, comparative study. Clin Exp Dermatol. 2015;40(2):116–22. </w:t>
      </w:r>
    </w:p>
    <w:p w14:paraId="307EFABF" w14:textId="77777777" w:rsidR="00D84DAE" w:rsidRPr="00D84DAE" w:rsidRDefault="00D84DAE" w:rsidP="00D84DAE">
      <w:pPr>
        <w:widowControl w:val="0"/>
        <w:autoSpaceDE w:val="0"/>
        <w:autoSpaceDN w:val="0"/>
        <w:adjustRightInd w:val="0"/>
        <w:ind w:left="640" w:hanging="640"/>
        <w:rPr>
          <w:rFonts w:ascii="Times New Roman" w:hAnsi="Times New Roman" w:cs="Times New Roman"/>
          <w:noProof/>
          <w:sz w:val="22"/>
        </w:rPr>
      </w:pPr>
      <w:r w:rsidRPr="00D84DAE">
        <w:rPr>
          <w:rFonts w:ascii="Times New Roman" w:hAnsi="Times New Roman" w:cs="Times New Roman"/>
          <w:noProof/>
          <w:sz w:val="22"/>
        </w:rPr>
        <w:t xml:space="preserve">30. </w:t>
      </w:r>
      <w:r w:rsidRPr="00D84DAE">
        <w:rPr>
          <w:rFonts w:ascii="Times New Roman" w:hAnsi="Times New Roman" w:cs="Times New Roman"/>
          <w:noProof/>
          <w:sz w:val="22"/>
        </w:rPr>
        <w:tab/>
        <w:t xml:space="preserve">Sartorius K, Killasli H, Heilborn J, Jemec GBE, Lapins J, Emtestam L. Interobserver variability of clinical scores in hidradenitis suppurativa is low. Br J Dermatol. 2010;162(6):1261–8. </w:t>
      </w:r>
    </w:p>
    <w:p w14:paraId="7BD87EA1" w14:textId="7820D974" w:rsidR="00813B26" w:rsidRDefault="00D84DAE" w:rsidP="00813B26">
      <w:pPr>
        <w:widowControl w:val="0"/>
        <w:autoSpaceDE w:val="0"/>
        <w:autoSpaceDN w:val="0"/>
        <w:adjustRightInd w:val="0"/>
        <w:ind w:left="640" w:hanging="640"/>
        <w:rPr>
          <w:b/>
        </w:rPr>
      </w:pPr>
      <w:r>
        <w:rPr>
          <w:rFonts w:ascii="Times New Roman" w:hAnsi="Times New Roman" w:cs="Times New Roman"/>
          <w:b/>
          <w:sz w:val="22"/>
          <w:szCs w:val="22"/>
        </w:rPr>
        <w:fldChar w:fldCharType="end"/>
      </w:r>
      <w:r>
        <w:rPr>
          <w:rFonts w:ascii="Times New Roman" w:hAnsi="Times New Roman" w:cs="Times New Roman"/>
          <w:b/>
          <w:sz w:val="22"/>
          <w:szCs w:val="22"/>
        </w:rPr>
        <w:t xml:space="preserve"> </w:t>
      </w:r>
    </w:p>
    <w:p w14:paraId="3F080B9D" w14:textId="32B25084" w:rsidR="00813B26" w:rsidRDefault="00813B26" w:rsidP="000A35E0">
      <w:pPr>
        <w:rPr>
          <w:b/>
        </w:rPr>
      </w:pPr>
    </w:p>
    <w:p w14:paraId="7DC7A08E" w14:textId="77777777" w:rsidR="00813B26" w:rsidRPr="00546494" w:rsidRDefault="00813B26" w:rsidP="000A35E0">
      <w:pPr>
        <w:rPr>
          <w:b/>
        </w:rPr>
      </w:pPr>
    </w:p>
    <w:sectPr w:rsidR="00813B26" w:rsidRPr="00546494" w:rsidSect="003933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491A" w14:textId="77777777" w:rsidR="007403E5" w:rsidRDefault="007403E5" w:rsidP="00D86769">
      <w:r>
        <w:separator/>
      </w:r>
    </w:p>
  </w:endnote>
  <w:endnote w:type="continuationSeparator" w:id="0">
    <w:p w14:paraId="5ED9A7E8" w14:textId="77777777" w:rsidR="007403E5" w:rsidRDefault="007403E5" w:rsidP="00D8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2968135"/>
      <w:docPartObj>
        <w:docPartGallery w:val="Page Numbers (Bottom of Page)"/>
        <w:docPartUnique/>
      </w:docPartObj>
    </w:sdtPr>
    <w:sdtEndPr>
      <w:rPr>
        <w:rStyle w:val="PageNumber"/>
      </w:rPr>
    </w:sdtEndPr>
    <w:sdtContent>
      <w:p w14:paraId="4883F4B8" w14:textId="5E6C28F4" w:rsidR="00D86769" w:rsidRDefault="00D86769" w:rsidP="00E17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FC922" w14:textId="77777777" w:rsidR="00D86769" w:rsidRDefault="00D86769" w:rsidP="00D867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9510247"/>
      <w:docPartObj>
        <w:docPartGallery w:val="Page Numbers (Bottom of Page)"/>
        <w:docPartUnique/>
      </w:docPartObj>
    </w:sdtPr>
    <w:sdtEndPr>
      <w:rPr>
        <w:rStyle w:val="PageNumber"/>
      </w:rPr>
    </w:sdtEndPr>
    <w:sdtContent>
      <w:p w14:paraId="27131CBF" w14:textId="63590D0F" w:rsidR="00D86769" w:rsidRDefault="00D86769" w:rsidP="00E176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4B4C">
          <w:rPr>
            <w:rStyle w:val="PageNumber"/>
            <w:noProof/>
          </w:rPr>
          <w:t>9</w:t>
        </w:r>
        <w:r>
          <w:rPr>
            <w:rStyle w:val="PageNumber"/>
          </w:rPr>
          <w:fldChar w:fldCharType="end"/>
        </w:r>
      </w:p>
    </w:sdtContent>
  </w:sdt>
  <w:p w14:paraId="145BF6AE" w14:textId="77777777" w:rsidR="00D86769" w:rsidRDefault="00D86769" w:rsidP="00D867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0D454" w14:textId="77777777" w:rsidR="007403E5" w:rsidRDefault="007403E5" w:rsidP="00D86769">
      <w:r>
        <w:separator/>
      </w:r>
    </w:p>
  </w:footnote>
  <w:footnote w:type="continuationSeparator" w:id="0">
    <w:p w14:paraId="537361BA" w14:textId="77777777" w:rsidR="007403E5" w:rsidRDefault="007403E5" w:rsidP="00D86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9710A"/>
    <w:multiLevelType w:val="hybridMultilevel"/>
    <w:tmpl w:val="CEDC8BDA"/>
    <w:lvl w:ilvl="0" w:tplc="82E285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B3075"/>
    <w:multiLevelType w:val="hybridMultilevel"/>
    <w:tmpl w:val="0A2C90DC"/>
    <w:lvl w:ilvl="0" w:tplc="85A0B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70D0F"/>
    <w:multiLevelType w:val="hybridMultilevel"/>
    <w:tmpl w:val="66A66F4C"/>
    <w:lvl w:ilvl="0" w:tplc="82E285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474BBF"/>
    <w:multiLevelType w:val="hybridMultilevel"/>
    <w:tmpl w:val="5C640486"/>
    <w:lvl w:ilvl="0" w:tplc="82E2857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C"/>
    <w:rsid w:val="000A35E0"/>
    <w:rsid w:val="000C4467"/>
    <w:rsid w:val="001207EC"/>
    <w:rsid w:val="001C086E"/>
    <w:rsid w:val="002038D4"/>
    <w:rsid w:val="002532FB"/>
    <w:rsid w:val="002C49E3"/>
    <w:rsid w:val="003933E2"/>
    <w:rsid w:val="003C2014"/>
    <w:rsid w:val="003E0448"/>
    <w:rsid w:val="004060A4"/>
    <w:rsid w:val="004E7645"/>
    <w:rsid w:val="00546494"/>
    <w:rsid w:val="00577611"/>
    <w:rsid w:val="007403E5"/>
    <w:rsid w:val="008000FF"/>
    <w:rsid w:val="00813B26"/>
    <w:rsid w:val="0088577C"/>
    <w:rsid w:val="008874A2"/>
    <w:rsid w:val="009E6E1A"/>
    <w:rsid w:val="00A54B4C"/>
    <w:rsid w:val="00A71DB0"/>
    <w:rsid w:val="00B53477"/>
    <w:rsid w:val="00BB4DB3"/>
    <w:rsid w:val="00D0017D"/>
    <w:rsid w:val="00D3454F"/>
    <w:rsid w:val="00D70A5F"/>
    <w:rsid w:val="00D72B42"/>
    <w:rsid w:val="00D84DAE"/>
    <w:rsid w:val="00D86769"/>
    <w:rsid w:val="00D939AD"/>
    <w:rsid w:val="00DD4C8C"/>
    <w:rsid w:val="00E30C95"/>
    <w:rsid w:val="00E51A27"/>
    <w:rsid w:val="00E97540"/>
    <w:rsid w:val="00F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7809"/>
  <w15:chartTrackingRefBased/>
  <w15:docId w15:val="{115EB611-0231-413E-9FEC-34FE65A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1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6494"/>
    <w:rPr>
      <w:sz w:val="16"/>
      <w:szCs w:val="16"/>
    </w:rPr>
  </w:style>
  <w:style w:type="paragraph" w:styleId="CommentText">
    <w:name w:val="annotation text"/>
    <w:basedOn w:val="Normal"/>
    <w:link w:val="CommentTextChar"/>
    <w:uiPriority w:val="99"/>
    <w:unhideWhenUsed/>
    <w:rsid w:val="00546494"/>
    <w:rPr>
      <w:sz w:val="20"/>
      <w:szCs w:val="20"/>
    </w:rPr>
  </w:style>
  <w:style w:type="character" w:customStyle="1" w:styleId="CommentTextChar">
    <w:name w:val="Comment Text Char"/>
    <w:basedOn w:val="DefaultParagraphFont"/>
    <w:link w:val="CommentText"/>
    <w:uiPriority w:val="99"/>
    <w:rsid w:val="00546494"/>
    <w:rPr>
      <w:sz w:val="20"/>
      <w:szCs w:val="20"/>
    </w:rPr>
  </w:style>
  <w:style w:type="table" w:styleId="PlainTable5">
    <w:name w:val="Plain Table 5"/>
    <w:basedOn w:val="TableNormal"/>
    <w:uiPriority w:val="45"/>
    <w:rsid w:val="00546494"/>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546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94"/>
    <w:rPr>
      <w:rFonts w:ascii="Segoe UI" w:hAnsi="Segoe UI" w:cs="Segoe UI"/>
      <w:sz w:val="18"/>
      <w:szCs w:val="18"/>
    </w:rPr>
  </w:style>
  <w:style w:type="paragraph" w:styleId="ListParagraph">
    <w:name w:val="List Paragraph"/>
    <w:basedOn w:val="Normal"/>
    <w:uiPriority w:val="34"/>
    <w:qFormat/>
    <w:rsid w:val="000A35E0"/>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D86769"/>
    <w:pPr>
      <w:tabs>
        <w:tab w:val="center" w:pos="4680"/>
        <w:tab w:val="right" w:pos="9360"/>
      </w:tabs>
    </w:pPr>
  </w:style>
  <w:style w:type="character" w:customStyle="1" w:styleId="FooterChar">
    <w:name w:val="Footer Char"/>
    <w:basedOn w:val="DefaultParagraphFont"/>
    <w:link w:val="Footer"/>
    <w:uiPriority w:val="99"/>
    <w:rsid w:val="00D86769"/>
    <w:rPr>
      <w:sz w:val="24"/>
      <w:szCs w:val="24"/>
    </w:rPr>
  </w:style>
  <w:style w:type="character" w:styleId="PageNumber">
    <w:name w:val="page number"/>
    <w:basedOn w:val="DefaultParagraphFont"/>
    <w:uiPriority w:val="99"/>
    <w:semiHidden/>
    <w:unhideWhenUsed/>
    <w:rsid w:val="00D86769"/>
  </w:style>
  <w:style w:type="table" w:styleId="TableGrid">
    <w:name w:val="Table Grid"/>
    <w:basedOn w:val="TableNormal"/>
    <w:uiPriority w:val="39"/>
    <w:rsid w:val="00D8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73E2-A63B-41D2-A44D-B8FB4789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dc:creator>
  <cp:keywords/>
  <dc:description/>
  <cp:lastModifiedBy>laure</cp:lastModifiedBy>
  <cp:revision>6</cp:revision>
  <dcterms:created xsi:type="dcterms:W3CDTF">2022-07-12T20:28:00Z</dcterms:created>
  <dcterms:modified xsi:type="dcterms:W3CDTF">2022-07-12T20:35:00Z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a3aaacc8-6755-3ae5-a10a-43bfcfff4f31</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http://www.zotero.org/styles/jama-dermatology</vt:lpwstr>
  </property>
  <property fmtid="{D5CDD505-2E9C-101B-9397-08002B2CF9AE}" pid="16" name="Mendeley Recent Style Name 5_1">
    <vt:lpwstr>JAMA Dermatology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