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4BA5" w14:textId="3F6CC5A2" w:rsidR="009D2F1C" w:rsidRPr="007F0775" w:rsidRDefault="00F06B80" w:rsidP="00240193">
      <w:pPr>
        <w:pStyle w:val="Heading1"/>
        <w:rPr>
          <w:rFonts w:asciiTheme="minorHAnsi" w:hAnsiTheme="minorHAnsi" w:cstheme="minorHAnsi"/>
          <w:color w:val="auto"/>
          <w:sz w:val="22"/>
          <w:szCs w:val="22"/>
        </w:rPr>
      </w:pPr>
      <w:r w:rsidRPr="007F0775">
        <w:rPr>
          <w:rFonts w:asciiTheme="minorHAnsi" w:hAnsiTheme="minorHAnsi" w:cstheme="minorHAnsi"/>
          <w:color w:val="auto"/>
          <w:sz w:val="22"/>
          <w:szCs w:val="22"/>
        </w:rPr>
        <w:t>Supplementary Information</w:t>
      </w:r>
    </w:p>
    <w:p w14:paraId="4AE6B5BD" w14:textId="32A92023" w:rsidR="00F06B80" w:rsidRDefault="00F06B80">
      <w:pPr>
        <w:rPr>
          <w:rFonts w:cstheme="minorHAnsi"/>
          <w:sz w:val="22"/>
          <w:szCs w:val="22"/>
        </w:rPr>
      </w:pPr>
    </w:p>
    <w:p w14:paraId="76C8C861" w14:textId="77777777" w:rsidR="003442FF" w:rsidRPr="007F0775" w:rsidRDefault="003442FF" w:rsidP="003442FF">
      <w:pPr>
        <w:pStyle w:val="Heading2"/>
        <w:rPr>
          <w:rFonts w:asciiTheme="minorHAnsi" w:hAnsiTheme="minorHAnsi" w:cstheme="minorHAnsi"/>
          <w:color w:val="auto"/>
          <w:sz w:val="22"/>
          <w:szCs w:val="22"/>
        </w:rPr>
      </w:pPr>
      <w:r w:rsidRPr="007F0775">
        <w:rPr>
          <w:rFonts w:asciiTheme="minorHAnsi" w:hAnsiTheme="minorHAnsi" w:cstheme="minorHAnsi"/>
          <w:color w:val="auto"/>
          <w:sz w:val="22"/>
          <w:szCs w:val="22"/>
        </w:rPr>
        <w:t>Genetic Correlation between Chronic Pain and BPD</w:t>
      </w:r>
    </w:p>
    <w:p w14:paraId="0FBC3856" w14:textId="77777777" w:rsidR="003442FF" w:rsidRPr="007F0775" w:rsidRDefault="003442FF" w:rsidP="003442FF">
      <w:pPr>
        <w:rPr>
          <w:rFonts w:cstheme="minorHAnsi"/>
          <w:sz w:val="22"/>
          <w:szCs w:val="22"/>
        </w:rPr>
      </w:pPr>
    </w:p>
    <w:p w14:paraId="42CA01E6" w14:textId="77777777" w:rsidR="003442FF" w:rsidRPr="007F0775" w:rsidRDefault="003442FF" w:rsidP="003442FF">
      <w:pPr>
        <w:rPr>
          <w:rFonts w:cstheme="minorHAnsi"/>
          <w:sz w:val="22"/>
          <w:szCs w:val="22"/>
        </w:rPr>
      </w:pPr>
      <w:r w:rsidRPr="007F0775">
        <w:rPr>
          <w:rFonts w:cstheme="minorHAnsi"/>
          <w:sz w:val="22"/>
          <w:szCs w:val="22"/>
        </w:rPr>
        <w:t xml:space="preserve">As previously described, LD-score regression was used to calculate genetic overlap between BPD and chronic pain, using Multisite Chronic Pain GWAS output, and output of the largest available GWAS of BPD </w:t>
      </w:r>
      <w:r w:rsidRPr="007F0775">
        <w:rPr>
          <w:rFonts w:cstheme="minorHAnsi"/>
          <w:sz w:val="22"/>
          <w:szCs w:val="22"/>
        </w:rPr>
        <w:fldChar w:fldCharType="begin"/>
      </w:r>
      <w:r w:rsidRPr="007F0775">
        <w:rPr>
          <w:rFonts w:cstheme="minorHAnsi"/>
          <w:sz w:val="22"/>
          <w:szCs w:val="22"/>
        </w:rPr>
        <w:instrText xml:space="preserve"> ADDIN ZOTERO_ITEM CSL_CITATION {"citationID":"zMJDTGtQ","properties":{"formattedCitation":"(5)","plainCitation":"(5)","noteIndex":0},"citationItems":[{"id":654,"uris":["http://zotero.org/users/8577715/items/J5V8UBIV"],"itemData":{"id":654,"type":"article-journal","container-title":"Translational Psychiatry","DOI":"10.1038/tp.2017.115","ISSN":"2158-3188","issue":"6","journalAbbreviation":"Transl Psychiatry","language":"en","page":"e1155-e1155","source":"DOI.org (Crossref)","title":"Genome-wide association study of borderline personality disorder reveals genetic overlap with bipolar disorder, major depression and schizophrenia","volume":"7","author":[{"literal":"Bipolar Disorders Working Group of the Psychiatric Genomics Consortium"},{"literal":"Major Depressive Disorder Working Group of the Psychiatric Genomics Consortium"},{"literal":"Schizophrenia Working Group of the Psychiatric Genomics Consortium"},{"family":"Witt","given":"S H"},{"family":"Streit","given":"F"},{"family":"Jungkunz","given":"M"},{"family":"Frank","given":"J"},{"family":"Awasthi","given":"S"},{"family":"Reinbold","given":"C S"},{"family":"Treutlein","given":"J"},{"family":"Degenhardt","given":"F"},{"family":"Forstner","given":"A J"},{"family":"Heilmann-Heimbach","given":"S"},{"family":"Dietl","given":"L"},{"family":"Schwarze","given":"C E"},{"family":"Schendel","given":"D"},{"family":"Strohmaier","given":"J"},{"family":"Abdellaoui","given":"A"},{"family":"Adolfsson","given":"R"},{"family":"Air","given":"T M"},{"family":"Akil","given":"H"},{"family":"Alda","given":"M"},{"family":"Alliey-Rodriguez","given":"N"},{"family":"Andreassen","given":"O A"},{"family":"Babadjanova","given":"G"},{"family":"Bass","given":"N J"},{"family":"Bauer","given":"M"},{"family":"Baune","given":"B T"},{"family":"Bellivier","given":"F"},{"family":"Bergen","given":"S"},{"family":"Bethell","given":"A"},{"family":"Biernacka","given":"J M"},{"family":"Blackwood","given":"D H R"},{"family":"Boks","given":"M P"},{"family":"Boomsma","given":"D I"},{"family":"Børglum","given":"A D"},{"family":"Borrmann-Hassenbach","given":"M"},{"family":"Brennan","given":"P"},{"family":"Budde","given":"M"},{"family":"Buttenschøn","given":"H N"},{"family":"Byrne","given":"E M"},{"family":"Cervantes","given":"P"},{"family":"Clarke","given":"T-K"},{"family":"Craddock","given":"N"},{"family":"Cruceanu","given":"C"},{"family":"Curtis","given":"D"},{"family":"Czerski","given":"P M"},{"family":"Dannlowski","given":"U"},{"family":"Davis","given":"T"},{"family":"Geus","given":"E J C","non-dropping-particle":"de"},{"family":"Di Florio","given":"A"},{"family":"Djurovic","given":"S"},{"family":"Domenici","given":"E"},{"family":"Edenberg","given":"H J"},{"family":"Etain","given":"B"},{"family":"Fischer","given":"S B"},{"family":"Forty","given":"L"},{"family":"Fraser","given":"C"},{"family":"Frye","given":"M A"},{"family":"Fullerton","given":"J M"},{"family":"Gade","given":"K"},{"family":"Gershon","given":"E S"},{"family":"Giegling","given":"I"},{"family":"Gordon","given":"S D"},{"family":"Gordon-Smith","given":"K"},{"family":"Grabe","given":"H J"},{"family":"Green","given":"E K"},{"family":"Greenwood","given":"T A"},{"family":"Grigoroiu-Serbanescu","given":"M"},{"family":"Guzman-Parra","given":"J"},{"family":"Hall","given":"L S"},{"family":"Hamshere","given":"M"},{"family":"Hauser","given":"J"},{"family":"Hautzinger","given":"M"},{"family":"Heilbronner","given":"U"},{"family":"Herms","given":"S"},{"family":"Hitturlingappa","given":"S"},{"family":"Hoffmann","given":"P"},{"family":"Holmans","given":"P"},{"family":"Hottenga","given":"J-J"},{"family":"Jamain","given":"S"},{"family":"Jones","given":"I"},{"family":"Jones","given":"L A"},{"family":"Juréus","given":"A"},{"family":"Kahn","given":"R S"},{"family":"Kammerer-Ciernioch","given":"J"},{"family":"Kirov","given":"G"},{"family":"Kittel-Schneider","given":"S"},{"family":"Kloiber","given":"S"},{"family":"Knott","given":"S V"},{"family":"Kogevinas","given":"M"},{"family":"Landén","given":"M"},{"family":"Leber","given":"M"},{"family":"Leboyer","given":"M"},{"family":"Li","given":"Q S"},{"family":"Lissowska","given":"J"},{"family":"Lucae","given":"S"},{"family":"Martin","given":"N G"},{"family":"Mayoral-Cleries","given":"F"},{"family":"McElroy","given":"S L"},{"family":"McIntosh","given":"A M"},{"family":"McKay","given":"J D"},{"family":"McQuillin","given":"A"},{"family":"Medland","given":"S E"},{"family":"Middeldorp","given":"C M"},{"family":"Milaneschi","given":"Y"},{"family":"Mitchell","given":"P B"},{"family":"Montgomery","given":"G W"},{"family":"Morken","given":"G"},{"family":"Mors","given":"O"},{"family":"Mühleisen","given":"T W"},{"family":"Müller-Myhsok","given":"B"},{"family":"Myers","given":"R M"},{"family":"Nievergelt","given":"C M"},{"family":"Nurnberger","given":"J I"},{"family":"O'Donovan","given":"M C"},{"family":"Loohuis","given":"L M O"},{"family":"Ophoff","given":"R"},{"family":"Oruc","given":"L"},{"family":"Owen","given":"M J"},{"family":"Paciga","given":"S A"},{"family":"Penninx","given":"B W J H"},{"family":"Perry","given":"A"},{"family":"Pfennig","given":"A"},{"family":"Potash","given":"J B"},{"family":"Preisig","given":"M"},{"family":"Reif","given":"A"},{"family":"Rivas","given":"F"},{"family":"Rouleau","given":"G A"},{"family":"Schofield","given":"P R"},{"family":"Schulze","given":"T G"},{"family":"Schwarz","given":"M"},{"family":"Scott","given":"L"},{"family":"Sinnamon","given":"G C B"},{"family":"Stahl","given":"E A"},{"family":"Strauss","given":"J"},{"family":"Turecki","given":"G"},{"family":"Van der Auwera","given":"S"},{"family":"Vedder","given":"H"},{"family":"Vincent","given":"J B"},{"family":"Willemsen","given":"G"},{"family":"Witt","given":"C C"},{"family":"Wray","given":"N R"},{"family":"Xi","given":"H S"},{"family":"Tadic","given":"A"},{"family":"Dahmen","given":"N"},{"family":"Schott","given":"B H"},{"family":"Cichon","given":"S"},{"family":"Nöthen","given":"M M"},{"family":"Ripke","given":"S"},{"family":"Mobascher","given":"A"},{"family":"Rujescu","given":"D"},{"family":"Lieb","given":"K"},{"family":"Roepke","given":"S"},{"family":"Schmahl","given":"C"},{"family":"Bohus","given":"M"},{"family":"Rietschel","given":"M"}],"issued":{"date-parts":[["2017",6]]}}}],"schema":"https://github.com/citation-style-language/schema/raw/master/csl-citation.json"} </w:instrText>
      </w:r>
      <w:r w:rsidRPr="007F0775">
        <w:rPr>
          <w:rFonts w:cstheme="minorHAnsi"/>
          <w:sz w:val="22"/>
          <w:szCs w:val="22"/>
        </w:rPr>
        <w:fldChar w:fldCharType="separate"/>
      </w:r>
      <w:r w:rsidRPr="007F0775">
        <w:rPr>
          <w:rFonts w:cstheme="minorHAnsi"/>
          <w:noProof/>
          <w:sz w:val="22"/>
          <w:szCs w:val="22"/>
        </w:rPr>
        <w:t>(5)</w:t>
      </w:r>
      <w:r w:rsidRPr="007F0775">
        <w:rPr>
          <w:rFonts w:cstheme="minorHAnsi"/>
          <w:sz w:val="22"/>
          <w:szCs w:val="22"/>
        </w:rPr>
        <w:fldChar w:fldCharType="end"/>
      </w:r>
      <w:r w:rsidRPr="007F0775">
        <w:rPr>
          <w:rFonts w:cstheme="minorHAnsi"/>
          <w:sz w:val="22"/>
          <w:szCs w:val="22"/>
        </w:rPr>
        <w:t xml:space="preserve"> provided directly by Witt et al.</w:t>
      </w:r>
    </w:p>
    <w:p w14:paraId="5AB7B968" w14:textId="77777777" w:rsidR="003442FF" w:rsidRPr="007F0775" w:rsidRDefault="003442FF" w:rsidP="003442FF">
      <w:pPr>
        <w:rPr>
          <w:rFonts w:cstheme="minorHAnsi"/>
          <w:sz w:val="22"/>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442FF" w:rsidRPr="007F0775" w14:paraId="4FDFC651" w14:textId="77777777" w:rsidTr="00F1161B">
        <w:tc>
          <w:tcPr>
            <w:tcW w:w="1558" w:type="dxa"/>
          </w:tcPr>
          <w:p w14:paraId="5550B75A" w14:textId="77777777" w:rsidR="003442FF" w:rsidRPr="007F0775" w:rsidRDefault="003442FF" w:rsidP="00F1161B">
            <w:pPr>
              <w:rPr>
                <w:rFonts w:cstheme="minorHAnsi"/>
                <w:sz w:val="22"/>
                <w:szCs w:val="22"/>
              </w:rPr>
            </w:pPr>
            <w:proofErr w:type="spellStart"/>
            <w:r w:rsidRPr="007F0775">
              <w:rPr>
                <w:rFonts w:cstheme="minorHAnsi"/>
                <w:sz w:val="22"/>
                <w:szCs w:val="22"/>
              </w:rPr>
              <w:t>r</w:t>
            </w:r>
            <w:r w:rsidRPr="007F0775">
              <w:rPr>
                <w:rFonts w:cstheme="minorHAnsi"/>
                <w:sz w:val="22"/>
                <w:szCs w:val="22"/>
                <w:vertAlign w:val="subscript"/>
              </w:rPr>
              <w:t>g</w:t>
            </w:r>
            <w:proofErr w:type="spellEnd"/>
            <w:r w:rsidRPr="007F0775">
              <w:rPr>
                <w:rFonts w:cstheme="minorHAnsi"/>
                <w:sz w:val="22"/>
                <w:szCs w:val="22"/>
              </w:rPr>
              <w:t xml:space="preserve"> (SE)</w:t>
            </w:r>
          </w:p>
        </w:tc>
        <w:tc>
          <w:tcPr>
            <w:tcW w:w="1558" w:type="dxa"/>
          </w:tcPr>
          <w:p w14:paraId="1496D91B" w14:textId="77777777" w:rsidR="003442FF" w:rsidRPr="007F0775" w:rsidRDefault="003442FF" w:rsidP="00F1161B">
            <w:pPr>
              <w:rPr>
                <w:rFonts w:cstheme="minorHAnsi"/>
                <w:sz w:val="22"/>
                <w:szCs w:val="22"/>
              </w:rPr>
            </w:pPr>
            <w:r w:rsidRPr="007F0775">
              <w:rPr>
                <w:rFonts w:cstheme="minorHAnsi"/>
                <w:sz w:val="22"/>
                <w:szCs w:val="22"/>
              </w:rPr>
              <w:t>Z</w:t>
            </w:r>
          </w:p>
        </w:tc>
        <w:tc>
          <w:tcPr>
            <w:tcW w:w="1558" w:type="dxa"/>
          </w:tcPr>
          <w:p w14:paraId="7A139960" w14:textId="77777777" w:rsidR="003442FF" w:rsidRPr="007F0775" w:rsidRDefault="003442FF" w:rsidP="00F1161B">
            <w:pPr>
              <w:rPr>
                <w:rFonts w:cstheme="minorHAnsi"/>
                <w:sz w:val="22"/>
                <w:szCs w:val="22"/>
              </w:rPr>
            </w:pPr>
            <w:r w:rsidRPr="007F0775">
              <w:rPr>
                <w:rFonts w:cstheme="minorHAnsi"/>
                <w:sz w:val="22"/>
                <w:szCs w:val="22"/>
              </w:rPr>
              <w:t>P</w:t>
            </w:r>
          </w:p>
        </w:tc>
        <w:tc>
          <w:tcPr>
            <w:tcW w:w="1558" w:type="dxa"/>
          </w:tcPr>
          <w:p w14:paraId="5CEFFD65" w14:textId="77777777" w:rsidR="003442FF" w:rsidRPr="007F0775" w:rsidRDefault="003442FF" w:rsidP="00F1161B">
            <w:pPr>
              <w:rPr>
                <w:rFonts w:cstheme="minorHAnsi"/>
                <w:sz w:val="22"/>
                <w:szCs w:val="22"/>
              </w:rPr>
            </w:pPr>
            <w:r w:rsidRPr="007F0775">
              <w:rPr>
                <w:rFonts w:cstheme="minorHAnsi"/>
                <w:sz w:val="22"/>
                <w:szCs w:val="22"/>
              </w:rPr>
              <w:t>h</w:t>
            </w:r>
            <w:r w:rsidRPr="007F0775">
              <w:rPr>
                <w:rFonts w:cstheme="minorHAnsi"/>
                <w:sz w:val="22"/>
                <w:szCs w:val="22"/>
                <w:vertAlign w:val="superscript"/>
              </w:rPr>
              <w:t>2</w:t>
            </w:r>
            <w:r w:rsidRPr="007F0775">
              <w:rPr>
                <w:rFonts w:cstheme="minorHAnsi"/>
                <w:sz w:val="22"/>
                <w:szCs w:val="22"/>
                <w:vertAlign w:val="subscript"/>
              </w:rPr>
              <w:t xml:space="preserve">obs </w:t>
            </w:r>
            <w:r w:rsidRPr="007F0775">
              <w:rPr>
                <w:rFonts w:cstheme="minorHAnsi"/>
                <w:sz w:val="22"/>
                <w:szCs w:val="22"/>
              </w:rPr>
              <w:t>(SE)</w:t>
            </w:r>
          </w:p>
        </w:tc>
        <w:tc>
          <w:tcPr>
            <w:tcW w:w="1559" w:type="dxa"/>
          </w:tcPr>
          <w:p w14:paraId="7DD8FFE7" w14:textId="77777777" w:rsidR="003442FF" w:rsidRPr="007F0775" w:rsidRDefault="003442FF" w:rsidP="00F1161B">
            <w:pPr>
              <w:rPr>
                <w:rFonts w:cstheme="minorHAnsi"/>
                <w:sz w:val="22"/>
                <w:szCs w:val="22"/>
              </w:rPr>
            </w:pPr>
            <w:r w:rsidRPr="007F0775">
              <w:rPr>
                <w:rFonts w:cstheme="minorHAnsi"/>
                <w:sz w:val="22"/>
                <w:szCs w:val="22"/>
              </w:rPr>
              <w:t>h</w:t>
            </w:r>
            <w:r w:rsidRPr="007F0775">
              <w:rPr>
                <w:rFonts w:cstheme="minorHAnsi"/>
                <w:sz w:val="22"/>
                <w:szCs w:val="22"/>
                <w:vertAlign w:val="superscript"/>
              </w:rPr>
              <w:t>2</w:t>
            </w:r>
            <w:r w:rsidRPr="007F0775">
              <w:rPr>
                <w:rFonts w:cstheme="minorHAnsi"/>
                <w:sz w:val="22"/>
                <w:szCs w:val="22"/>
                <w:vertAlign w:val="subscript"/>
              </w:rPr>
              <w:t xml:space="preserve">int </w:t>
            </w:r>
            <w:r w:rsidRPr="007F0775">
              <w:rPr>
                <w:rFonts w:cstheme="minorHAnsi"/>
                <w:sz w:val="22"/>
                <w:szCs w:val="22"/>
              </w:rPr>
              <w:t>(SE)</w:t>
            </w:r>
          </w:p>
        </w:tc>
        <w:tc>
          <w:tcPr>
            <w:tcW w:w="1559" w:type="dxa"/>
          </w:tcPr>
          <w:p w14:paraId="08DE368F" w14:textId="77777777" w:rsidR="003442FF" w:rsidRPr="007F0775" w:rsidRDefault="003442FF" w:rsidP="00F1161B">
            <w:pPr>
              <w:rPr>
                <w:rFonts w:cstheme="minorHAnsi"/>
                <w:sz w:val="22"/>
                <w:szCs w:val="22"/>
              </w:rPr>
            </w:pPr>
            <w:proofErr w:type="spellStart"/>
            <w:r w:rsidRPr="007F0775">
              <w:rPr>
                <w:rFonts w:cstheme="minorHAnsi"/>
                <w:sz w:val="22"/>
                <w:szCs w:val="22"/>
              </w:rPr>
              <w:t>gcov</w:t>
            </w:r>
            <w:proofErr w:type="spellEnd"/>
            <w:r w:rsidRPr="007F0775">
              <w:rPr>
                <w:rFonts w:cstheme="minorHAnsi"/>
                <w:sz w:val="22"/>
                <w:szCs w:val="22"/>
              </w:rPr>
              <w:t xml:space="preserve"> (SE)</w:t>
            </w:r>
          </w:p>
        </w:tc>
      </w:tr>
      <w:tr w:rsidR="003442FF" w:rsidRPr="007F0775" w14:paraId="187FA95A" w14:textId="77777777" w:rsidTr="00F1161B">
        <w:tc>
          <w:tcPr>
            <w:tcW w:w="1558" w:type="dxa"/>
          </w:tcPr>
          <w:p w14:paraId="56C7FE5F" w14:textId="77777777" w:rsidR="003442FF" w:rsidRPr="007F0775" w:rsidRDefault="003442FF" w:rsidP="00F1161B">
            <w:pPr>
              <w:rPr>
                <w:rFonts w:cstheme="minorHAnsi"/>
                <w:sz w:val="22"/>
                <w:szCs w:val="22"/>
              </w:rPr>
            </w:pPr>
            <w:r w:rsidRPr="007F0775">
              <w:rPr>
                <w:rFonts w:cstheme="minorHAnsi"/>
                <w:sz w:val="22"/>
                <w:szCs w:val="22"/>
              </w:rPr>
              <w:t>0.39 (0.095)</w:t>
            </w:r>
          </w:p>
        </w:tc>
        <w:tc>
          <w:tcPr>
            <w:tcW w:w="1558" w:type="dxa"/>
          </w:tcPr>
          <w:p w14:paraId="51766065" w14:textId="77777777" w:rsidR="003442FF" w:rsidRPr="007F0775" w:rsidRDefault="003442FF" w:rsidP="00F1161B">
            <w:pPr>
              <w:rPr>
                <w:rFonts w:cstheme="minorHAnsi"/>
                <w:sz w:val="22"/>
                <w:szCs w:val="22"/>
              </w:rPr>
            </w:pPr>
            <w:r w:rsidRPr="007F0775">
              <w:rPr>
                <w:rFonts w:cstheme="minorHAnsi"/>
                <w:sz w:val="22"/>
                <w:szCs w:val="22"/>
              </w:rPr>
              <w:t>4.05</w:t>
            </w:r>
          </w:p>
        </w:tc>
        <w:tc>
          <w:tcPr>
            <w:tcW w:w="1558" w:type="dxa"/>
          </w:tcPr>
          <w:p w14:paraId="455CF362" w14:textId="77777777" w:rsidR="003442FF" w:rsidRPr="007F0775" w:rsidRDefault="003442FF" w:rsidP="00F1161B">
            <w:pPr>
              <w:rPr>
                <w:rFonts w:cstheme="minorHAnsi"/>
                <w:sz w:val="22"/>
                <w:szCs w:val="22"/>
              </w:rPr>
            </w:pPr>
            <w:r w:rsidRPr="007F0775">
              <w:rPr>
                <w:rFonts w:cstheme="minorHAnsi"/>
                <w:sz w:val="22"/>
                <w:szCs w:val="22"/>
              </w:rPr>
              <w:t>5E-5</w:t>
            </w:r>
          </w:p>
        </w:tc>
        <w:tc>
          <w:tcPr>
            <w:tcW w:w="1558" w:type="dxa"/>
          </w:tcPr>
          <w:p w14:paraId="19F1D7A3" w14:textId="77777777" w:rsidR="003442FF" w:rsidRPr="007F0775" w:rsidRDefault="003442FF" w:rsidP="00F1161B">
            <w:pPr>
              <w:rPr>
                <w:rFonts w:cstheme="minorHAnsi"/>
                <w:sz w:val="22"/>
                <w:szCs w:val="22"/>
              </w:rPr>
            </w:pPr>
            <w:r w:rsidRPr="007F0775">
              <w:rPr>
                <w:rFonts w:cstheme="minorHAnsi"/>
                <w:sz w:val="22"/>
                <w:szCs w:val="22"/>
              </w:rPr>
              <w:t>0.075 (0.003)</w:t>
            </w:r>
          </w:p>
        </w:tc>
        <w:tc>
          <w:tcPr>
            <w:tcW w:w="1559" w:type="dxa"/>
          </w:tcPr>
          <w:p w14:paraId="6DEA444E" w14:textId="77777777" w:rsidR="003442FF" w:rsidRPr="007F0775" w:rsidRDefault="003442FF" w:rsidP="00F1161B">
            <w:pPr>
              <w:rPr>
                <w:rFonts w:cstheme="minorHAnsi"/>
                <w:sz w:val="22"/>
                <w:szCs w:val="22"/>
              </w:rPr>
            </w:pPr>
            <w:r w:rsidRPr="007F0775">
              <w:rPr>
                <w:rFonts w:cstheme="minorHAnsi"/>
                <w:sz w:val="22"/>
                <w:szCs w:val="22"/>
              </w:rPr>
              <w:t>1.02 (0.01)</w:t>
            </w:r>
          </w:p>
        </w:tc>
        <w:tc>
          <w:tcPr>
            <w:tcW w:w="1559" w:type="dxa"/>
          </w:tcPr>
          <w:p w14:paraId="4F4B5819" w14:textId="77777777" w:rsidR="003442FF" w:rsidRPr="007F0775" w:rsidRDefault="003442FF" w:rsidP="00F1161B">
            <w:pPr>
              <w:rPr>
                <w:rFonts w:cstheme="minorHAnsi"/>
                <w:sz w:val="22"/>
                <w:szCs w:val="22"/>
              </w:rPr>
            </w:pPr>
            <w:r w:rsidRPr="007F0775">
              <w:rPr>
                <w:rFonts w:cstheme="minorHAnsi"/>
                <w:sz w:val="22"/>
                <w:szCs w:val="22"/>
              </w:rPr>
              <w:t>0.004 (0.007)</w:t>
            </w:r>
          </w:p>
        </w:tc>
      </w:tr>
    </w:tbl>
    <w:p w14:paraId="7490953E" w14:textId="086C9C12" w:rsidR="003442FF" w:rsidRPr="00F47384" w:rsidRDefault="003442FF" w:rsidP="003442FF">
      <w:pPr>
        <w:rPr>
          <w:rFonts w:cstheme="minorHAnsi"/>
          <w:sz w:val="22"/>
          <w:szCs w:val="22"/>
        </w:rPr>
      </w:pPr>
      <w:r>
        <w:rPr>
          <w:rFonts w:cstheme="minorHAnsi"/>
          <w:sz w:val="22"/>
          <w:szCs w:val="22"/>
        </w:rPr>
        <w:t xml:space="preserve">Supplementary Table 2: Genetic correlation between BPD and MCP. </w:t>
      </w:r>
      <w:proofErr w:type="spellStart"/>
      <w:r w:rsidR="00F47384">
        <w:rPr>
          <w:rFonts w:cstheme="minorHAnsi"/>
          <w:sz w:val="22"/>
          <w:szCs w:val="22"/>
        </w:rPr>
        <w:t>r</w:t>
      </w:r>
      <w:r w:rsidR="00F47384">
        <w:rPr>
          <w:rFonts w:cstheme="minorHAnsi"/>
          <w:sz w:val="22"/>
          <w:szCs w:val="22"/>
          <w:vertAlign w:val="subscript"/>
        </w:rPr>
        <w:t>g</w:t>
      </w:r>
      <w:proofErr w:type="spellEnd"/>
      <w:r w:rsidR="00F47384">
        <w:rPr>
          <w:rFonts w:cstheme="minorHAnsi"/>
          <w:sz w:val="22"/>
          <w:szCs w:val="22"/>
          <w:vertAlign w:val="subscript"/>
        </w:rPr>
        <w:t xml:space="preserve"> </w:t>
      </w:r>
      <w:r w:rsidR="00F47384">
        <w:rPr>
          <w:rFonts w:cstheme="minorHAnsi"/>
          <w:sz w:val="22"/>
          <w:szCs w:val="22"/>
        </w:rPr>
        <w:t>= genetic correlation coefficient, SE = standard error, Z = z score, P = p value, h</w:t>
      </w:r>
      <w:r w:rsidR="00F47384">
        <w:rPr>
          <w:rFonts w:cstheme="minorHAnsi"/>
          <w:sz w:val="22"/>
          <w:szCs w:val="22"/>
          <w:vertAlign w:val="superscript"/>
        </w:rPr>
        <w:t>2</w:t>
      </w:r>
      <w:r w:rsidR="00F47384">
        <w:rPr>
          <w:rFonts w:cstheme="minorHAnsi"/>
          <w:sz w:val="22"/>
          <w:szCs w:val="22"/>
          <w:vertAlign w:val="subscript"/>
        </w:rPr>
        <w:t>obs</w:t>
      </w:r>
      <w:r w:rsidR="00F47384">
        <w:rPr>
          <w:rFonts w:cstheme="minorHAnsi"/>
          <w:sz w:val="22"/>
          <w:szCs w:val="22"/>
        </w:rPr>
        <w:t xml:space="preserve"> = observed SNP-heritability, h</w:t>
      </w:r>
      <w:r w:rsidR="00F47384">
        <w:rPr>
          <w:rFonts w:cstheme="minorHAnsi"/>
          <w:sz w:val="22"/>
          <w:szCs w:val="22"/>
          <w:vertAlign w:val="superscript"/>
        </w:rPr>
        <w:t>2</w:t>
      </w:r>
      <w:r w:rsidR="00F47384">
        <w:rPr>
          <w:rFonts w:cstheme="minorHAnsi"/>
          <w:sz w:val="22"/>
          <w:szCs w:val="22"/>
          <w:vertAlign w:val="subscript"/>
        </w:rPr>
        <w:t xml:space="preserve">int </w:t>
      </w:r>
      <w:r w:rsidR="00F47384">
        <w:rPr>
          <w:rFonts w:cstheme="minorHAnsi"/>
          <w:sz w:val="22"/>
          <w:szCs w:val="22"/>
        </w:rPr>
        <w:t xml:space="preserve">= </w:t>
      </w:r>
      <w:r w:rsidR="00D505D9">
        <w:rPr>
          <w:rFonts w:cstheme="minorHAnsi"/>
          <w:sz w:val="22"/>
          <w:szCs w:val="22"/>
        </w:rPr>
        <w:t xml:space="preserve">LD-score regression intercept value, </w:t>
      </w:r>
      <w:proofErr w:type="spellStart"/>
      <w:r w:rsidR="00D505D9">
        <w:rPr>
          <w:rFonts w:cstheme="minorHAnsi"/>
          <w:sz w:val="22"/>
          <w:szCs w:val="22"/>
        </w:rPr>
        <w:t>gcov</w:t>
      </w:r>
      <w:proofErr w:type="spellEnd"/>
      <w:r w:rsidR="00D505D9">
        <w:rPr>
          <w:rFonts w:cstheme="minorHAnsi"/>
          <w:sz w:val="22"/>
          <w:szCs w:val="22"/>
        </w:rPr>
        <w:t xml:space="preserve"> = genetic covariance. </w:t>
      </w:r>
    </w:p>
    <w:p w14:paraId="1D42B45C" w14:textId="77777777" w:rsidR="003442FF" w:rsidRPr="007F0775" w:rsidRDefault="003442FF">
      <w:pPr>
        <w:rPr>
          <w:rFonts w:cstheme="minorHAnsi"/>
          <w:sz w:val="22"/>
          <w:szCs w:val="22"/>
        </w:rPr>
      </w:pPr>
    </w:p>
    <w:p w14:paraId="660F2DFD" w14:textId="0FD6DDFE" w:rsidR="00F06B80" w:rsidRPr="007F0775" w:rsidRDefault="00F06B80" w:rsidP="00240193">
      <w:pPr>
        <w:pStyle w:val="Heading2"/>
        <w:rPr>
          <w:rFonts w:asciiTheme="minorHAnsi" w:hAnsiTheme="minorHAnsi" w:cstheme="minorHAnsi"/>
          <w:color w:val="auto"/>
          <w:sz w:val="22"/>
          <w:szCs w:val="22"/>
        </w:rPr>
      </w:pPr>
      <w:r w:rsidRPr="007F0775">
        <w:rPr>
          <w:rFonts w:asciiTheme="minorHAnsi" w:hAnsiTheme="minorHAnsi" w:cstheme="minorHAnsi"/>
          <w:color w:val="auto"/>
          <w:sz w:val="22"/>
          <w:szCs w:val="22"/>
        </w:rPr>
        <w:t>Genetic Correlation between Chronic Pain and ADHD</w:t>
      </w:r>
    </w:p>
    <w:p w14:paraId="410F13F1" w14:textId="7A7CE701" w:rsidR="00F06B80" w:rsidRPr="007F0775" w:rsidRDefault="00F06B80">
      <w:pPr>
        <w:rPr>
          <w:rFonts w:cstheme="minorHAnsi"/>
          <w:sz w:val="22"/>
          <w:szCs w:val="22"/>
        </w:rPr>
      </w:pPr>
    </w:p>
    <w:p w14:paraId="24B70521" w14:textId="10E93312" w:rsidR="00F06B80" w:rsidRPr="007F0775" w:rsidRDefault="00F06B80">
      <w:pPr>
        <w:rPr>
          <w:rFonts w:cstheme="minorHAnsi"/>
          <w:sz w:val="22"/>
          <w:szCs w:val="22"/>
        </w:rPr>
      </w:pPr>
      <w:r w:rsidRPr="007F0775">
        <w:rPr>
          <w:rFonts w:cstheme="minorHAnsi"/>
          <w:sz w:val="22"/>
          <w:szCs w:val="22"/>
        </w:rPr>
        <w:t xml:space="preserve">LD-score regression </w:t>
      </w:r>
      <w:r w:rsidRPr="007F0775">
        <w:rPr>
          <w:rFonts w:cstheme="minorHAnsi"/>
          <w:sz w:val="22"/>
          <w:szCs w:val="22"/>
        </w:rPr>
        <w:fldChar w:fldCharType="begin"/>
      </w:r>
      <w:r w:rsidR="008635FD" w:rsidRPr="007F0775">
        <w:rPr>
          <w:rFonts w:cstheme="minorHAnsi"/>
          <w:sz w:val="22"/>
          <w:szCs w:val="22"/>
        </w:rPr>
        <w:instrText xml:space="preserve"> ADDIN ZOTERO_ITEM CSL_CITATION {"citationID":"EjvEpoMH","properties":{"formattedCitation":"(1,2)","plainCitation":"(1,2)","noteIndex":0},"citationItems":[{"id":1481,"uris":["http://zotero.org/users/8577715/items/BMTPJEGB"],"itemData":{"id":1481,"type":"article-journal","container-title":"Nature Genetics","DOI":"10.1038/ng.3211","ISSN":"1061-4036, 1546-1718","issue":"3","journalAbbreviation":"Nat Genet","language":"en","page":"291-295","source":"DOI.org (Crossref)","title":"LD Score regression distinguishes confounding from polygenicity in genome-wide association studies","volume":"47","author":[{"literal":"Schizophrenia Working Group of the Psychiatric Genomics Consortium"},{"family":"Bulik-Sullivan","given":"Brendan K"},{"family":"Loh","given":"Po-Ru"},{"family":"Finucane","given":"Hilary K"},{"family":"Ripke","given":"Stephan"},{"family":"Yang","given":"Jian"},{"family":"Patterson","given":"Nick"},{"family":"Daly","given":"Mark J"},{"family":"Price","given":"Alkes L"},{"family":"Neale","given":"Benjamin M"}],"issued":{"date-parts":[["2015",3]]}}},{"id":1483,"uris":["http://zotero.org/users/8577715/items/Z4TNYZXG"],"itemData":{"id":1483,"type":"article-journal","container-title":"Nature Genetics","DOI":"10.1038/ng.3406","ISSN":"1061-4036, 1546-1718","issue":"11","journalAbbreviation":"Nat Genet","language":"en","page":"1236-1241","source":"DOI.org (Crossref)","title":"An atlas of genetic correlations across human diseases and traits","volume":"47","author":[{"literal":"ReproGen Consortium"},{"literal":"Psychiatric Genomics Consortium"},{"literal":"Genetic Consortium for Anorexia Nervosa of the Wellcome Trust Case Control Consortium 3"},{"family":"Bulik-Sullivan","given":"Brendan"},{"family":"Finucane","given":"Hilary K"},{"family":"Anttila","given":"Verneri"},{"family":"Gusev","given":"Alexander"},{"family":"Day","given":"Felix R"},{"family":"Loh","given":"Po-Ru"},{"family":"Duncan","given":"Laramie"},{"family":"Perry","given":"John R B"},{"family":"Patterson","given":"Nick"},{"family":"Robinson","given":"Elise B"},{"family":"Daly","given":"Mark J"},{"family":"Price","given":"Alkes L"},{"family":"Neale","given":"Benjamin M"}],"issued":{"date-parts":[["2015",11]]}}}],"schema":"https://github.com/citation-style-language/schema/raw/master/csl-citation.json"} </w:instrText>
      </w:r>
      <w:r w:rsidRPr="007F0775">
        <w:rPr>
          <w:rFonts w:cstheme="minorHAnsi"/>
          <w:sz w:val="22"/>
          <w:szCs w:val="22"/>
        </w:rPr>
        <w:fldChar w:fldCharType="separate"/>
      </w:r>
      <w:r w:rsidR="008635FD" w:rsidRPr="007F0775">
        <w:rPr>
          <w:rFonts w:cstheme="minorHAnsi"/>
          <w:noProof/>
          <w:sz w:val="22"/>
          <w:szCs w:val="22"/>
        </w:rPr>
        <w:t>(1,2)</w:t>
      </w:r>
      <w:r w:rsidRPr="007F0775">
        <w:rPr>
          <w:rFonts w:cstheme="minorHAnsi"/>
          <w:sz w:val="22"/>
          <w:szCs w:val="22"/>
        </w:rPr>
        <w:fldChar w:fldCharType="end"/>
      </w:r>
      <w:r w:rsidRPr="007F0775">
        <w:rPr>
          <w:rFonts w:cstheme="minorHAnsi"/>
          <w:sz w:val="22"/>
          <w:szCs w:val="22"/>
        </w:rPr>
        <w:t xml:space="preserve"> was used to calculate genetic correlation between chronic pain and ADHD, using GWAS output from recent large GWAS of ADHD </w:t>
      </w:r>
      <w:r w:rsidRPr="007F0775">
        <w:rPr>
          <w:rFonts w:cstheme="minorHAnsi"/>
          <w:sz w:val="22"/>
          <w:szCs w:val="22"/>
        </w:rPr>
        <w:fldChar w:fldCharType="begin"/>
      </w:r>
      <w:r w:rsidR="008635FD" w:rsidRPr="007F0775">
        <w:rPr>
          <w:rFonts w:cstheme="minorHAnsi"/>
          <w:sz w:val="22"/>
          <w:szCs w:val="22"/>
        </w:rPr>
        <w:instrText xml:space="preserve"> ADDIN ZOTERO_ITEM CSL_CITATION {"citationID":"q81CS4uu","properties":{"formattedCitation":"(3)","plainCitation":"(3)","noteIndex":0},"citationItems":[{"id":755,"uris":["http://zotero.org/users/8577715/items/8U5ZJQZA"],"itemData":{"id":755,"type":"article-journal","container-title":"Nature Genetics","DOI":"10.1038/s41588-018-0269-7","ISSN":"1061-4036, 1546-1718","issue":"1","journalAbbreviation":"Nat Genet","language":"en","page":"63-75","source":"DOI.org (Crossref)","title":"Discovery of the first genome-wide significant risk loci for attention deficit/hyperactivity disorder","volume":"51","author":[{"literal":"ADHD Working Group of the Psychiatric Genomics Consortium (PGC)"},{"literal":"Early Lifecourse &amp; Genetic Epidemiology (EAGLE) Consortium"},{"literal":"23andMe Research Team"},{"family":"Demontis","given":"Ditte"},{"family":"Walters","given":"Raymond K."},{"family":"Martin","given":"Joanna"},{"family":"Mattheisen","given":"Manuel"},{"family":"Als","given":"Thomas D."},{"family":"Agerbo","given":"Esben"},{"family":"Baldursson","given":"Gísli"},{"family":"Belliveau","given":"Rich"},{"family":"Bybjerg-Grauholm","given":"Jonas"},{"family":"Bækvad-Hansen","given":"Marie"},{"family":"Cerrato","given":"Felecia"},{"family":"Chambert","given":"Kimberly"},{"family":"Churchhouse","given":"Claire"},{"family":"Dumont","given":"Ashley"},{"family":"Eriksson","given":"Nicholas"},{"family":"Gandal","given":"Michael"},{"family":"Goldstein","given":"Jacqueline I."},{"family":"Grasby","given":"Katrina L."},{"family":"Grove","given":"Jakob"},{"family":"Gudmundsson","given":"Olafur O."},{"family":"Hansen","given":"Christine S."},{"family":"Hauberg","given":"Mads Engel"},{"family":"Hollegaard","given":"Mads V."},{"family":"Howrigan","given":"Daniel P."},{"family":"Huang","given":"Hailiang"},{"family":"Maller","given":"Julian B."},{"family":"Martin","given":"Alicia R."},{"family":"Martin","given":"Nicholas G."},{"family":"Moran","given":"Jennifer"},{"family":"Pallesen","given":"Jonatan"},{"family":"Palmer","given":"Duncan S."},{"family":"Pedersen","given":"Carsten Bøcker"},{"family":"Pedersen","given":"Marianne Giørtz"},{"family":"Poterba","given":"Timothy"},{"family":"Poulsen","given":"Jesper Buchhave"},{"family":"Ripke","given":"Stephan"},{"family":"Robinson","given":"Elise B."},{"family":"Satterstrom","given":"F. Kyle"},{"family":"Stefansson","given":"Hreinn"},{"family":"Stevens","given":"Christine"},{"family":"Turley","given":"Patrick"},{"family":"Walters","given":"G. Bragi"},{"family":"Won","given":"Hyejung"},{"family":"Wright","given":"Margaret J."},{"family":"Andreassen","given":"Ole A."},{"family":"Asherson","given":"Philip"},{"family":"Burton","given":"Christie L."},{"family":"Boomsma","given":"Dorret I."},{"family":"Cormand","given":"Bru"},{"family":"Dalsgaard","given":"Søren"},{"family":"Franke","given":"Barbara"},{"family":"Gelernter","given":"Joel"},{"family":"Geschwind","given":"Daniel"},{"family":"Hakonarson","given":"Hakon"},{"family":"Haavik","given":"Jan"},{"family":"Kranzler","given":"Henry R."},{"family":"Kuntsi","given":"Jonna"},{"family":"Langley","given":"Kate"},{"family":"Lesch","given":"Klaus-Peter"},{"family":"Middeldorp","given":"Christel"},{"family":"Reif","given":"Andreas"},{"family":"Rohde","given":"Luis Augusto"},{"family":"Roussos","given":"Panos"},{"family":"Schachar","given":"Russell"},{"family":"Sklar","given":"Pamela"},{"family":"Sonuga-Barke","given":"Edmund J. S."},{"family":"Sullivan","given":"Patrick F."},{"family":"Thapar","given":"Anita"},{"family":"Tung","given":"Joyce Y."},{"family":"Waldman","given":"Irwin D."},{"family":"Medland","given":"Sarah E."},{"family":"Stefansson","given":"Kari"},{"family":"Nordentoft","given":"Merete"},{"family":"Hougaard","given":"David M."},{"family":"Werge","given":"Thomas"},{"family":"Mors","given":"Ole"},{"family":"Mortensen","given":"Preben Bo"},{"family":"Daly","given":"Mark J."},{"family":"Faraone","given":"Stephen V."},{"family":"Børglum","given":"Anders D."},{"family":"Neale","given":"Benjamin M."}],"issued":{"date-parts":[["2019",1]]}}}],"schema":"https://github.com/citation-style-language/schema/raw/master/csl-citation.json"} </w:instrText>
      </w:r>
      <w:r w:rsidRPr="007F0775">
        <w:rPr>
          <w:rFonts w:cstheme="minorHAnsi"/>
          <w:sz w:val="22"/>
          <w:szCs w:val="22"/>
        </w:rPr>
        <w:fldChar w:fldCharType="separate"/>
      </w:r>
      <w:r w:rsidR="008635FD" w:rsidRPr="007F0775">
        <w:rPr>
          <w:rFonts w:cstheme="minorHAnsi"/>
          <w:noProof/>
          <w:sz w:val="22"/>
          <w:szCs w:val="22"/>
        </w:rPr>
        <w:t>(3)</w:t>
      </w:r>
      <w:r w:rsidRPr="007F0775">
        <w:rPr>
          <w:rFonts w:cstheme="minorHAnsi"/>
          <w:sz w:val="22"/>
          <w:szCs w:val="22"/>
        </w:rPr>
        <w:fldChar w:fldCharType="end"/>
      </w:r>
      <w:r w:rsidRPr="007F0775">
        <w:rPr>
          <w:rFonts w:cstheme="minorHAnsi"/>
          <w:sz w:val="22"/>
          <w:szCs w:val="22"/>
        </w:rPr>
        <w:t xml:space="preserve">, and of a chronic pain trait Multisite Chronic Pain </w:t>
      </w:r>
      <w:r w:rsidRPr="007F0775">
        <w:rPr>
          <w:rFonts w:cstheme="minorHAnsi"/>
          <w:sz w:val="22"/>
          <w:szCs w:val="22"/>
        </w:rPr>
        <w:fldChar w:fldCharType="begin"/>
      </w:r>
      <w:r w:rsidR="008635FD" w:rsidRPr="007F0775">
        <w:rPr>
          <w:rFonts w:cstheme="minorHAnsi"/>
          <w:sz w:val="22"/>
          <w:szCs w:val="22"/>
        </w:rPr>
        <w:instrText xml:space="preserve"> ADDIN ZOTERO_ITEM CSL_CITATION {"citationID":"WmKlaIEu","properties":{"formattedCitation":"(4)","plainCitation":"(4)","noteIndex":0},"citationItems":[{"id":1223,"uris":["http://zotero.org/users/8577715/items/R2ENNF5Z"],"itemData":{"id":1223,"type":"article-journal","abstract":"Chronic pain is highly prevalent worldwide and represents a significant socioeconomic and public health burden. Several aspects of chronic pain, for example back pain and a severity-related phenotype ‘chronic pain grade’, have been shown previously to be complex heritable traits with a polygenic component. Additional pain-related phenotypes capturing aspects of an individual’s overall sensitivity to experiencing and reporting chronic pain have also been suggested as a focus for investigation. We made use of a measure of the number of sites of chronic pain in individuals within the UK general population. This measure, termed Multisite Chronic Pain (MCP), is a complex trait and its genetic architecture has not previously been investigated. To address this, we carried out a large-scale genome-wide association study (GWAS) of MCP in ~380,000 UK Biobank participants. Our findings were consistent with MCP having a significant polygenic component, with a Single Nucleotide Polymorphism (SNP) heritability of 10.2%. In total 76 independent lead SNPs at 39 risk loci were associated with MCP. Additional gene-level association analyses identified neurogenesis, synaptic plasticity, nervous system development, cell-cycle progression and apoptosis genes as enriched for genetic association with MCP. Genetic correlations were observed between MCP and a range of psychiatric, autoimmune and anthropometric traits, including major depressive disorder (MDD), asthma and Body Mass Index (BMI). Furthermore, in Mendelian randomisation (MR) analyses a causal effect of MCP on MDD was observed. Additionally, a polygenic risk score (PRS) for MCP was found to significantly predict chronic widespread pain (pain all over the body), indicating the existence of genetic variants contributing to both of these pain phenotypes. Overall, our findings support the proposition that chronic pain involves a strong nervous system component with implications for our understanding of the physiology of chronic pain. These discoveries may also inform the future development of novel treatment approaches.","container-title":"PLOS Genetics","DOI":"10.1371/journal.pgen.1008164","ISSN":"1553-7404","issue":"6","journalAbbreviation":"PLOS Genetics","language":"en","note":"publisher: Public Library of Science","page":"e1008164","source":"PLoS Journals","title":"Genome-wide association study of multisite chronic pain in UK Biobank","volume":"15","author":[{"family":"Johnston","given":"Keira J. A."},{"family":"Adams","given":"Mark J."},{"family":"Nicholl","given":"Barbara I."},{"family":"Ward","given":"Joey"},{"family":"Strawbridge","given":"Rona J."},{"family":"Ferguson","given":"Amy"},{"family":"McIntosh","given":"Andrew M."},{"family":"Bailey","given":"Mark E. S."},{"family":"Smith","given":"Daniel J."}],"issued":{"date-parts":[["2019",6,13]]}}}],"schema":"https://github.com/citation-style-language/schema/raw/master/csl-citation.json"} </w:instrText>
      </w:r>
      <w:r w:rsidRPr="007F0775">
        <w:rPr>
          <w:rFonts w:cstheme="minorHAnsi"/>
          <w:sz w:val="22"/>
          <w:szCs w:val="22"/>
        </w:rPr>
        <w:fldChar w:fldCharType="separate"/>
      </w:r>
      <w:r w:rsidR="008635FD" w:rsidRPr="007F0775">
        <w:rPr>
          <w:rFonts w:cstheme="minorHAnsi"/>
          <w:noProof/>
          <w:sz w:val="22"/>
          <w:szCs w:val="22"/>
        </w:rPr>
        <w:t>(4)</w:t>
      </w:r>
      <w:r w:rsidRPr="007F0775">
        <w:rPr>
          <w:rFonts w:cstheme="minorHAnsi"/>
          <w:sz w:val="22"/>
          <w:szCs w:val="22"/>
        </w:rPr>
        <w:fldChar w:fldCharType="end"/>
      </w:r>
      <w:r w:rsidR="008635FD" w:rsidRPr="007F0775">
        <w:rPr>
          <w:rFonts w:cstheme="minorHAnsi"/>
          <w:sz w:val="22"/>
          <w:szCs w:val="22"/>
        </w:rPr>
        <w:t xml:space="preserve">, output which is available for public download. </w:t>
      </w:r>
      <w:r w:rsidRPr="007F0775">
        <w:rPr>
          <w:rFonts w:cstheme="minorHAnsi"/>
          <w:sz w:val="22"/>
          <w:szCs w:val="22"/>
        </w:rPr>
        <w:t xml:space="preserve"> </w:t>
      </w:r>
    </w:p>
    <w:p w14:paraId="5D58EF1D" w14:textId="37DA0081" w:rsidR="00636D29" w:rsidRPr="007F0775" w:rsidRDefault="00636D29">
      <w:pPr>
        <w:rPr>
          <w:rFonts w:cstheme="minorHAnsi"/>
          <w:sz w:val="22"/>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5536D" w:rsidRPr="007F0775" w14:paraId="45234438" w14:textId="77777777" w:rsidTr="00A5536D">
        <w:tc>
          <w:tcPr>
            <w:tcW w:w="1558" w:type="dxa"/>
          </w:tcPr>
          <w:p w14:paraId="39F2183B" w14:textId="3E253CDC" w:rsidR="00A5536D" w:rsidRPr="007F0775" w:rsidRDefault="00A5536D">
            <w:pPr>
              <w:rPr>
                <w:rFonts w:cstheme="minorHAnsi"/>
                <w:sz w:val="22"/>
                <w:szCs w:val="22"/>
              </w:rPr>
            </w:pPr>
            <w:proofErr w:type="spellStart"/>
            <w:r w:rsidRPr="007F0775">
              <w:rPr>
                <w:rFonts w:cstheme="minorHAnsi"/>
                <w:sz w:val="22"/>
                <w:szCs w:val="22"/>
              </w:rPr>
              <w:t>r</w:t>
            </w:r>
            <w:r w:rsidRPr="007F0775">
              <w:rPr>
                <w:rFonts w:cstheme="minorHAnsi"/>
                <w:sz w:val="22"/>
                <w:szCs w:val="22"/>
                <w:vertAlign w:val="subscript"/>
              </w:rPr>
              <w:t>g</w:t>
            </w:r>
            <w:proofErr w:type="spellEnd"/>
            <w:r w:rsidRPr="007F0775">
              <w:rPr>
                <w:rFonts w:cstheme="minorHAnsi"/>
                <w:sz w:val="22"/>
                <w:szCs w:val="22"/>
              </w:rPr>
              <w:t xml:space="preserve"> (SE)</w:t>
            </w:r>
          </w:p>
        </w:tc>
        <w:tc>
          <w:tcPr>
            <w:tcW w:w="1558" w:type="dxa"/>
          </w:tcPr>
          <w:p w14:paraId="17986A8D" w14:textId="359C8749" w:rsidR="00A5536D" w:rsidRPr="007F0775" w:rsidRDefault="00A5536D">
            <w:pPr>
              <w:rPr>
                <w:rFonts w:cstheme="minorHAnsi"/>
                <w:sz w:val="22"/>
                <w:szCs w:val="22"/>
              </w:rPr>
            </w:pPr>
            <w:r w:rsidRPr="007F0775">
              <w:rPr>
                <w:rFonts w:cstheme="minorHAnsi"/>
                <w:sz w:val="22"/>
                <w:szCs w:val="22"/>
              </w:rPr>
              <w:t>Z</w:t>
            </w:r>
          </w:p>
        </w:tc>
        <w:tc>
          <w:tcPr>
            <w:tcW w:w="1558" w:type="dxa"/>
          </w:tcPr>
          <w:p w14:paraId="4D3C51E7" w14:textId="3A99A679" w:rsidR="00A5536D" w:rsidRPr="007F0775" w:rsidRDefault="00A5536D">
            <w:pPr>
              <w:rPr>
                <w:rFonts w:cstheme="minorHAnsi"/>
                <w:sz w:val="22"/>
                <w:szCs w:val="22"/>
              </w:rPr>
            </w:pPr>
            <w:r w:rsidRPr="007F0775">
              <w:rPr>
                <w:rFonts w:cstheme="minorHAnsi"/>
                <w:sz w:val="22"/>
                <w:szCs w:val="22"/>
              </w:rPr>
              <w:t>P</w:t>
            </w:r>
          </w:p>
        </w:tc>
        <w:tc>
          <w:tcPr>
            <w:tcW w:w="1558" w:type="dxa"/>
          </w:tcPr>
          <w:p w14:paraId="1E1EEAFA" w14:textId="139F5CA7" w:rsidR="00A5536D" w:rsidRPr="007F0775" w:rsidRDefault="00A5536D">
            <w:pPr>
              <w:rPr>
                <w:rFonts w:cstheme="minorHAnsi"/>
                <w:sz w:val="22"/>
                <w:szCs w:val="22"/>
              </w:rPr>
            </w:pPr>
            <w:r w:rsidRPr="007F0775">
              <w:rPr>
                <w:rFonts w:cstheme="minorHAnsi"/>
                <w:sz w:val="22"/>
                <w:szCs w:val="22"/>
              </w:rPr>
              <w:t>h</w:t>
            </w:r>
            <w:r w:rsidRPr="007F0775">
              <w:rPr>
                <w:rFonts w:cstheme="minorHAnsi"/>
                <w:sz w:val="22"/>
                <w:szCs w:val="22"/>
                <w:vertAlign w:val="superscript"/>
              </w:rPr>
              <w:t>2</w:t>
            </w:r>
            <w:r w:rsidRPr="007F0775">
              <w:rPr>
                <w:rFonts w:cstheme="minorHAnsi"/>
                <w:sz w:val="22"/>
                <w:szCs w:val="22"/>
                <w:vertAlign w:val="subscript"/>
              </w:rPr>
              <w:t xml:space="preserve">obs </w:t>
            </w:r>
            <w:r w:rsidRPr="007F0775">
              <w:rPr>
                <w:rFonts w:cstheme="minorHAnsi"/>
                <w:sz w:val="22"/>
                <w:szCs w:val="22"/>
              </w:rPr>
              <w:t>(SE)</w:t>
            </w:r>
          </w:p>
        </w:tc>
        <w:tc>
          <w:tcPr>
            <w:tcW w:w="1559" w:type="dxa"/>
          </w:tcPr>
          <w:p w14:paraId="23294D6B" w14:textId="7867AB92" w:rsidR="00A5536D" w:rsidRPr="007F0775" w:rsidRDefault="00A5536D">
            <w:pPr>
              <w:rPr>
                <w:rFonts w:cstheme="minorHAnsi"/>
                <w:sz w:val="22"/>
                <w:szCs w:val="22"/>
              </w:rPr>
            </w:pPr>
            <w:r w:rsidRPr="007F0775">
              <w:rPr>
                <w:rFonts w:cstheme="minorHAnsi"/>
                <w:sz w:val="22"/>
                <w:szCs w:val="22"/>
              </w:rPr>
              <w:t>h</w:t>
            </w:r>
            <w:r w:rsidRPr="007F0775">
              <w:rPr>
                <w:rFonts w:cstheme="minorHAnsi"/>
                <w:sz w:val="22"/>
                <w:szCs w:val="22"/>
                <w:vertAlign w:val="superscript"/>
              </w:rPr>
              <w:t>2</w:t>
            </w:r>
            <w:r w:rsidRPr="007F0775">
              <w:rPr>
                <w:rFonts w:cstheme="minorHAnsi"/>
                <w:sz w:val="22"/>
                <w:szCs w:val="22"/>
                <w:vertAlign w:val="subscript"/>
              </w:rPr>
              <w:t xml:space="preserve">int </w:t>
            </w:r>
            <w:r w:rsidRPr="007F0775">
              <w:rPr>
                <w:rFonts w:cstheme="minorHAnsi"/>
                <w:sz w:val="22"/>
                <w:szCs w:val="22"/>
              </w:rPr>
              <w:t>(SE)</w:t>
            </w:r>
          </w:p>
        </w:tc>
        <w:tc>
          <w:tcPr>
            <w:tcW w:w="1559" w:type="dxa"/>
          </w:tcPr>
          <w:p w14:paraId="028BB820" w14:textId="1D047766" w:rsidR="00A5536D" w:rsidRPr="007F0775" w:rsidRDefault="00A5536D">
            <w:pPr>
              <w:rPr>
                <w:rFonts w:cstheme="minorHAnsi"/>
                <w:sz w:val="22"/>
                <w:szCs w:val="22"/>
              </w:rPr>
            </w:pPr>
            <w:proofErr w:type="spellStart"/>
            <w:r w:rsidRPr="007F0775">
              <w:rPr>
                <w:rFonts w:cstheme="minorHAnsi"/>
                <w:sz w:val="22"/>
                <w:szCs w:val="22"/>
              </w:rPr>
              <w:t>gcov</w:t>
            </w:r>
            <w:proofErr w:type="spellEnd"/>
            <w:r w:rsidRPr="007F0775">
              <w:rPr>
                <w:rFonts w:cstheme="minorHAnsi"/>
                <w:sz w:val="22"/>
                <w:szCs w:val="22"/>
              </w:rPr>
              <w:t xml:space="preserve"> (SE)</w:t>
            </w:r>
          </w:p>
        </w:tc>
      </w:tr>
      <w:tr w:rsidR="00A5536D" w:rsidRPr="007F0775" w14:paraId="13EB5C32" w14:textId="77777777" w:rsidTr="00A5536D">
        <w:tc>
          <w:tcPr>
            <w:tcW w:w="1558" w:type="dxa"/>
          </w:tcPr>
          <w:p w14:paraId="74FCF2B5" w14:textId="1E1951B3" w:rsidR="00A5536D" w:rsidRPr="007F0775" w:rsidRDefault="008B6900">
            <w:pPr>
              <w:rPr>
                <w:rFonts w:cstheme="minorHAnsi"/>
                <w:sz w:val="22"/>
                <w:szCs w:val="22"/>
              </w:rPr>
            </w:pPr>
            <w:r w:rsidRPr="007F0775">
              <w:rPr>
                <w:rFonts w:cstheme="minorHAnsi"/>
                <w:sz w:val="22"/>
                <w:szCs w:val="22"/>
              </w:rPr>
              <w:t>0.56 (0.03)</w:t>
            </w:r>
          </w:p>
        </w:tc>
        <w:tc>
          <w:tcPr>
            <w:tcW w:w="1558" w:type="dxa"/>
          </w:tcPr>
          <w:p w14:paraId="26F7FCD8" w14:textId="5758A182" w:rsidR="00A5536D" w:rsidRPr="007F0775" w:rsidRDefault="008B6900">
            <w:pPr>
              <w:rPr>
                <w:rFonts w:cstheme="minorHAnsi"/>
                <w:sz w:val="22"/>
                <w:szCs w:val="22"/>
              </w:rPr>
            </w:pPr>
            <w:r w:rsidRPr="007F0775">
              <w:rPr>
                <w:rFonts w:cstheme="minorHAnsi"/>
                <w:sz w:val="22"/>
                <w:szCs w:val="22"/>
              </w:rPr>
              <w:t>18.1</w:t>
            </w:r>
          </w:p>
        </w:tc>
        <w:tc>
          <w:tcPr>
            <w:tcW w:w="1558" w:type="dxa"/>
          </w:tcPr>
          <w:p w14:paraId="12ABC450" w14:textId="0D0FF959" w:rsidR="00A5536D" w:rsidRPr="007F0775" w:rsidRDefault="008B6900">
            <w:pPr>
              <w:rPr>
                <w:rFonts w:cstheme="minorHAnsi"/>
                <w:sz w:val="22"/>
                <w:szCs w:val="22"/>
              </w:rPr>
            </w:pPr>
            <w:r w:rsidRPr="007F0775">
              <w:rPr>
                <w:rFonts w:cstheme="minorHAnsi"/>
                <w:sz w:val="22"/>
                <w:szCs w:val="22"/>
              </w:rPr>
              <w:t>1.5E-73</w:t>
            </w:r>
          </w:p>
        </w:tc>
        <w:tc>
          <w:tcPr>
            <w:tcW w:w="1558" w:type="dxa"/>
          </w:tcPr>
          <w:p w14:paraId="6296DC5F" w14:textId="0399AC54" w:rsidR="00A5536D" w:rsidRPr="007F0775" w:rsidRDefault="008B6900">
            <w:pPr>
              <w:rPr>
                <w:rFonts w:cstheme="minorHAnsi"/>
                <w:sz w:val="22"/>
                <w:szCs w:val="22"/>
              </w:rPr>
            </w:pPr>
            <w:r w:rsidRPr="007F0775">
              <w:rPr>
                <w:rFonts w:cstheme="minorHAnsi"/>
                <w:sz w:val="22"/>
                <w:szCs w:val="22"/>
              </w:rPr>
              <w:t>0.074 (0.003)</w:t>
            </w:r>
          </w:p>
        </w:tc>
        <w:tc>
          <w:tcPr>
            <w:tcW w:w="1559" w:type="dxa"/>
          </w:tcPr>
          <w:p w14:paraId="509101E7" w14:textId="0073B1C6" w:rsidR="00A5536D" w:rsidRPr="007F0775" w:rsidRDefault="008B6900">
            <w:pPr>
              <w:rPr>
                <w:rFonts w:cstheme="minorHAnsi"/>
                <w:sz w:val="22"/>
                <w:szCs w:val="22"/>
              </w:rPr>
            </w:pPr>
            <w:r w:rsidRPr="007F0775">
              <w:rPr>
                <w:rFonts w:cstheme="minorHAnsi"/>
                <w:sz w:val="22"/>
                <w:szCs w:val="22"/>
              </w:rPr>
              <w:t>1.02 (0.01)</w:t>
            </w:r>
          </w:p>
        </w:tc>
        <w:tc>
          <w:tcPr>
            <w:tcW w:w="1559" w:type="dxa"/>
          </w:tcPr>
          <w:p w14:paraId="6602C924" w14:textId="089A24EF" w:rsidR="00A5536D" w:rsidRPr="007F0775" w:rsidRDefault="008B6900">
            <w:pPr>
              <w:rPr>
                <w:rFonts w:cstheme="minorHAnsi"/>
                <w:sz w:val="22"/>
                <w:szCs w:val="22"/>
              </w:rPr>
            </w:pPr>
            <w:r w:rsidRPr="007F0775">
              <w:rPr>
                <w:rFonts w:cstheme="minorHAnsi"/>
                <w:sz w:val="22"/>
                <w:szCs w:val="22"/>
              </w:rPr>
              <w:t>0.015 (0.008)</w:t>
            </w:r>
          </w:p>
        </w:tc>
      </w:tr>
    </w:tbl>
    <w:p w14:paraId="41522DF4" w14:textId="7E4A6336" w:rsidR="00636D29" w:rsidRPr="007F0775" w:rsidRDefault="003442FF">
      <w:pPr>
        <w:rPr>
          <w:rFonts w:cstheme="minorHAnsi"/>
          <w:sz w:val="22"/>
          <w:szCs w:val="22"/>
        </w:rPr>
      </w:pPr>
      <w:r>
        <w:rPr>
          <w:rFonts w:cstheme="minorHAnsi"/>
          <w:sz w:val="22"/>
          <w:szCs w:val="22"/>
        </w:rPr>
        <w:t>Supplementary Table 3</w:t>
      </w:r>
      <w:r w:rsidR="00F47384">
        <w:rPr>
          <w:rFonts w:cstheme="minorHAnsi"/>
          <w:sz w:val="22"/>
          <w:szCs w:val="22"/>
        </w:rPr>
        <w:t xml:space="preserve">: Genetic correlation between ADHD and MCP. </w:t>
      </w:r>
      <w:proofErr w:type="spellStart"/>
      <w:r w:rsidR="00D505D9">
        <w:rPr>
          <w:rFonts w:cstheme="minorHAnsi"/>
          <w:sz w:val="22"/>
          <w:szCs w:val="22"/>
        </w:rPr>
        <w:t>r</w:t>
      </w:r>
      <w:r w:rsidR="00D505D9">
        <w:rPr>
          <w:rFonts w:cstheme="minorHAnsi"/>
          <w:sz w:val="22"/>
          <w:szCs w:val="22"/>
          <w:vertAlign w:val="subscript"/>
        </w:rPr>
        <w:t>g</w:t>
      </w:r>
      <w:proofErr w:type="spellEnd"/>
      <w:r w:rsidR="00D505D9">
        <w:rPr>
          <w:rFonts w:cstheme="minorHAnsi"/>
          <w:sz w:val="22"/>
          <w:szCs w:val="22"/>
          <w:vertAlign w:val="subscript"/>
        </w:rPr>
        <w:t xml:space="preserve"> </w:t>
      </w:r>
      <w:r w:rsidR="00D505D9">
        <w:rPr>
          <w:rFonts w:cstheme="minorHAnsi"/>
          <w:sz w:val="22"/>
          <w:szCs w:val="22"/>
        </w:rPr>
        <w:t>= genetic correlation coefficient, SE = standard error, Z = z score, P = p value, h</w:t>
      </w:r>
      <w:r w:rsidR="00D505D9">
        <w:rPr>
          <w:rFonts w:cstheme="minorHAnsi"/>
          <w:sz w:val="22"/>
          <w:szCs w:val="22"/>
          <w:vertAlign w:val="superscript"/>
        </w:rPr>
        <w:t>2</w:t>
      </w:r>
      <w:r w:rsidR="00D505D9">
        <w:rPr>
          <w:rFonts w:cstheme="minorHAnsi"/>
          <w:sz w:val="22"/>
          <w:szCs w:val="22"/>
          <w:vertAlign w:val="subscript"/>
        </w:rPr>
        <w:t>obs</w:t>
      </w:r>
      <w:r w:rsidR="00D505D9">
        <w:rPr>
          <w:rFonts w:cstheme="minorHAnsi"/>
          <w:sz w:val="22"/>
          <w:szCs w:val="22"/>
        </w:rPr>
        <w:t xml:space="preserve"> = observed SNP-heritability, h</w:t>
      </w:r>
      <w:r w:rsidR="00D505D9">
        <w:rPr>
          <w:rFonts w:cstheme="minorHAnsi"/>
          <w:sz w:val="22"/>
          <w:szCs w:val="22"/>
          <w:vertAlign w:val="superscript"/>
        </w:rPr>
        <w:t>2</w:t>
      </w:r>
      <w:r w:rsidR="00D505D9">
        <w:rPr>
          <w:rFonts w:cstheme="minorHAnsi"/>
          <w:sz w:val="22"/>
          <w:szCs w:val="22"/>
          <w:vertAlign w:val="subscript"/>
        </w:rPr>
        <w:t xml:space="preserve">int </w:t>
      </w:r>
      <w:r w:rsidR="00D505D9">
        <w:rPr>
          <w:rFonts w:cstheme="minorHAnsi"/>
          <w:sz w:val="22"/>
          <w:szCs w:val="22"/>
        </w:rPr>
        <w:t xml:space="preserve">= LD-score regression intercept value, </w:t>
      </w:r>
      <w:proofErr w:type="spellStart"/>
      <w:r w:rsidR="00D505D9">
        <w:rPr>
          <w:rFonts w:cstheme="minorHAnsi"/>
          <w:sz w:val="22"/>
          <w:szCs w:val="22"/>
        </w:rPr>
        <w:t>gcov</w:t>
      </w:r>
      <w:proofErr w:type="spellEnd"/>
      <w:r w:rsidR="00D505D9">
        <w:rPr>
          <w:rFonts w:cstheme="minorHAnsi"/>
          <w:sz w:val="22"/>
          <w:szCs w:val="22"/>
        </w:rPr>
        <w:t xml:space="preserve"> = genetic covariance.</w:t>
      </w:r>
    </w:p>
    <w:p w14:paraId="1D056C39" w14:textId="74157B87" w:rsidR="008635FD" w:rsidRPr="007F0775" w:rsidRDefault="008635FD">
      <w:pPr>
        <w:rPr>
          <w:rFonts w:cstheme="minorHAnsi"/>
          <w:sz w:val="22"/>
          <w:szCs w:val="22"/>
        </w:rPr>
      </w:pPr>
    </w:p>
    <w:p w14:paraId="0123FE15" w14:textId="77777777" w:rsidR="003442FF" w:rsidRDefault="003442FF">
      <w:pPr>
        <w:rPr>
          <w:rFonts w:cstheme="minorHAnsi"/>
          <w:sz w:val="22"/>
          <w:szCs w:val="22"/>
        </w:rPr>
      </w:pPr>
    </w:p>
    <w:p w14:paraId="6AE91FE3" w14:textId="0B9C2AD6" w:rsidR="007F0775" w:rsidRDefault="007F0775">
      <w:pPr>
        <w:rPr>
          <w:rFonts w:cstheme="minorHAnsi"/>
          <w:sz w:val="22"/>
          <w:szCs w:val="22"/>
        </w:rPr>
      </w:pPr>
      <w:r>
        <w:rPr>
          <w:rFonts w:cstheme="minorHAnsi"/>
          <w:sz w:val="22"/>
          <w:szCs w:val="22"/>
        </w:rPr>
        <w:t xml:space="preserve">References </w:t>
      </w:r>
    </w:p>
    <w:p w14:paraId="748AFB48" w14:textId="77777777" w:rsidR="007F0775" w:rsidRPr="007F0775" w:rsidRDefault="007F0775" w:rsidP="007F0775">
      <w:pPr>
        <w:pStyle w:val="Bibliography"/>
        <w:rPr>
          <w:rFonts w:ascii="Calibri" w:cs="Calibri"/>
          <w:sz w:val="22"/>
        </w:rPr>
      </w:pPr>
      <w:r>
        <w:rPr>
          <w:rFonts w:cstheme="minorHAnsi"/>
          <w:sz w:val="22"/>
          <w:szCs w:val="22"/>
        </w:rPr>
        <w:fldChar w:fldCharType="begin"/>
      </w:r>
      <w:r>
        <w:rPr>
          <w:rFonts w:cstheme="minorHAnsi"/>
          <w:sz w:val="22"/>
          <w:szCs w:val="22"/>
        </w:rPr>
        <w:instrText xml:space="preserve"> ADDIN ZOTERO_BIBL {"uncited":[],"omitted":[],"custom":[]} CSL_BIBLIOGRAPHY </w:instrText>
      </w:r>
      <w:r>
        <w:rPr>
          <w:rFonts w:cstheme="minorHAnsi"/>
          <w:sz w:val="22"/>
          <w:szCs w:val="22"/>
        </w:rPr>
        <w:fldChar w:fldCharType="separate"/>
      </w:r>
      <w:r w:rsidRPr="007F0775">
        <w:rPr>
          <w:rFonts w:ascii="Calibri" w:cs="Calibri"/>
          <w:sz w:val="22"/>
        </w:rPr>
        <w:t xml:space="preserve">1. </w:t>
      </w:r>
      <w:r w:rsidRPr="007F0775">
        <w:rPr>
          <w:rFonts w:ascii="Calibri" w:cs="Calibri"/>
          <w:sz w:val="22"/>
        </w:rPr>
        <w:tab/>
        <w:t xml:space="preserve">Schizophrenia Working Group of the Psychiatric Genomics Consortium, Bulik-Sullivan BK, Loh PR, Finucane HK, Ripke S, Yang J, et al. LD Score regression distinguishes confounding from polygenicity in genome-wide association studies. Nat Genet. 2015 Mar;47(3):291–5. </w:t>
      </w:r>
    </w:p>
    <w:p w14:paraId="12D6DE8A" w14:textId="77777777" w:rsidR="007F0775" w:rsidRPr="007F0775" w:rsidRDefault="007F0775" w:rsidP="007F0775">
      <w:pPr>
        <w:pStyle w:val="Bibliography"/>
        <w:rPr>
          <w:rFonts w:ascii="Calibri" w:cs="Calibri"/>
          <w:sz w:val="22"/>
        </w:rPr>
      </w:pPr>
      <w:r w:rsidRPr="007F0775">
        <w:rPr>
          <w:rFonts w:ascii="Calibri" w:cs="Calibri"/>
          <w:sz w:val="22"/>
        </w:rPr>
        <w:t xml:space="preserve">2. </w:t>
      </w:r>
      <w:r w:rsidRPr="007F0775">
        <w:rPr>
          <w:rFonts w:ascii="Calibri" w:cs="Calibri"/>
          <w:sz w:val="22"/>
        </w:rPr>
        <w:tab/>
        <w:t xml:space="preserve">ReproGen Consortium, Psychiatric Genomics Consortium, Genetic Consortium for Anorexia Nervosa of the Wellcome Trust Case Control Consortium 3, Bulik-Sullivan B, Finucane HK, Anttila V, et al. An atlas of genetic correlations across human diseases and traits. Nat Genet. 2015 Nov;47(11):1236–41. </w:t>
      </w:r>
    </w:p>
    <w:p w14:paraId="5823FE77" w14:textId="77777777" w:rsidR="007F0775" w:rsidRPr="007F0775" w:rsidRDefault="007F0775" w:rsidP="007F0775">
      <w:pPr>
        <w:pStyle w:val="Bibliography"/>
        <w:rPr>
          <w:rFonts w:ascii="Calibri" w:cs="Calibri"/>
          <w:sz w:val="22"/>
        </w:rPr>
      </w:pPr>
      <w:r w:rsidRPr="007F0775">
        <w:rPr>
          <w:rFonts w:ascii="Calibri" w:cs="Calibri"/>
          <w:sz w:val="22"/>
        </w:rPr>
        <w:t xml:space="preserve">3. </w:t>
      </w:r>
      <w:r w:rsidRPr="007F0775">
        <w:rPr>
          <w:rFonts w:ascii="Calibri" w:cs="Calibri"/>
          <w:sz w:val="22"/>
        </w:rPr>
        <w:tab/>
        <w:t xml:space="preserve">ADHD Working Group of the Psychiatric Genomics Consortium (PGC), Early Lifecourse &amp; Genetic Epidemiology (EAGLE) Consortium, 23andMe Research Team, Demontis D, Walters RK, Martin J, et al. Discovery of the first genome-wide significant risk loci for attention deficit/hyperactivity disorder. Nat Genet. 2019 Jan;51(1):63–75. </w:t>
      </w:r>
    </w:p>
    <w:p w14:paraId="77E60D1E" w14:textId="77777777" w:rsidR="007F0775" w:rsidRPr="007F0775" w:rsidRDefault="007F0775" w:rsidP="007F0775">
      <w:pPr>
        <w:pStyle w:val="Bibliography"/>
        <w:rPr>
          <w:rFonts w:ascii="Calibri" w:cs="Calibri"/>
          <w:sz w:val="22"/>
        </w:rPr>
      </w:pPr>
      <w:r w:rsidRPr="007F0775">
        <w:rPr>
          <w:rFonts w:ascii="Calibri" w:cs="Calibri"/>
          <w:sz w:val="22"/>
        </w:rPr>
        <w:t xml:space="preserve">4. </w:t>
      </w:r>
      <w:r w:rsidRPr="007F0775">
        <w:rPr>
          <w:rFonts w:ascii="Calibri" w:cs="Calibri"/>
          <w:sz w:val="22"/>
        </w:rPr>
        <w:tab/>
        <w:t xml:space="preserve">Johnston KJA, Adams MJ, Nicholl BI, Ward J, Strawbridge RJ, Ferguson A, et al. Genome-wide association study of multisite chronic pain in UK Biobank. PLOS Genet. 2019 Jun 13;15(6):e1008164. </w:t>
      </w:r>
    </w:p>
    <w:p w14:paraId="4F923BB2" w14:textId="77777777" w:rsidR="007F0775" w:rsidRPr="007F0775" w:rsidRDefault="007F0775" w:rsidP="007F0775">
      <w:pPr>
        <w:pStyle w:val="Bibliography"/>
        <w:rPr>
          <w:rFonts w:ascii="Calibri" w:cs="Calibri"/>
          <w:sz w:val="22"/>
        </w:rPr>
      </w:pPr>
      <w:r w:rsidRPr="007F0775">
        <w:rPr>
          <w:rFonts w:ascii="Calibri" w:cs="Calibri"/>
          <w:sz w:val="22"/>
        </w:rPr>
        <w:t xml:space="preserve">5. </w:t>
      </w:r>
      <w:r w:rsidRPr="007F0775">
        <w:rPr>
          <w:rFonts w:ascii="Calibri" w:cs="Calibri"/>
          <w:sz w:val="22"/>
        </w:rPr>
        <w:tab/>
        <w:t xml:space="preserve">Bipolar Disorders Working Group of the Psychiatric Genomics Consortium, Major Depressive Disorder Working Group of the Psychiatric Genomics Consortium, Schizophrenia Working Group of </w:t>
      </w:r>
      <w:r w:rsidRPr="007F0775">
        <w:rPr>
          <w:rFonts w:ascii="Calibri" w:cs="Calibri"/>
          <w:sz w:val="22"/>
        </w:rPr>
        <w:lastRenderedPageBreak/>
        <w:t xml:space="preserve">the Psychiatric Genomics Consortium, Witt SH, Streit F, Jungkunz M, et al. Genome-wide association study of borderline personality disorder reveals genetic overlap with bipolar disorder, major depression and schizophrenia. Transl Psychiatry. 2017 Jun;7(6):e1155–e1155. </w:t>
      </w:r>
    </w:p>
    <w:p w14:paraId="05A23676" w14:textId="05A637C2" w:rsidR="007F0775" w:rsidRPr="007F0775" w:rsidRDefault="007F0775">
      <w:pPr>
        <w:rPr>
          <w:rFonts w:cstheme="minorHAnsi"/>
          <w:sz w:val="22"/>
          <w:szCs w:val="22"/>
        </w:rPr>
      </w:pPr>
      <w:r>
        <w:rPr>
          <w:rFonts w:cstheme="minorHAnsi"/>
          <w:sz w:val="22"/>
          <w:szCs w:val="22"/>
        </w:rPr>
        <w:fldChar w:fldCharType="end"/>
      </w:r>
    </w:p>
    <w:sectPr w:rsidR="007F0775" w:rsidRPr="007F0775" w:rsidSect="00624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80"/>
    <w:rsid w:val="00240193"/>
    <w:rsid w:val="003442FF"/>
    <w:rsid w:val="00624878"/>
    <w:rsid w:val="00636D29"/>
    <w:rsid w:val="006848FF"/>
    <w:rsid w:val="00740541"/>
    <w:rsid w:val="007F0775"/>
    <w:rsid w:val="008635FD"/>
    <w:rsid w:val="008B6900"/>
    <w:rsid w:val="00983289"/>
    <w:rsid w:val="009D2F1C"/>
    <w:rsid w:val="00A5536D"/>
    <w:rsid w:val="00D505D9"/>
    <w:rsid w:val="00EB0BF1"/>
    <w:rsid w:val="00F06B80"/>
    <w:rsid w:val="00F47384"/>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666"/>
  <w15:chartTrackingRefBased/>
  <w15:docId w15:val="{594D4FDE-2BE0-2441-BCDD-B46B7FF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1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1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019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5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F0775"/>
  </w:style>
  <w:style w:type="paragraph" w:styleId="Bibliography">
    <w:name w:val="Bibliography"/>
    <w:basedOn w:val="Normal"/>
    <w:next w:val="Normal"/>
    <w:uiPriority w:val="37"/>
    <w:unhideWhenUsed/>
    <w:rsid w:val="007F0775"/>
    <w:pPr>
      <w:tabs>
        <w:tab w:val="left" w:pos="380"/>
      </w:tabs>
      <w:spacing w:after="240"/>
      <w:ind w:left="384" w:hanging="384"/>
    </w:pPr>
  </w:style>
  <w:style w:type="character" w:styleId="PlaceholderText">
    <w:name w:val="Placeholder Text"/>
    <w:basedOn w:val="DefaultParagraphFont"/>
    <w:uiPriority w:val="99"/>
    <w:semiHidden/>
    <w:rsid w:val="00F473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 Leon</cp:lastModifiedBy>
  <cp:revision>2</cp:revision>
  <dcterms:created xsi:type="dcterms:W3CDTF">2022-09-01T11:17:00Z</dcterms:created>
  <dcterms:modified xsi:type="dcterms:W3CDTF">2022-09-01T11:17:00Z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id="DFXoSoag"/&gt;&lt;style id="http://www.zotero.org/styles/vancouver"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