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AE47" w14:textId="55B9C487" w:rsidR="0095749D" w:rsidRPr="00EC1285" w:rsidRDefault="0095749D" w:rsidP="0095749D">
      <w:pPr>
        <w:spacing w:line="360" w:lineRule="auto"/>
        <w:rPr>
          <w:b/>
          <w:lang w:val="en-GB"/>
        </w:rPr>
      </w:pPr>
      <w:r w:rsidRPr="00EC1285">
        <w:rPr>
          <w:b/>
          <w:lang w:val="en-GB"/>
        </w:rPr>
        <w:t>Supplement</w:t>
      </w:r>
    </w:p>
    <w:p w14:paraId="10E90E46" w14:textId="55A8ADE1" w:rsidR="00D32C2B" w:rsidRPr="00EC1285" w:rsidRDefault="00096DAB" w:rsidP="0095749D">
      <w:pPr>
        <w:autoSpaceDE w:val="0"/>
        <w:autoSpaceDN w:val="0"/>
        <w:adjustRightInd w:val="0"/>
        <w:spacing w:line="360" w:lineRule="auto"/>
        <w:rPr>
          <w:rFonts w:cstheme="minorHAnsi"/>
          <w:color w:val="000000"/>
          <w:lang w:val="en-GB"/>
        </w:rPr>
      </w:pPr>
      <w:r w:rsidRPr="00EC1285">
        <w:rPr>
          <w:rFonts w:cstheme="minorHAnsi"/>
          <w:color w:val="000000"/>
          <w:lang w:val="en-GB"/>
        </w:rPr>
        <w:t xml:space="preserve">The present study used time homogeneous </w:t>
      </w:r>
      <w:r w:rsidRPr="00EC1285">
        <w:rPr>
          <w:lang w:val="en-GB"/>
        </w:rPr>
        <w:t>Latent Markov Modelling (LMM) to identify latent states and latent transition classes</w:t>
      </w:r>
      <w:r w:rsidRPr="00EC1285">
        <w:rPr>
          <w:rFonts w:cstheme="minorHAnsi"/>
          <w:color w:val="000000"/>
          <w:lang w:val="en-GB"/>
        </w:rPr>
        <w:t>. L</w:t>
      </w:r>
      <w:r w:rsidRPr="00EC1285">
        <w:rPr>
          <w:lang w:val="en-GB"/>
        </w:rPr>
        <w:t xml:space="preserve">MM is preferable to non-latent-variable techniques because it reduces the impact of measurement error on parameter estimates and standard errors that originate from self-report of, for example, alcohol use, and thus on its impact on defining states and transitions between states over time </w:t>
      </w:r>
      <w:r w:rsidRPr="00EC1285">
        <w:rPr>
          <w:lang w:val="en-GB"/>
        </w:rPr>
        <w:fldChar w:fldCharType="begin" w:fldLock="1"/>
      </w:r>
      <w:r w:rsidR="00E81AA3" w:rsidRPr="00EC1285">
        <w:rPr>
          <w:lang w:val="en-GB"/>
        </w:rPr>
        <w:instrText>ADDIN CSL_CITATION {"citationItems":[{"id":"ITEM-1","itemData":{"abstract":"Latent Markov modeling is used as an alternative to the Current Population Survey (Census, 2002) reinterviewing methodology for estimating the measure- ment error in the recorded employment status. This alternative methodology, which is implemented in the syntax version the Latent GOLD program, turns out to be a promising new approach for estimating measurement error in longitudinal surveys. However, it is important to take into account unobserved heterogeneity in the initial-state and transition probabilities because the size of the measurement error is overestimated when unobserved heterogeneity is not taken into account.","author":[{"dropping-particle":"","family":"Magidson","given":"Jay","non-dropping-particle":"","parse-names":false,"suffix":""},{"dropping-particle":"","family":"Vermunt","given":"Jeroen K","non-dropping-particle":"","parse-names":false,"suffix":""},{"dropping-particle":"","family":"Tran","given":"Bac","non-dropping-particle":"","parse-names":false,"suffix":""}],"container-title":"New Trends in Psychometrics","id":"ITEM-1","issue":"1","issued":{"date-parts":[["2009"]]},"page":"235-242","title":"Using a mixture latent Markov model to analyze longitudinal US employment data involving measurement error","type":"article-journal","volume":"3"},"uris":["http://www.mendeley.com/documents/?uuid=0857ae86-0556-4e48-8248-ae0f66694fa0"]}],"mendeley":{"formattedCitation":"[1]","plainTextFormattedCitation":"[1]","previouslyFormattedCitation":"[1]"},"properties":{"noteIndex":0},"schema":"https://github.com/citation-style-language/schema/raw/master/csl-citation.json"}</w:instrText>
      </w:r>
      <w:r w:rsidRPr="00EC1285">
        <w:rPr>
          <w:lang w:val="en-GB"/>
        </w:rPr>
        <w:fldChar w:fldCharType="separate"/>
      </w:r>
      <w:r w:rsidR="00E81AA3" w:rsidRPr="00EC1285">
        <w:rPr>
          <w:noProof/>
          <w:lang w:val="en-GB"/>
        </w:rPr>
        <w:t>[1]</w:t>
      </w:r>
      <w:r w:rsidRPr="00EC1285">
        <w:rPr>
          <w:lang w:val="en-GB"/>
        </w:rPr>
        <w:fldChar w:fldCharType="end"/>
      </w:r>
      <w:r w:rsidRPr="00EC1285">
        <w:rPr>
          <w:lang w:val="en-GB"/>
        </w:rPr>
        <w:t xml:space="preserve">. </w:t>
      </w:r>
      <w:r w:rsidR="0095749D" w:rsidRPr="00EC1285">
        <w:rPr>
          <w:rFonts w:cstheme="minorHAnsi"/>
          <w:color w:val="000000"/>
          <w:lang w:val="en-GB"/>
        </w:rPr>
        <w:t>Time-homogeneous LMM</w:t>
      </w:r>
      <w:r w:rsidR="00DE0290" w:rsidRPr="00EC1285">
        <w:rPr>
          <w:rFonts w:cstheme="minorHAnsi"/>
          <w:color w:val="000000"/>
          <w:lang w:val="en-GB"/>
        </w:rPr>
        <w:t xml:space="preserve"> with increasing numbers of latent states and transition classes</w:t>
      </w:r>
      <w:r w:rsidR="0095749D" w:rsidRPr="00EC1285">
        <w:rPr>
          <w:rFonts w:cstheme="minorHAnsi"/>
          <w:color w:val="000000"/>
          <w:lang w:val="en-GB"/>
        </w:rPr>
        <w:t xml:space="preserve"> were estimated using the Markov module</w:t>
      </w:r>
      <w:r w:rsidR="00623A5E" w:rsidRPr="00EC1285">
        <w:rPr>
          <w:rFonts w:cstheme="minorHAnsi"/>
          <w:color w:val="000000"/>
          <w:lang w:val="en-GB"/>
        </w:rPr>
        <w:t xml:space="preserve"> of the statistical programme Latent GOLD 5.1 </w:t>
      </w:r>
      <w:r w:rsidR="00623A5E" w:rsidRPr="00EC1285">
        <w:rPr>
          <w:rFonts w:cstheme="minorHAnsi"/>
          <w:color w:val="000000"/>
          <w:lang w:val="en-GB"/>
        </w:rPr>
        <w:fldChar w:fldCharType="begin" w:fldLock="1"/>
      </w:r>
      <w:r w:rsidR="00E81AA3" w:rsidRPr="00EC1285">
        <w:rPr>
          <w:rFonts w:cstheme="minorHAnsi"/>
          <w:color w:val="000000"/>
          <w:lang w:val="en-GB"/>
        </w:rPr>
        <w:instrText>ADDIN CSL_CITATION {"citationItems":[{"id":"ITEM-1","itemData":{"author":[{"dropping-particle":"","family":"Vermunt","given":"Jeroen K.","non-dropping-particle":"","parse-names":false,"suffix":""},{"dropping-particle":"","family":"Magidson","given":"J.","non-dropping-particle":"","parse-names":false,"suffix":""}],"id":"ITEM-1","issued":{"date-parts":[["2017"]]},"publisher":"Statistical Innovations Inc","publisher-place":"Belmont, MA","title":"LatentGOLD","type":"article"},"uris":["http://www.mendeley.com/documents/?uuid=675409c4-da18-4dfc-86d9-82c49d49d65a"]}],"mendeley":{"formattedCitation":"[2]","plainTextFormattedCitation":"[2]","previouslyFormattedCitation":"[2]"},"properties":{"noteIndex":0},"schema":"https://github.com/citation-style-language/schema/raw/master/csl-citation.json"}</w:instrText>
      </w:r>
      <w:r w:rsidR="00623A5E" w:rsidRPr="00EC1285">
        <w:rPr>
          <w:rFonts w:cstheme="minorHAnsi"/>
          <w:color w:val="000000"/>
          <w:lang w:val="en-GB"/>
        </w:rPr>
        <w:fldChar w:fldCharType="separate"/>
      </w:r>
      <w:r w:rsidR="00E81AA3" w:rsidRPr="00EC1285">
        <w:rPr>
          <w:rFonts w:cstheme="minorHAnsi"/>
          <w:noProof/>
          <w:color w:val="000000"/>
          <w:lang w:val="en-GB"/>
        </w:rPr>
        <w:t>[2]</w:t>
      </w:r>
      <w:r w:rsidR="00623A5E" w:rsidRPr="00EC1285">
        <w:rPr>
          <w:rFonts w:cstheme="minorHAnsi"/>
          <w:color w:val="000000"/>
          <w:lang w:val="en-GB"/>
        </w:rPr>
        <w:fldChar w:fldCharType="end"/>
      </w:r>
      <w:r w:rsidR="0095749D" w:rsidRPr="00EC1285">
        <w:rPr>
          <w:rFonts w:cstheme="minorHAnsi"/>
          <w:color w:val="000000"/>
          <w:lang w:val="en-GB"/>
        </w:rPr>
        <w:t xml:space="preserve">. </w:t>
      </w:r>
    </w:p>
    <w:p w14:paraId="0031396B" w14:textId="43237811" w:rsidR="0095749D" w:rsidRPr="00EC1285" w:rsidRDefault="00D32C2B" w:rsidP="0095749D">
      <w:pPr>
        <w:autoSpaceDE w:val="0"/>
        <w:autoSpaceDN w:val="0"/>
        <w:adjustRightInd w:val="0"/>
        <w:spacing w:line="360" w:lineRule="auto"/>
        <w:rPr>
          <w:rFonts w:cstheme="minorHAnsi"/>
          <w:color w:val="000000"/>
          <w:lang w:val="en-GB"/>
        </w:rPr>
      </w:pPr>
      <w:r w:rsidRPr="00EC1285">
        <w:rPr>
          <w:rFonts w:cstheme="minorHAnsi"/>
          <w:color w:val="000000"/>
          <w:lang w:val="en-GB"/>
        </w:rPr>
        <w:t xml:space="preserve">First, latent states were identified. This </w:t>
      </w:r>
      <w:r w:rsidR="0095749D" w:rsidRPr="00EC1285">
        <w:rPr>
          <w:rFonts w:cstheme="minorHAnsi"/>
          <w:color w:val="000000"/>
          <w:lang w:val="en-GB"/>
        </w:rPr>
        <w:t>was based on two dichotomous variables (</w:t>
      </w:r>
      <w:r w:rsidR="00D0516C" w:rsidRPr="00EC1285">
        <w:rPr>
          <w:rFonts w:cstheme="minorHAnsi"/>
          <w:color w:val="000000"/>
          <w:lang w:val="en-GB"/>
        </w:rPr>
        <w:t>high average alcohol consumption (</w:t>
      </w:r>
      <w:r w:rsidR="0095749D" w:rsidRPr="00EC1285">
        <w:rPr>
          <w:rFonts w:cstheme="minorHAnsi"/>
          <w:color w:val="000000"/>
          <w:lang w:val="en-GB"/>
        </w:rPr>
        <w:t>HAAC</w:t>
      </w:r>
      <w:r w:rsidR="00D0516C" w:rsidRPr="00EC1285">
        <w:rPr>
          <w:rFonts w:cstheme="minorHAnsi"/>
          <w:color w:val="000000"/>
          <w:lang w:val="en-GB"/>
        </w:rPr>
        <w:t>)</w:t>
      </w:r>
      <w:r w:rsidR="0095749D" w:rsidRPr="00EC1285">
        <w:rPr>
          <w:rFonts w:cstheme="minorHAnsi"/>
          <w:color w:val="000000"/>
          <w:lang w:val="en-GB"/>
        </w:rPr>
        <w:t xml:space="preserve"> and </w:t>
      </w:r>
      <w:r w:rsidR="00D0516C" w:rsidRPr="00EC1285">
        <w:rPr>
          <w:rFonts w:cstheme="minorHAnsi"/>
          <w:color w:val="000000"/>
          <w:lang w:val="en-GB"/>
        </w:rPr>
        <w:t>alcohol use disorder (</w:t>
      </w:r>
      <w:r w:rsidR="0095749D" w:rsidRPr="00EC1285">
        <w:rPr>
          <w:rFonts w:cstheme="minorHAnsi"/>
          <w:color w:val="000000"/>
          <w:lang w:val="en-GB"/>
        </w:rPr>
        <w:t>AUD</w:t>
      </w:r>
      <w:r w:rsidR="00D0516C" w:rsidRPr="00EC1285">
        <w:rPr>
          <w:rFonts w:cstheme="minorHAnsi"/>
          <w:color w:val="000000"/>
          <w:lang w:val="en-GB"/>
        </w:rPr>
        <w:t>)</w:t>
      </w:r>
      <w:r w:rsidR="0095749D" w:rsidRPr="00EC1285">
        <w:rPr>
          <w:rFonts w:cstheme="minorHAnsi"/>
          <w:color w:val="000000"/>
          <w:lang w:val="en-GB"/>
        </w:rPr>
        <w:t xml:space="preserve">) while using data from all four waves. </w:t>
      </w:r>
      <w:r w:rsidR="0095749D" w:rsidRPr="00EC1285">
        <w:rPr>
          <w:bCs/>
          <w:lang w:val="en-GB"/>
        </w:rPr>
        <w:t xml:space="preserve">Based on previous research </w:t>
      </w:r>
      <w:r w:rsidR="0095749D" w:rsidRPr="00EC1285">
        <w:rPr>
          <w:bCs/>
          <w:lang w:val="en-GB"/>
        </w:rPr>
        <w:fldChar w:fldCharType="begin" w:fldLock="1"/>
      </w:r>
      <w:r w:rsidR="00E81AA3" w:rsidRPr="00EC1285">
        <w:rPr>
          <w:bCs/>
          <w:lang w:val="en-GB"/>
        </w:rPr>
        <w:instrText>ADDIN CSL_CITATION {"citationItems":[{"id":"ITEM-1","itemData":{"DOI":"10.1111/acer.12248","ISBN":"1530-0277 (Electronic) 0145-6008 (Linking)","ISSN":"01456008","PMID":"24033529","abstract":"BACKGROUND: Although it seems intuitive that alcohol use disorders (AUDs) include excessive alcohol consumption (EAC), this notion is not well established. This study investigates to which degree EAC (defined as &gt;14/21 drinks weekly for women/men and at least three 5+ drinking days per week) and AUD overlap and whether problematic alcohol use groups (EAC-only, AUD-only, and EAC + AUD) differ from each other and from nonproblematic alcohol users regarding sociodemographics, mental health problems, functioning, and service utilization.\\n\\nMETHODS: Data were derived from the Netherlands Mental Health Survey and Incidence Study-2, a population-based study including 5,443 current drinkers (aged 18 to 64) interviewed with the Composite International Diagnostic Interview 3.0. Both DSM-IV AUDs and a proxy of DSM-5 AUD are considered.\\n\\nRESULTS: Of the current drinkers, 3.8% reported 12-month EAC. Twelve-month prevalence of DSM-IV and DSM-5 AUD were 5.4 and 4.4%, respectively. Regarding DSM-IV, only 17.7% of subjects with AUD reported EAC and 25.3% of those with EAC had an AUD. Compared with nonproblematic alcohol users, the 3 groups of problematic alcohol use (EAC-only, AUD-only, and EAC + AUD) were more often associated with mental health problems, poorer functioning, and service utilization. There were few differences between EAC-only and AUD-only regarding these correlates. However, EAC + AUD had strongest associations with above-mentioned correlates compared with the other 3 groups. Compared with DSM-IV findings, DSM-5 AUDs had slightly larger overlap with EAC, but correlates were similarly associated with problematic alcohol use groups.\\n\\nCONCLUSIONS: Findings indicate limited overlap between EAC and AUD. Yet, both dimensions were similarly associated with other problems suggesting that both should be included in future epidemiological research to detect the total group of problematic alcohol users.","author":[{"dropping-particle":"","family":"Tuithof","given":"Marlous","non-dropping-particle":"","parse-names":false,"suffix":""},{"dropping-particle":"","family":"Have","given":"Margreet","non-dropping-particle":"ten","parse-names":false,"suffix":""},{"dropping-particle":"","family":"Brink","given":"Wim","non-dropping-particle":"van den","parse-names":false,"suffix":""},{"dropping-particle":"","family":"Vollebergh","given":"Wilma","non-dropping-particle":"","parse-names":false,"suffix":""},{"dropping-particle":"","family":"Graaf","given":"Ron","non-dropping-particle":"de","parse-names":false,"suffix":""}],"container-title":"Alcoholism: Clinical and Experimental Research","id":"ITEM-1","issue":"1","issued":{"date-parts":[["2014"]]},"page":"249-256","title":"The Relationship Between Excessive Alcohol Consumption and Alcohol Use Disorders According to DSM-IV and DSM-5","type":"article-journal","volume":"38"},"uris":["http://www.mendeley.com/documents/?uuid=c93714ed-6361-4e28-b3c8-643f6726a82e"]},{"id":"ITEM-2","itemData":{"DOI":"10.1017/S0954579413000424","ISSN":"09545794","PMID":"24229554","abstract":"Research has shown a developmental process of maturing out of alcohol involvement beginning in young adulthood, but the precise nature of changes characterizing maturing out is unclear. We used latent transition analysis to investigate these changes in a high-risk sample from a longitudinal study of familial alcoholism (N = 844; 51% children of alcoholics; 53% male, 71% non-Hispanic Caucasian, 27% Hispanic). Analyses classified participants into latent drinking statuses during late adolescence (ages 17-22), young adulthood (ages 23-28), and adulthood (ages 29-40), and characterized transitions among these statuses over time. The resulting four statuses were abstainers, low-risk drinkers who typically drank less than weekly and rarely binged or showed drinking problems, moderate-risk drinkers who typically binged less than weekly and showed moderate risk for drinking problems, and high-risk drinkers who typically binged at least weekly and showed high risk for drinking problems. Maturing out between late adolescence and young adulthood was most common among initial high-risk drinkers, but they typically declined to moderate-risk drinking rather than to nonrisky drinking statuses. This suggests that the developmental phenomenon of maturing out pertains primarily to relatively high-risk initial drinkers and that many high-risk drinkers who mature out merely reduce rather than eliminate their risky drinking. © Cambridge University Press 2013.","author":[{"dropping-particle":"","family":"Lee","given":"Matthew R.","non-dropping-particle":"","parse-names":false,"suffix":""},{"dropping-particle":"","family":"Chassin","given":"Laurie","non-dropping-particle":"","parse-names":false,"suffix":""},{"dropping-particle":"","family":"Villalta","given":"Ian K.","non-dropping-particle":"","parse-names":false,"suffix":""}],"container-title":"Development and Psychopathology","id":"ITEM-2","issue":"4 PART 1","issued":{"date-parts":[["2013"]]},"page":"1137-1153","title":"Maturing out of alcohol involvement: Transitions in latent drinking statuses from late adolescence to adulthood","type":"article-journal","volume":"25"},"uris":["http://www.mendeley.com/documents/?uuid=b2562aed-13a9-4721-906b-b6ab71867663"]}],"mendeley":{"formattedCitation":"[3,4]","plainTextFormattedCitation":"[3,4]","previouslyFormattedCitation":"[3,4]"},"properties":{"noteIndex":0},"schema":"https://github.com/citation-style-language/schema/raw/master/csl-citation.json"}</w:instrText>
      </w:r>
      <w:r w:rsidR="0095749D" w:rsidRPr="00EC1285">
        <w:rPr>
          <w:bCs/>
          <w:lang w:val="en-GB"/>
        </w:rPr>
        <w:fldChar w:fldCharType="separate"/>
      </w:r>
      <w:r w:rsidR="00E81AA3" w:rsidRPr="00EC1285">
        <w:rPr>
          <w:bCs/>
          <w:noProof/>
          <w:lang w:val="en-GB"/>
        </w:rPr>
        <w:t>[3,4]</w:t>
      </w:r>
      <w:r w:rsidR="0095749D" w:rsidRPr="00EC1285">
        <w:rPr>
          <w:bCs/>
          <w:lang w:val="en-GB"/>
        </w:rPr>
        <w:fldChar w:fldCharType="end"/>
      </w:r>
      <w:r w:rsidR="0095749D" w:rsidRPr="00EC1285">
        <w:rPr>
          <w:bCs/>
          <w:lang w:val="en-GB"/>
        </w:rPr>
        <w:t xml:space="preserve">, we expected to find a 4-state model, but to be complete, we examined a broader range of 1-5 states. </w:t>
      </w:r>
      <w:bookmarkStart w:id="0" w:name="_Hlk98332148"/>
      <w:bookmarkStart w:id="1" w:name="_Hlk98337198"/>
      <w:r w:rsidRPr="00EC1285">
        <w:rPr>
          <w:bCs/>
          <w:lang w:val="en-GB"/>
        </w:rPr>
        <w:t>Second</w:t>
      </w:r>
      <w:r w:rsidR="0095749D" w:rsidRPr="00EC1285">
        <w:rPr>
          <w:bCs/>
          <w:lang w:val="en-GB"/>
        </w:rPr>
        <w:t xml:space="preserve">, we examined whether 3-year transitions between states could be classified in </w:t>
      </w:r>
      <w:r w:rsidR="0095749D" w:rsidRPr="00EC1285">
        <w:rPr>
          <w:rFonts w:cstheme="minorHAnsi"/>
          <w:color w:val="000000"/>
          <w:lang w:val="en-GB"/>
        </w:rPr>
        <w:t>latent transition classes</w:t>
      </w:r>
      <w:r w:rsidR="0095749D" w:rsidRPr="00EC1285">
        <w:rPr>
          <w:lang w:val="en-GB"/>
        </w:rPr>
        <w:t xml:space="preserve">. </w:t>
      </w:r>
      <w:bookmarkStart w:id="2" w:name="_Hlk96516239"/>
      <w:r w:rsidR="0095749D" w:rsidRPr="00EC1285">
        <w:rPr>
          <w:lang w:val="en-GB"/>
        </w:rPr>
        <w:t xml:space="preserve">By default, first unrestricted models were explored in which any type of transition class can be observed in the data. We also looked at a special type of transition model, namely the Mover-Stayer LMM </w:t>
      </w:r>
      <w:bookmarkEnd w:id="0"/>
      <w:r w:rsidR="0095749D" w:rsidRPr="00EC1285">
        <w:rPr>
          <w:lang w:val="en-GB"/>
        </w:rPr>
        <w:t xml:space="preserve">which assumes the presence of two specific types of transition classes: ‘stayers’ who remain in their original state during all waves, and ‘movers’ with </w:t>
      </w:r>
      <w:bookmarkStart w:id="3" w:name="_Hlk99623455"/>
      <w:r w:rsidR="0095749D" w:rsidRPr="00EC1285">
        <w:rPr>
          <w:lang w:val="en-GB"/>
        </w:rPr>
        <w:t>probabilities</w:t>
      </w:r>
      <w:r w:rsidR="0095749D" w:rsidRPr="00EC1285">
        <w:rPr>
          <w:bCs/>
          <w:lang w:val="en-GB"/>
        </w:rPr>
        <w:t xml:space="preserve"> significantly larger than </w:t>
      </w:r>
      <w:bookmarkEnd w:id="3"/>
      <w:r w:rsidR="0095749D" w:rsidRPr="00EC1285">
        <w:rPr>
          <w:bCs/>
          <w:lang w:val="en-GB"/>
        </w:rPr>
        <w:t>zero</w:t>
      </w:r>
      <w:r w:rsidR="0095749D" w:rsidRPr="00EC1285">
        <w:rPr>
          <w:lang w:val="en-GB"/>
        </w:rPr>
        <w:t xml:space="preserve"> of a transition from one state to another between any of two consecutive waves. </w:t>
      </w:r>
      <w:bookmarkEnd w:id="1"/>
      <w:bookmarkEnd w:id="2"/>
      <w:r w:rsidR="0095749D" w:rsidRPr="00EC1285">
        <w:rPr>
          <w:lang w:val="en-GB"/>
        </w:rPr>
        <w:t>To avoid convergence to local maxima</w:t>
      </w:r>
      <w:r w:rsidR="0095749D" w:rsidRPr="00EC1285">
        <w:rPr>
          <w:rFonts w:cstheme="minorHAnsi"/>
          <w:lang w:val="en-GB"/>
        </w:rPr>
        <w:t xml:space="preserve">, the number of random start-sets and initial iterations per start-set </w:t>
      </w:r>
      <w:r w:rsidR="0095749D" w:rsidRPr="00EC1285">
        <w:rPr>
          <w:rFonts w:cstheme="minorHAnsi"/>
          <w:color w:val="000000"/>
          <w:lang w:val="en-GB"/>
        </w:rPr>
        <w:t xml:space="preserve">were set at 160 and 2500, respectively. To determine the optimal number of latent states and classes, we used the Bayesian Information Criterion (BIC, </w:t>
      </w:r>
      <w:r w:rsidR="0095749D" w:rsidRPr="00EC1285">
        <w:rPr>
          <w:rFonts w:cstheme="minorHAnsi"/>
          <w:lang w:val="en-GB"/>
        </w:rPr>
        <w:t>smallest value preferred</w:t>
      </w:r>
      <w:r w:rsidR="0095749D" w:rsidRPr="00EC1285">
        <w:rPr>
          <w:rFonts w:cstheme="minorHAnsi"/>
          <w:color w:val="000000"/>
          <w:lang w:val="en-GB"/>
        </w:rPr>
        <w:t>), the Akaike Information Criterion (AIC, smallest value preferred), and the corrected AIC with a penalty factor of 3 (AIC3, smallest value preferred)</w:t>
      </w:r>
      <w:r w:rsidR="0095749D" w:rsidRPr="00EC1285">
        <w:rPr>
          <w:rFonts w:cstheme="minorHAnsi"/>
          <w:lang w:val="en-GB"/>
        </w:rPr>
        <w:t>, as well as the interpretability of the derived models</w:t>
      </w:r>
      <w:r w:rsidR="0095749D" w:rsidRPr="00EC1285">
        <w:rPr>
          <w:rFonts w:cstheme="minorHAnsi"/>
          <w:color w:val="000000"/>
          <w:lang w:val="en-GB"/>
        </w:rPr>
        <w:t xml:space="preserve"> (in keeping with </w:t>
      </w:r>
      <w:r w:rsidR="0095749D" w:rsidRPr="00EC1285">
        <w:rPr>
          <w:rFonts w:cstheme="minorHAnsi"/>
          <w:color w:val="000000"/>
          <w:lang w:val="en-GB"/>
        </w:rPr>
        <w:fldChar w:fldCharType="begin" w:fldLock="1"/>
      </w:r>
      <w:r w:rsidR="00E81AA3" w:rsidRPr="00EC1285">
        <w:rPr>
          <w:rFonts w:cstheme="minorHAnsi"/>
          <w:color w:val="000000"/>
          <w:lang w:val="en-GB"/>
        </w:rPr>
        <w:instrText>ADDIN CSL_CITATION {"citationItems":[{"id":"ITEM-1","itemData":{"DOI":"10.1037/0012-1649.44.2.446","ISSN":"0012-1649","PMID":"18331135","abstract":"The set of statistical methods available to developmentalists is continually being expanded, allowing for questions about change over time to be addressed in new, informative ways. Indeed, new developments in methods to model change over time create the possibility for new research questions to be posed. Latent transition analysis, a longitudinal extension of latent class analysis, is a method that can be used to model development in discrete latent variables, for example, stage processes, over 2 or more times. The current article illustrates this approach using a new SAS procedure, PROC LTA, to model change over time in adolescent and young adult dating and sexual risk behavior. Gender differences are examined, and substance use behaviors are included as predictors of initial status in dating and sexual risk behavior and transitions over time.","author":[{"dropping-particle":"","family":"Lanza","given":"Stephanie T","non-dropping-particle":"","parse-names":false,"suffix":""},{"dropping-particle":"","family":"Collins","given":"Linda M","non-dropping-particle":"","parse-names":false,"suffix":""}],"container-title":"Developmental psychology","id":"ITEM-1","issue":"2","issued":{"date-parts":[["2008","3"]]},"page":"446-56","title":"A new SAS procedure for latent transition analysis: transitions in dating and sexual risk behavior.","type":"article-journal","volume":"44"},"uris":["http://www.mendeley.com/documents/?uuid=6ffd23cf-6dc2-449e-98df-f5ab6194f624"]}],"mendeley":{"formattedCitation":"[5]","plainTextFormattedCitation":"[5]","previouslyFormattedCitation":"[5]"},"properties":{"noteIndex":0},"schema":"https://github.com/citation-style-language/schema/raw/master/csl-citation.json"}</w:instrText>
      </w:r>
      <w:r w:rsidR="0095749D" w:rsidRPr="00EC1285">
        <w:rPr>
          <w:rFonts w:cstheme="minorHAnsi"/>
          <w:color w:val="000000"/>
          <w:lang w:val="en-GB"/>
        </w:rPr>
        <w:fldChar w:fldCharType="separate"/>
      </w:r>
      <w:r w:rsidR="00E81AA3" w:rsidRPr="00EC1285">
        <w:rPr>
          <w:rFonts w:cstheme="minorHAnsi"/>
          <w:noProof/>
          <w:color w:val="000000"/>
          <w:lang w:val="en-GB"/>
        </w:rPr>
        <w:t>[5]</w:t>
      </w:r>
      <w:r w:rsidR="0095749D" w:rsidRPr="00EC1285">
        <w:rPr>
          <w:rFonts w:cstheme="minorHAnsi"/>
          <w:color w:val="000000"/>
          <w:lang w:val="en-GB"/>
        </w:rPr>
        <w:fldChar w:fldCharType="end"/>
      </w:r>
      <w:r w:rsidR="0095749D" w:rsidRPr="00EC1285">
        <w:rPr>
          <w:rFonts w:cstheme="minorHAnsi"/>
          <w:color w:val="000000"/>
          <w:lang w:val="en-GB"/>
        </w:rPr>
        <w:t>).</w:t>
      </w:r>
    </w:p>
    <w:p w14:paraId="59B7F460" w14:textId="77777777" w:rsidR="00F92210" w:rsidRPr="00EC1285" w:rsidRDefault="00F92210" w:rsidP="00F92210">
      <w:pPr>
        <w:spacing w:line="360" w:lineRule="auto"/>
        <w:rPr>
          <w:rFonts w:cstheme="minorHAnsi"/>
          <w:color w:val="0000FF"/>
          <w:lang w:val="en-GB"/>
        </w:rPr>
      </w:pPr>
      <w:r w:rsidRPr="00EC1285">
        <w:rPr>
          <w:rFonts w:cstheme="minorHAnsi"/>
          <w:color w:val="000000"/>
          <w:lang w:val="en-GB"/>
        </w:rPr>
        <w:t>Lastly, respondents were assigned to the latent states at the four waves and to the transition classes with weights reflecting the certainty of their states and class membership. This was automatically achieved by storing the posterior classifications.</w:t>
      </w:r>
      <w:r w:rsidRPr="00EC1285">
        <w:rPr>
          <w:rFonts w:cstheme="minorHAnsi"/>
          <w:color w:val="0000FF"/>
          <w:lang w:val="en-GB"/>
        </w:rPr>
        <w:t xml:space="preserve"> </w:t>
      </w:r>
    </w:p>
    <w:p w14:paraId="4EA0CE73" w14:textId="77777777" w:rsidR="0095749D" w:rsidRPr="00EC1285" w:rsidRDefault="0095749D" w:rsidP="0095749D">
      <w:pPr>
        <w:spacing w:line="360" w:lineRule="auto"/>
        <w:rPr>
          <w:bCs/>
          <w:lang w:val="en-GB"/>
        </w:rPr>
      </w:pPr>
    </w:p>
    <w:p w14:paraId="11AEED58" w14:textId="105B5AA2" w:rsidR="0095749D" w:rsidRPr="00EC1285" w:rsidRDefault="0095749D" w:rsidP="0095749D">
      <w:pPr>
        <w:spacing w:line="360" w:lineRule="auto"/>
        <w:rPr>
          <w:bCs/>
          <w:i/>
          <w:iCs/>
          <w:lang w:val="en-GB"/>
        </w:rPr>
      </w:pPr>
      <w:r w:rsidRPr="00EC1285">
        <w:rPr>
          <w:bCs/>
          <w:i/>
          <w:iCs/>
          <w:lang w:val="en-GB"/>
        </w:rPr>
        <w:t>Identifying latent states and classes</w:t>
      </w:r>
      <w:r w:rsidRPr="00EC1285">
        <w:rPr>
          <w:bCs/>
          <w:lang w:val="en-GB"/>
        </w:rPr>
        <w:t xml:space="preserve"> </w:t>
      </w:r>
    </w:p>
    <w:p w14:paraId="7ED414CB" w14:textId="4E355D7D" w:rsidR="0095749D" w:rsidRPr="00EC1285" w:rsidRDefault="00096DAB" w:rsidP="0095749D">
      <w:pPr>
        <w:spacing w:line="360" w:lineRule="auto"/>
        <w:rPr>
          <w:bCs/>
          <w:lang w:val="en-GB"/>
        </w:rPr>
      </w:pPr>
      <w:r w:rsidRPr="00EC1285">
        <w:rPr>
          <w:bCs/>
          <w:lang w:val="en-GB"/>
        </w:rPr>
        <w:t>First</w:t>
      </w:r>
      <w:r w:rsidR="0095749D" w:rsidRPr="00EC1285">
        <w:rPr>
          <w:bCs/>
          <w:lang w:val="en-GB"/>
        </w:rPr>
        <w:t xml:space="preserve">, time-homogeneous LMM with 1-5 latent states were examined (see ‘step a’ in Table S1). The BIC of the 3-state solution was lowest, but AIC and AIC3 were lower for the 4-state solution. The 5-state solution showed somewhat worse fit statistics than the 4-state model and resulted in some </w:t>
      </w:r>
      <w:r w:rsidR="0095749D" w:rsidRPr="00EC1285">
        <w:rPr>
          <w:bCs/>
          <w:lang w:val="en-GB"/>
        </w:rPr>
        <w:lastRenderedPageBreak/>
        <w:t xml:space="preserve">very small states without clear interpretability. Therefore, latent transition classes were only examined for the 3- and 4-state models. </w:t>
      </w:r>
    </w:p>
    <w:p w14:paraId="292EA90F" w14:textId="77777777" w:rsidR="0095749D" w:rsidRPr="00EC1285" w:rsidRDefault="0095749D" w:rsidP="0095749D">
      <w:pPr>
        <w:spacing w:line="360" w:lineRule="auto"/>
        <w:rPr>
          <w:bCs/>
          <w:lang w:val="en-GB"/>
        </w:rPr>
      </w:pPr>
      <w:bookmarkStart w:id="4" w:name="_Hlk98337221"/>
      <w:r w:rsidRPr="00EC1285">
        <w:rPr>
          <w:bCs/>
          <w:lang w:val="en-GB"/>
        </w:rPr>
        <w:t xml:space="preserve">The unrestricted models revealed transition patterns similar to the predefined patterns in the restricted mover-stayer models. As the restricted mover-stayer models were more parsimonious, easier to interpret and had slightly better fit statistics, the unrestricted models were rejected at this point (‘step b’ in Table S1). </w:t>
      </w:r>
    </w:p>
    <w:bookmarkEnd w:id="4"/>
    <w:p w14:paraId="7E185AEB" w14:textId="51C7EF80" w:rsidR="0095749D" w:rsidRPr="00EC1285" w:rsidRDefault="0095749D" w:rsidP="0095749D">
      <w:pPr>
        <w:spacing w:line="360" w:lineRule="auto"/>
        <w:rPr>
          <w:bCs/>
          <w:lang w:val="en-GB"/>
        </w:rPr>
      </w:pPr>
      <w:r w:rsidRPr="00EC1285">
        <w:rPr>
          <w:bCs/>
          <w:lang w:val="en-GB"/>
        </w:rPr>
        <w:t xml:space="preserve">Fit statistics of the 3- and 4-state mover-stayer models were somewhat comparable, but the profile plots revealed that the 4-state mover-stayer model identified a meaningful, but small state which was lumped together in the 3-state model. This state represented a problematic group with high proportions of both HAAC and AUD (see state 4 in Table 1). Thus, the 4-state mover-stayer model described our data best. </w:t>
      </w:r>
    </w:p>
    <w:p w14:paraId="7AB67BE2" w14:textId="41F0CE1B" w:rsidR="0070504B" w:rsidRPr="00EC1285" w:rsidRDefault="0070504B" w:rsidP="00F92210">
      <w:pPr>
        <w:jc w:val="center"/>
        <w:rPr>
          <w:lang w:val="en-GB"/>
        </w:rPr>
      </w:pPr>
    </w:p>
    <w:p w14:paraId="4E1FB62D" w14:textId="02B86A5E" w:rsidR="00F92210" w:rsidRPr="00EC1285" w:rsidRDefault="00F92210" w:rsidP="00F92210">
      <w:pPr>
        <w:jc w:val="center"/>
        <w:rPr>
          <w:lang w:val="en-GB"/>
        </w:rPr>
      </w:pPr>
      <w:r w:rsidRPr="00EC1285">
        <w:rPr>
          <w:lang w:val="en-GB"/>
        </w:rPr>
        <w:t>[Table S1]</w:t>
      </w:r>
    </w:p>
    <w:p w14:paraId="659371F0" w14:textId="2FB15AB0" w:rsidR="00D47A8D" w:rsidRPr="00EC1285" w:rsidRDefault="00D47A8D">
      <w:pPr>
        <w:rPr>
          <w:b/>
          <w:bCs/>
          <w:lang w:val="en-GB"/>
        </w:rPr>
      </w:pPr>
    </w:p>
    <w:p w14:paraId="12DEB391" w14:textId="77777777" w:rsidR="00F92210" w:rsidRPr="00EC1285" w:rsidRDefault="00F92210">
      <w:pPr>
        <w:rPr>
          <w:b/>
          <w:bCs/>
          <w:lang w:val="en-GB"/>
        </w:rPr>
      </w:pPr>
      <w:r w:rsidRPr="00EC1285">
        <w:rPr>
          <w:b/>
          <w:bCs/>
          <w:lang w:val="en-GB"/>
        </w:rPr>
        <w:br w:type="page"/>
      </w:r>
    </w:p>
    <w:p w14:paraId="15A58FC1" w14:textId="52B55DDC" w:rsidR="00D65481" w:rsidRPr="00EC1285" w:rsidRDefault="00096DAB" w:rsidP="00D65481">
      <w:pPr>
        <w:widowControl w:val="0"/>
        <w:autoSpaceDE w:val="0"/>
        <w:autoSpaceDN w:val="0"/>
        <w:adjustRightInd w:val="0"/>
        <w:spacing w:line="240" w:lineRule="auto"/>
        <w:ind w:left="640" w:hanging="640"/>
        <w:rPr>
          <w:b/>
          <w:bCs/>
          <w:lang w:val="en-GB"/>
        </w:rPr>
      </w:pPr>
      <w:r w:rsidRPr="00EC1285">
        <w:rPr>
          <w:b/>
          <w:bCs/>
          <w:lang w:val="en-GB"/>
        </w:rPr>
        <w:lastRenderedPageBreak/>
        <w:t>References</w:t>
      </w:r>
    </w:p>
    <w:p w14:paraId="02AAB8DF" w14:textId="6CE07DFB" w:rsidR="002E4DC7" w:rsidRPr="00EC1285" w:rsidRDefault="00D65481" w:rsidP="002E4DC7">
      <w:pPr>
        <w:widowControl w:val="0"/>
        <w:autoSpaceDE w:val="0"/>
        <w:autoSpaceDN w:val="0"/>
        <w:adjustRightInd w:val="0"/>
        <w:spacing w:line="240" w:lineRule="auto"/>
        <w:ind w:left="640" w:hanging="640"/>
        <w:rPr>
          <w:rFonts w:ascii="Calibri" w:hAnsi="Calibri" w:cs="Calibri"/>
          <w:noProof/>
          <w:szCs w:val="24"/>
        </w:rPr>
      </w:pPr>
      <w:r w:rsidRPr="00EC1285">
        <w:rPr>
          <w:b/>
          <w:bCs/>
          <w:lang w:val="en-GB"/>
        </w:rPr>
        <w:fldChar w:fldCharType="begin" w:fldLock="1"/>
      </w:r>
      <w:r w:rsidRPr="00EC1285">
        <w:rPr>
          <w:b/>
          <w:bCs/>
          <w:lang w:val="en-GB"/>
        </w:rPr>
        <w:instrText xml:space="preserve">ADDIN Mendeley Bibliography CSL_BIBLIOGRAPHY </w:instrText>
      </w:r>
      <w:r w:rsidRPr="00EC1285">
        <w:rPr>
          <w:b/>
          <w:bCs/>
          <w:lang w:val="en-GB"/>
        </w:rPr>
        <w:fldChar w:fldCharType="separate"/>
      </w:r>
      <w:r w:rsidR="002E4DC7" w:rsidRPr="00EC1285">
        <w:rPr>
          <w:rFonts w:ascii="Calibri" w:hAnsi="Calibri" w:cs="Calibri"/>
          <w:noProof/>
          <w:szCs w:val="24"/>
        </w:rPr>
        <w:t xml:space="preserve">1 </w:t>
      </w:r>
      <w:r w:rsidR="002E4DC7" w:rsidRPr="00EC1285">
        <w:rPr>
          <w:rFonts w:ascii="Calibri" w:hAnsi="Calibri" w:cs="Calibri"/>
          <w:noProof/>
          <w:szCs w:val="24"/>
        </w:rPr>
        <w:tab/>
        <w:t xml:space="preserve">Magidson J, Vermunt JK, Tran B. Using a mixture latent Markov model to analyze longitudinal US employment data involving measurement error. New Trends Psychom. 2009;3(1):235–42. </w:t>
      </w:r>
    </w:p>
    <w:p w14:paraId="6A82F8E2" w14:textId="77777777" w:rsidR="002E4DC7" w:rsidRPr="00EC1285" w:rsidRDefault="002E4DC7" w:rsidP="002E4DC7">
      <w:pPr>
        <w:widowControl w:val="0"/>
        <w:autoSpaceDE w:val="0"/>
        <w:autoSpaceDN w:val="0"/>
        <w:adjustRightInd w:val="0"/>
        <w:spacing w:line="240" w:lineRule="auto"/>
        <w:ind w:left="640" w:hanging="640"/>
        <w:rPr>
          <w:rFonts w:ascii="Calibri" w:hAnsi="Calibri" w:cs="Calibri"/>
          <w:noProof/>
          <w:szCs w:val="24"/>
        </w:rPr>
      </w:pPr>
      <w:r w:rsidRPr="00EC1285">
        <w:rPr>
          <w:rFonts w:ascii="Calibri" w:hAnsi="Calibri" w:cs="Calibri"/>
          <w:noProof/>
          <w:szCs w:val="24"/>
        </w:rPr>
        <w:t xml:space="preserve">2 </w:t>
      </w:r>
      <w:r w:rsidRPr="00EC1285">
        <w:rPr>
          <w:rFonts w:ascii="Calibri" w:hAnsi="Calibri" w:cs="Calibri"/>
          <w:noProof/>
          <w:szCs w:val="24"/>
        </w:rPr>
        <w:tab/>
        <w:t>Vermunt JK, Magidson J. LatentGOLD. 2017</w:t>
      </w:r>
    </w:p>
    <w:p w14:paraId="3D92E6F2" w14:textId="77777777" w:rsidR="002E4DC7" w:rsidRPr="00EC1285" w:rsidRDefault="002E4DC7" w:rsidP="002E4DC7">
      <w:pPr>
        <w:widowControl w:val="0"/>
        <w:autoSpaceDE w:val="0"/>
        <w:autoSpaceDN w:val="0"/>
        <w:adjustRightInd w:val="0"/>
        <w:spacing w:line="240" w:lineRule="auto"/>
        <w:ind w:left="640" w:hanging="640"/>
        <w:rPr>
          <w:rFonts w:ascii="Calibri" w:hAnsi="Calibri" w:cs="Calibri"/>
          <w:noProof/>
          <w:szCs w:val="24"/>
        </w:rPr>
      </w:pPr>
      <w:r w:rsidRPr="00EC1285">
        <w:rPr>
          <w:rFonts w:ascii="Calibri" w:hAnsi="Calibri" w:cs="Calibri"/>
          <w:noProof/>
          <w:szCs w:val="24"/>
        </w:rPr>
        <w:t xml:space="preserve">3 </w:t>
      </w:r>
      <w:r w:rsidRPr="00EC1285">
        <w:rPr>
          <w:rFonts w:ascii="Calibri" w:hAnsi="Calibri" w:cs="Calibri"/>
          <w:noProof/>
          <w:szCs w:val="24"/>
        </w:rPr>
        <w:tab/>
        <w:t xml:space="preserve">Tuithof M, ten Have M, van den Brink W, Vollebergh W, de Graaf R. The Relationship Between Excessive Alcohol Consumption and Alcohol Use Disorders According to DSM-IV and DSM-5. Alcohol Clin Exp Res. 2014;38(1):249–56. </w:t>
      </w:r>
    </w:p>
    <w:p w14:paraId="47B2B186" w14:textId="77777777" w:rsidR="002E4DC7" w:rsidRPr="00EC1285" w:rsidRDefault="002E4DC7" w:rsidP="002E4DC7">
      <w:pPr>
        <w:widowControl w:val="0"/>
        <w:autoSpaceDE w:val="0"/>
        <w:autoSpaceDN w:val="0"/>
        <w:adjustRightInd w:val="0"/>
        <w:spacing w:line="240" w:lineRule="auto"/>
        <w:ind w:left="640" w:hanging="640"/>
        <w:rPr>
          <w:rFonts w:ascii="Calibri" w:hAnsi="Calibri" w:cs="Calibri"/>
          <w:noProof/>
          <w:szCs w:val="24"/>
        </w:rPr>
      </w:pPr>
      <w:r w:rsidRPr="00EC1285">
        <w:rPr>
          <w:rFonts w:ascii="Calibri" w:hAnsi="Calibri" w:cs="Calibri"/>
          <w:noProof/>
          <w:szCs w:val="24"/>
        </w:rPr>
        <w:t xml:space="preserve">4 </w:t>
      </w:r>
      <w:r w:rsidRPr="00EC1285">
        <w:rPr>
          <w:rFonts w:ascii="Calibri" w:hAnsi="Calibri" w:cs="Calibri"/>
          <w:noProof/>
          <w:szCs w:val="24"/>
        </w:rPr>
        <w:tab/>
        <w:t xml:space="preserve">Lee MR, Chassin L, Villalta IK. Maturing out of alcohol involvement: Transitions in latent drinking statuses from late adolescence to adulthood. Dev Psychopathol. 2013;25(4 PART 1):1137–53. </w:t>
      </w:r>
    </w:p>
    <w:p w14:paraId="2D5132D4" w14:textId="77777777" w:rsidR="002E4DC7" w:rsidRPr="00EC1285" w:rsidRDefault="002E4DC7" w:rsidP="002E4DC7">
      <w:pPr>
        <w:widowControl w:val="0"/>
        <w:autoSpaceDE w:val="0"/>
        <w:autoSpaceDN w:val="0"/>
        <w:adjustRightInd w:val="0"/>
        <w:spacing w:line="240" w:lineRule="auto"/>
        <w:ind w:left="640" w:hanging="640"/>
        <w:rPr>
          <w:rFonts w:ascii="Calibri" w:hAnsi="Calibri" w:cs="Calibri"/>
          <w:noProof/>
        </w:rPr>
      </w:pPr>
      <w:r w:rsidRPr="00EC1285">
        <w:rPr>
          <w:rFonts w:ascii="Calibri" w:hAnsi="Calibri" w:cs="Calibri"/>
          <w:noProof/>
          <w:szCs w:val="24"/>
        </w:rPr>
        <w:t xml:space="preserve">5 </w:t>
      </w:r>
      <w:r w:rsidRPr="00EC1285">
        <w:rPr>
          <w:rFonts w:ascii="Calibri" w:hAnsi="Calibri" w:cs="Calibri"/>
          <w:noProof/>
          <w:szCs w:val="24"/>
        </w:rPr>
        <w:tab/>
        <w:t xml:space="preserve">Lanza ST, Collins LM. A new SAS procedure for latent transition analysis: transitions in dating and sexual risk behavior. Dev Psychol. 2008 Mar;44(2):446–56. </w:t>
      </w:r>
    </w:p>
    <w:p w14:paraId="702BE45E" w14:textId="577F0D6E" w:rsidR="00096DAB" w:rsidRPr="00096DAB" w:rsidRDefault="00D65481">
      <w:pPr>
        <w:rPr>
          <w:b/>
          <w:bCs/>
          <w:lang w:val="en-GB"/>
        </w:rPr>
      </w:pPr>
      <w:r w:rsidRPr="00EC1285">
        <w:rPr>
          <w:b/>
          <w:bCs/>
          <w:lang w:val="en-GB"/>
        </w:rPr>
        <w:fldChar w:fldCharType="end"/>
      </w:r>
    </w:p>
    <w:sectPr w:rsidR="00096DAB" w:rsidRPr="00096DAB" w:rsidSect="00EC12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49D"/>
    <w:rsid w:val="00096DAB"/>
    <w:rsid w:val="002C6CCE"/>
    <w:rsid w:val="002E4DC7"/>
    <w:rsid w:val="00623A5E"/>
    <w:rsid w:val="00694B6B"/>
    <w:rsid w:val="0070504B"/>
    <w:rsid w:val="008D3F9E"/>
    <w:rsid w:val="008F582B"/>
    <w:rsid w:val="0095749D"/>
    <w:rsid w:val="009A4C4E"/>
    <w:rsid w:val="00A03FFB"/>
    <w:rsid w:val="00AF79BE"/>
    <w:rsid w:val="00D0516C"/>
    <w:rsid w:val="00D32C2B"/>
    <w:rsid w:val="00D47A8D"/>
    <w:rsid w:val="00D65481"/>
    <w:rsid w:val="00D665EF"/>
    <w:rsid w:val="00DE0290"/>
    <w:rsid w:val="00E81AA3"/>
    <w:rsid w:val="00EC1285"/>
    <w:rsid w:val="00F61D82"/>
    <w:rsid w:val="00F92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BA0C"/>
  <w15:chartTrackingRefBased/>
  <w15:docId w15:val="{AD9DFD58-7AA3-46BA-BF66-92E176D4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74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basedOn w:val="Standaardalinea-lettertype"/>
    <w:uiPriority w:val="99"/>
    <w:semiHidden/>
    <w:unhideWhenUsed/>
    <w:rsid w:val="002E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178D6-D783-4514-9D76-1180F11B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2220</Words>
  <Characters>12213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Marlous Tuithof</dc:creator>
  <cp:keywords/>
  <dc:description/>
  <cp:lastModifiedBy>Marlous Tuithof</cp:lastModifiedBy>
  <cp:revision>3</cp:revision>
  <dcterms:created xsi:type="dcterms:W3CDTF">2022-04-06T07:54:00Z</dcterms:created>
  <dcterms:modified xsi:type="dcterms:W3CDTF">2022-04-06T07:54:00Z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95f5ef81-8c7f-32bb-8b66-5bc90fb6918f</vt:lpwstr>
  </property>
  <property fmtid="{D5CDD505-2E9C-101B-9397-08002B2CF9AE}" pid="4" name="Mendeley Citation Style_1">
    <vt:lpwstr>http://www.zotero.org/styles/european-addiction-research</vt:lpwstr>
  </property>
  <property fmtid="{D5CDD505-2E9C-101B-9397-08002B2CF9AE}" pid="5" name="Mendeley Recent Style Id 0_1">
    <vt:lpwstr>http://www.zotero.org/styles/american-sociological-association</vt:lpwstr>
  </property>
  <property fmtid="{D5CDD505-2E9C-101B-9397-08002B2CF9AE}" pid="6" name="Mendeley Recent Style Name 0_1">
    <vt:lpwstr>American Sociological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http://www.zotero.org/styles/european-addiction-research</vt:lpwstr>
  </property>
  <property fmtid="{D5CDD505-2E9C-101B-9397-08002B2CF9AE}" pid="12" name="Mendeley Recent Style Name 3_1">
    <vt:lpwstr>European Addiction Research</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