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F8CEF" w14:textId="77777777" w:rsidR="00E46C8F" w:rsidRPr="00940DCC" w:rsidRDefault="00E46C8F" w:rsidP="00E46C8F">
      <w:pPr>
        <w:spacing w:after="120" w:line="360" w:lineRule="auto"/>
        <w:rPr>
          <w:rFonts w:cstheme="minorHAnsi"/>
          <w:lang w:val="en-US"/>
        </w:rPr>
      </w:pPr>
      <w:r w:rsidRPr="007D58C4">
        <w:rPr>
          <w:rFonts w:cstheme="minorHAnsi"/>
          <w:lang w:val="en-US"/>
        </w:rPr>
        <w:t>Supplementary Table 1.</w:t>
      </w:r>
      <w:r w:rsidRPr="00940DCC">
        <w:rPr>
          <w:rFonts w:cstheme="minorHAnsi"/>
          <w:b/>
          <w:bCs/>
          <w:lang w:val="en-US"/>
        </w:rPr>
        <w:t xml:space="preserve"> </w:t>
      </w:r>
      <w:r w:rsidRPr="00940DCC">
        <w:rPr>
          <w:rFonts w:cstheme="minorHAnsi"/>
          <w:lang w:val="en-US"/>
        </w:rPr>
        <w:t>Patient demographics and baseline characteristics of patients who underwent MicroShunt implantation (ITT population).</w:t>
      </w:r>
    </w:p>
    <w:tbl>
      <w:tblPr>
        <w:tblStyle w:val="TableGrid"/>
        <w:tblW w:w="9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5272"/>
        <w:gridCol w:w="3758"/>
      </w:tblGrid>
      <w:tr w:rsidR="00E46C8F" w:rsidRPr="00940DCC" w14:paraId="55469863" w14:textId="77777777" w:rsidTr="004B256C">
        <w:trPr>
          <w:trHeight w:val="259"/>
        </w:trPr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36E70B6" w14:textId="77777777" w:rsidR="00E46C8F" w:rsidRPr="00940DCC" w:rsidRDefault="00E46C8F" w:rsidP="004B256C">
            <w:pPr>
              <w:keepNext/>
              <w:spacing w:after="120" w:line="360" w:lineRule="auto"/>
              <w:rPr>
                <w:rFonts w:eastAsia="Times New Roman" w:cstheme="minorHAnsi"/>
                <w:bCs/>
                <w:lang w:val="en-US" w:eastAsia="en-GB"/>
              </w:rPr>
            </w:pPr>
            <w:r w:rsidRPr="00940DCC">
              <w:rPr>
                <w:rFonts w:eastAsia="Times New Roman" w:cstheme="minorHAnsi"/>
                <w:bCs/>
                <w:kern w:val="24"/>
                <w:lang w:val="en-US" w:eastAsia="en-GB"/>
              </w:rPr>
              <w:t>Variable</w:t>
            </w:r>
          </w:p>
        </w:tc>
        <w:tc>
          <w:tcPr>
            <w:tcW w:w="3758" w:type="dxa"/>
            <w:tcBorders>
              <w:top w:val="single" w:sz="4" w:space="0" w:color="auto"/>
              <w:bottom w:val="single" w:sz="4" w:space="0" w:color="auto"/>
            </w:tcBorders>
          </w:tcPr>
          <w:p w14:paraId="5EE6BF52" w14:textId="77777777" w:rsidR="00E46C8F" w:rsidRPr="00940DCC" w:rsidRDefault="00E46C8F" w:rsidP="004B256C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bCs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bCs/>
                <w:kern w:val="24"/>
                <w:lang w:val="en-US" w:eastAsia="en-GB"/>
              </w:rPr>
              <w:t xml:space="preserve">Overall population </w:t>
            </w:r>
            <w:r>
              <w:rPr>
                <w:rFonts w:eastAsia="Times New Roman" w:cstheme="minorHAnsi"/>
                <w:bCs/>
                <w:kern w:val="24"/>
                <w:lang w:val="en-US" w:eastAsia="en-GB"/>
              </w:rPr>
              <w:br/>
            </w:r>
            <w:r w:rsidRPr="00940DCC">
              <w:rPr>
                <w:rFonts w:eastAsia="Times New Roman" w:cstheme="minorHAnsi"/>
                <w:bCs/>
                <w:kern w:val="24"/>
                <w:lang w:val="en-US" w:eastAsia="en-GB"/>
              </w:rPr>
              <w:t>(</w:t>
            </w:r>
            <w:r w:rsidRPr="00940DCC">
              <w:rPr>
                <w:rFonts w:eastAsia="Times New Roman" w:cstheme="minorHAnsi"/>
                <w:bCs/>
                <w:i/>
                <w:kern w:val="24"/>
                <w:lang w:val="en-US" w:eastAsia="en-GB"/>
              </w:rPr>
              <w:t>N</w:t>
            </w:r>
            <w:r w:rsidRPr="00940DCC">
              <w:rPr>
                <w:rFonts w:eastAsia="Times New Roman" w:cstheme="minorHAnsi"/>
                <w:bCs/>
                <w:iCs/>
                <w:kern w:val="24"/>
                <w:lang w:val="en-US" w:eastAsia="en-GB"/>
              </w:rPr>
              <w:t> </w:t>
            </w:r>
            <w:r w:rsidRPr="00940DCC">
              <w:rPr>
                <w:rFonts w:eastAsia="Times New Roman" w:cstheme="minorHAnsi"/>
                <w:bCs/>
                <w:kern w:val="24"/>
                <w:lang w:val="en-US" w:eastAsia="en-GB"/>
              </w:rPr>
              <w:t>= 67)</w:t>
            </w:r>
          </w:p>
        </w:tc>
      </w:tr>
      <w:tr w:rsidR="00E46C8F" w:rsidRPr="00940DCC" w14:paraId="2A14E4CD" w14:textId="77777777" w:rsidTr="004B256C">
        <w:trPr>
          <w:trHeight w:val="256"/>
        </w:trPr>
        <w:tc>
          <w:tcPr>
            <w:tcW w:w="5272" w:type="dxa"/>
            <w:tcBorders>
              <w:top w:val="single" w:sz="4" w:space="0" w:color="auto"/>
            </w:tcBorders>
          </w:tcPr>
          <w:p w14:paraId="1050E183" w14:textId="77777777" w:rsidR="00E46C8F" w:rsidRPr="00940DCC" w:rsidRDefault="00E46C8F" w:rsidP="004B256C">
            <w:pPr>
              <w:keepNext/>
              <w:spacing w:after="120" w:line="360" w:lineRule="auto"/>
              <w:rPr>
                <w:rFonts w:eastAsia="Times New Roman" w:cstheme="minorHAnsi"/>
                <w:vertAlign w:val="superscript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>Mean age ± SD, years</w:t>
            </w:r>
          </w:p>
        </w:tc>
        <w:tc>
          <w:tcPr>
            <w:tcW w:w="3758" w:type="dxa"/>
            <w:tcBorders>
              <w:top w:val="single" w:sz="4" w:space="0" w:color="auto"/>
            </w:tcBorders>
          </w:tcPr>
          <w:p w14:paraId="09E82660" w14:textId="77777777" w:rsidR="00E46C8F" w:rsidRPr="00940DCC" w:rsidRDefault="00E46C8F" w:rsidP="004B256C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>64.1 ± 13.2</w:t>
            </w:r>
          </w:p>
        </w:tc>
      </w:tr>
      <w:tr w:rsidR="00E46C8F" w:rsidRPr="00940DCC" w14:paraId="7CF3E2A5" w14:textId="77777777" w:rsidTr="004B256C">
        <w:trPr>
          <w:trHeight w:val="256"/>
        </w:trPr>
        <w:tc>
          <w:tcPr>
            <w:tcW w:w="5272" w:type="dxa"/>
          </w:tcPr>
          <w:p w14:paraId="7E9A6196" w14:textId="77777777" w:rsidR="00E46C8F" w:rsidRPr="00940DCC" w:rsidRDefault="00E46C8F" w:rsidP="004B256C">
            <w:pPr>
              <w:keepNext/>
              <w:spacing w:after="120" w:line="360" w:lineRule="auto"/>
              <w:rPr>
                <w:rFonts w:eastAsia="Times New Roman" w:cstheme="minorHAnsi"/>
                <w:color w:val="000000"/>
                <w:kern w:val="24"/>
                <w:vertAlign w:val="superscript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 xml:space="preserve">Male, </w:t>
            </w:r>
            <w:r w:rsidRPr="00940DCC">
              <w:rPr>
                <w:rFonts w:eastAsia="Times New Roman" w:cstheme="minorHAnsi"/>
                <w:i/>
                <w:color w:val="000000"/>
                <w:kern w:val="24"/>
                <w:lang w:val="en-US" w:eastAsia="en-GB"/>
              </w:rPr>
              <w:t>n</w:t>
            </w: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 xml:space="preserve"> (%)</w:t>
            </w:r>
          </w:p>
        </w:tc>
        <w:tc>
          <w:tcPr>
            <w:tcW w:w="3758" w:type="dxa"/>
          </w:tcPr>
          <w:p w14:paraId="039EC4E3" w14:textId="77777777" w:rsidR="00E46C8F" w:rsidRPr="00940DCC" w:rsidRDefault="00E46C8F" w:rsidP="004B256C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>39 (58.2)</w:t>
            </w:r>
          </w:p>
        </w:tc>
      </w:tr>
      <w:tr w:rsidR="00E46C8F" w:rsidRPr="00940DCC" w14:paraId="01F705E9" w14:textId="77777777" w:rsidTr="004B256C">
        <w:trPr>
          <w:trHeight w:val="256"/>
        </w:trPr>
        <w:tc>
          <w:tcPr>
            <w:tcW w:w="5272" w:type="dxa"/>
          </w:tcPr>
          <w:p w14:paraId="334ADE43" w14:textId="77777777" w:rsidR="00E46C8F" w:rsidRPr="00940DCC" w:rsidRDefault="00E46C8F" w:rsidP="004B256C">
            <w:pPr>
              <w:keepNext/>
              <w:spacing w:after="120" w:line="360" w:lineRule="auto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 xml:space="preserve">Lens status, </w:t>
            </w:r>
            <w:r w:rsidRPr="00940DCC">
              <w:rPr>
                <w:rFonts w:eastAsia="Times New Roman" w:cstheme="minorHAnsi"/>
                <w:i/>
                <w:color w:val="000000"/>
                <w:kern w:val="24"/>
                <w:lang w:val="en-US" w:eastAsia="en-GB"/>
              </w:rPr>
              <w:t>n</w:t>
            </w: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 xml:space="preserve"> (%)</w:t>
            </w:r>
          </w:p>
        </w:tc>
        <w:tc>
          <w:tcPr>
            <w:tcW w:w="3758" w:type="dxa"/>
          </w:tcPr>
          <w:p w14:paraId="5A3D6FCE" w14:textId="77777777" w:rsidR="00E46C8F" w:rsidRPr="00940DCC" w:rsidRDefault="00E46C8F" w:rsidP="004B256C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</w:p>
        </w:tc>
      </w:tr>
      <w:tr w:rsidR="00E46C8F" w:rsidRPr="00940DCC" w14:paraId="1EC29572" w14:textId="77777777" w:rsidTr="004B256C">
        <w:trPr>
          <w:trHeight w:val="256"/>
        </w:trPr>
        <w:tc>
          <w:tcPr>
            <w:tcW w:w="5272" w:type="dxa"/>
          </w:tcPr>
          <w:p w14:paraId="7CAA6779" w14:textId="77777777" w:rsidR="00E46C8F" w:rsidRPr="00940DCC" w:rsidRDefault="00E46C8F" w:rsidP="004B256C">
            <w:pPr>
              <w:keepNext/>
              <w:spacing w:after="120" w:line="360" w:lineRule="auto"/>
              <w:ind w:firstLine="313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>Phakic</w:t>
            </w:r>
          </w:p>
        </w:tc>
        <w:tc>
          <w:tcPr>
            <w:tcW w:w="3758" w:type="dxa"/>
          </w:tcPr>
          <w:p w14:paraId="30509721" w14:textId="77777777" w:rsidR="00E46C8F" w:rsidRPr="00940DCC" w:rsidRDefault="00E46C8F" w:rsidP="004B256C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>34 (50.7)</w:t>
            </w:r>
          </w:p>
        </w:tc>
      </w:tr>
      <w:tr w:rsidR="00E46C8F" w:rsidRPr="00940DCC" w14:paraId="75E36EB2" w14:textId="77777777" w:rsidTr="004B256C">
        <w:trPr>
          <w:trHeight w:val="256"/>
        </w:trPr>
        <w:tc>
          <w:tcPr>
            <w:tcW w:w="5272" w:type="dxa"/>
          </w:tcPr>
          <w:p w14:paraId="29EC02B1" w14:textId="77777777" w:rsidR="00E46C8F" w:rsidRPr="00940DCC" w:rsidRDefault="00E46C8F" w:rsidP="004B256C">
            <w:pPr>
              <w:keepNext/>
              <w:spacing w:after="120" w:line="360" w:lineRule="auto"/>
              <w:ind w:firstLine="313"/>
              <w:rPr>
                <w:rFonts w:eastAsia="Times New Roman" w:cstheme="minorHAnsi"/>
                <w:kern w:val="24"/>
                <w:lang w:val="en-US" w:eastAsia="en-GB"/>
              </w:rPr>
            </w:pPr>
            <w:proofErr w:type="spellStart"/>
            <w:r w:rsidRPr="00940DCC">
              <w:rPr>
                <w:rFonts w:eastAsia="Times New Roman" w:cstheme="minorHAnsi"/>
                <w:kern w:val="24"/>
                <w:lang w:val="en-US" w:eastAsia="en-GB"/>
              </w:rPr>
              <w:t>Pseudophakic</w:t>
            </w:r>
            <w:proofErr w:type="spellEnd"/>
          </w:p>
        </w:tc>
        <w:tc>
          <w:tcPr>
            <w:tcW w:w="3758" w:type="dxa"/>
          </w:tcPr>
          <w:p w14:paraId="5E3016B1" w14:textId="77777777" w:rsidR="00E46C8F" w:rsidRPr="00940DCC" w:rsidRDefault="00E46C8F" w:rsidP="004B256C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kern w:val="24"/>
                <w:lang w:val="en-US" w:eastAsia="en-GB"/>
              </w:rPr>
              <w:t>33 (49.3)</w:t>
            </w:r>
          </w:p>
        </w:tc>
      </w:tr>
      <w:tr w:rsidR="00E46C8F" w:rsidRPr="00940DCC" w14:paraId="65BA4EFC" w14:textId="77777777" w:rsidTr="004B256C">
        <w:trPr>
          <w:trHeight w:val="256"/>
        </w:trPr>
        <w:tc>
          <w:tcPr>
            <w:tcW w:w="5272" w:type="dxa"/>
          </w:tcPr>
          <w:p w14:paraId="311AA02C" w14:textId="77777777" w:rsidR="00E46C8F" w:rsidRPr="00940DCC" w:rsidRDefault="00E46C8F" w:rsidP="004B256C">
            <w:pPr>
              <w:keepNext/>
              <w:spacing w:after="120" w:line="360" w:lineRule="auto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>Mean IOP ± SD, mmHg</w:t>
            </w:r>
          </w:p>
        </w:tc>
        <w:tc>
          <w:tcPr>
            <w:tcW w:w="3758" w:type="dxa"/>
          </w:tcPr>
          <w:p w14:paraId="657F750D" w14:textId="77777777" w:rsidR="00E46C8F" w:rsidRPr="00940DCC" w:rsidRDefault="00E46C8F" w:rsidP="004B256C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>26.0 ± 6.7</w:t>
            </w:r>
          </w:p>
        </w:tc>
      </w:tr>
      <w:tr w:rsidR="00E46C8F" w:rsidRPr="00940DCC" w14:paraId="4BC33344" w14:textId="77777777" w:rsidTr="004B256C">
        <w:trPr>
          <w:trHeight w:val="256"/>
        </w:trPr>
        <w:tc>
          <w:tcPr>
            <w:tcW w:w="5272" w:type="dxa"/>
          </w:tcPr>
          <w:p w14:paraId="3774FC87" w14:textId="77777777" w:rsidR="00E46C8F" w:rsidRPr="00940DCC" w:rsidRDefault="00E46C8F" w:rsidP="004B256C">
            <w:pPr>
              <w:keepNext/>
              <w:spacing w:after="120" w:line="360" w:lineRule="auto"/>
              <w:ind w:firstLine="313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 xml:space="preserve">IOP ≥18 and ≤21 mmHg, </w:t>
            </w:r>
            <w:r w:rsidRPr="00940DCC">
              <w:rPr>
                <w:rFonts w:eastAsia="Times New Roman" w:cstheme="minorHAnsi"/>
                <w:i/>
                <w:color w:val="000000"/>
                <w:kern w:val="24"/>
                <w:lang w:val="en-US" w:eastAsia="en-GB"/>
              </w:rPr>
              <w:t>n</w:t>
            </w: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 xml:space="preserve"> (%)</w:t>
            </w:r>
          </w:p>
        </w:tc>
        <w:tc>
          <w:tcPr>
            <w:tcW w:w="3758" w:type="dxa"/>
          </w:tcPr>
          <w:p w14:paraId="1E089EDC" w14:textId="77777777" w:rsidR="00E46C8F" w:rsidRPr="00940DCC" w:rsidRDefault="00E46C8F" w:rsidP="004B256C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>20 (29.9)</w:t>
            </w:r>
          </w:p>
        </w:tc>
      </w:tr>
      <w:tr w:rsidR="00E46C8F" w:rsidRPr="00940DCC" w14:paraId="2863DE3F" w14:textId="77777777" w:rsidTr="004B256C">
        <w:trPr>
          <w:trHeight w:val="256"/>
        </w:trPr>
        <w:tc>
          <w:tcPr>
            <w:tcW w:w="5272" w:type="dxa"/>
          </w:tcPr>
          <w:p w14:paraId="1A928D46" w14:textId="77777777" w:rsidR="00E46C8F" w:rsidRPr="00940DCC" w:rsidRDefault="00E46C8F" w:rsidP="004B256C">
            <w:pPr>
              <w:keepNext/>
              <w:spacing w:after="120" w:line="360" w:lineRule="auto"/>
              <w:ind w:firstLine="313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>IOP &gt;21</w:t>
            </w:r>
            <w:r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 xml:space="preserve"> and </w:t>
            </w:r>
            <w:r w:rsidRPr="00940DCC">
              <w:rPr>
                <w:rFonts w:cstheme="minorHAnsi"/>
                <w:bCs/>
                <w:lang w:val="en-US"/>
              </w:rPr>
              <w:t>≤40</w:t>
            </w: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 xml:space="preserve"> mmHg, </w:t>
            </w:r>
            <w:r w:rsidRPr="00940DCC">
              <w:rPr>
                <w:rFonts w:eastAsia="Times New Roman" w:cstheme="minorHAnsi"/>
                <w:i/>
                <w:color w:val="000000"/>
                <w:kern w:val="24"/>
                <w:lang w:val="en-US" w:eastAsia="en-GB"/>
              </w:rPr>
              <w:t>n</w:t>
            </w: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 xml:space="preserve"> (%)</w:t>
            </w:r>
          </w:p>
        </w:tc>
        <w:tc>
          <w:tcPr>
            <w:tcW w:w="3758" w:type="dxa"/>
          </w:tcPr>
          <w:p w14:paraId="03427A8B" w14:textId="77777777" w:rsidR="00E46C8F" w:rsidRPr="00940DCC" w:rsidRDefault="00E46C8F" w:rsidP="004B256C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>46 (68.7)</w:t>
            </w:r>
          </w:p>
        </w:tc>
      </w:tr>
      <w:tr w:rsidR="00E46C8F" w:rsidRPr="00940DCC" w14:paraId="36165952" w14:textId="77777777" w:rsidTr="004B256C">
        <w:trPr>
          <w:trHeight w:val="256"/>
        </w:trPr>
        <w:tc>
          <w:tcPr>
            <w:tcW w:w="5272" w:type="dxa"/>
            <w:shd w:val="clear" w:color="auto" w:fill="auto"/>
          </w:tcPr>
          <w:p w14:paraId="1A51CFC3" w14:textId="77777777" w:rsidR="00E46C8F" w:rsidRPr="00940DCC" w:rsidRDefault="00E46C8F" w:rsidP="004B256C">
            <w:pPr>
              <w:keepNext/>
              <w:spacing w:after="120" w:line="360" w:lineRule="auto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>Median IOP (IQR), mmHg</w:t>
            </w:r>
          </w:p>
        </w:tc>
        <w:tc>
          <w:tcPr>
            <w:tcW w:w="3758" w:type="dxa"/>
            <w:shd w:val="clear" w:color="auto" w:fill="auto"/>
          </w:tcPr>
          <w:p w14:paraId="4F9C3126" w14:textId="77777777" w:rsidR="00E46C8F" w:rsidRPr="00940DCC" w:rsidRDefault="00E46C8F" w:rsidP="004B256C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>25.0 (9.0)</w:t>
            </w:r>
          </w:p>
        </w:tc>
      </w:tr>
      <w:tr w:rsidR="00E46C8F" w:rsidRPr="00940DCC" w14:paraId="438BB0A6" w14:textId="77777777" w:rsidTr="004B256C">
        <w:trPr>
          <w:trHeight w:val="256"/>
        </w:trPr>
        <w:tc>
          <w:tcPr>
            <w:tcW w:w="5272" w:type="dxa"/>
          </w:tcPr>
          <w:p w14:paraId="126D6274" w14:textId="77777777" w:rsidR="00E46C8F" w:rsidRPr="00940DCC" w:rsidRDefault="00E46C8F" w:rsidP="004B256C">
            <w:pPr>
              <w:keepNext/>
              <w:spacing w:after="120" w:line="360" w:lineRule="auto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>Mean number of glaucoma medications ± SD</w:t>
            </w:r>
          </w:p>
        </w:tc>
        <w:tc>
          <w:tcPr>
            <w:tcW w:w="3758" w:type="dxa"/>
          </w:tcPr>
          <w:p w14:paraId="0966B072" w14:textId="77777777" w:rsidR="00E46C8F" w:rsidRPr="00940DCC" w:rsidRDefault="00E46C8F" w:rsidP="004B256C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>2.9 ± 1.2</w:t>
            </w:r>
          </w:p>
        </w:tc>
      </w:tr>
      <w:tr w:rsidR="00E46C8F" w:rsidRPr="00940DCC" w14:paraId="797B81BF" w14:textId="77777777" w:rsidTr="004B256C">
        <w:trPr>
          <w:trHeight w:val="256"/>
        </w:trPr>
        <w:tc>
          <w:tcPr>
            <w:tcW w:w="5272" w:type="dxa"/>
          </w:tcPr>
          <w:p w14:paraId="6104A2B9" w14:textId="77777777" w:rsidR="00E46C8F" w:rsidRPr="00940DCC" w:rsidRDefault="00E46C8F" w:rsidP="004B256C">
            <w:pPr>
              <w:keepNext/>
              <w:spacing w:after="120" w:line="360" w:lineRule="auto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>Median number of glaucoma medications (IQR)</w:t>
            </w:r>
          </w:p>
        </w:tc>
        <w:tc>
          <w:tcPr>
            <w:tcW w:w="3758" w:type="dxa"/>
          </w:tcPr>
          <w:p w14:paraId="09E38BEC" w14:textId="77777777" w:rsidR="00E46C8F" w:rsidRPr="00940DCC" w:rsidRDefault="00E46C8F" w:rsidP="004B256C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 xml:space="preserve">3.0 </w:t>
            </w:r>
            <w:r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>(</w:t>
            </w: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>2.0</w:t>
            </w:r>
            <w:r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>)</w:t>
            </w:r>
          </w:p>
        </w:tc>
      </w:tr>
      <w:tr w:rsidR="00E46C8F" w:rsidRPr="00940DCC" w14:paraId="263DA565" w14:textId="77777777" w:rsidTr="004B256C">
        <w:trPr>
          <w:trHeight w:val="256"/>
        </w:trPr>
        <w:tc>
          <w:tcPr>
            <w:tcW w:w="5272" w:type="dxa"/>
          </w:tcPr>
          <w:p w14:paraId="122D7241" w14:textId="77777777" w:rsidR="00E46C8F" w:rsidRPr="00940DCC" w:rsidRDefault="00E46C8F" w:rsidP="004B256C">
            <w:pPr>
              <w:keepNext/>
              <w:spacing w:after="120" w:line="360" w:lineRule="auto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>Mean VA ± SD, logMAR</w:t>
            </w:r>
          </w:p>
        </w:tc>
        <w:tc>
          <w:tcPr>
            <w:tcW w:w="3758" w:type="dxa"/>
          </w:tcPr>
          <w:p w14:paraId="7484D072" w14:textId="77777777" w:rsidR="00E46C8F" w:rsidRPr="00940DCC" w:rsidRDefault="00E46C8F" w:rsidP="004B256C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>0.31 ± 0.64</w:t>
            </w:r>
          </w:p>
        </w:tc>
      </w:tr>
      <w:tr w:rsidR="00E46C8F" w:rsidRPr="00940DCC" w14:paraId="1E19F715" w14:textId="77777777" w:rsidTr="004B256C">
        <w:trPr>
          <w:trHeight w:val="256"/>
        </w:trPr>
        <w:tc>
          <w:tcPr>
            <w:tcW w:w="5272" w:type="dxa"/>
            <w:tcBorders>
              <w:bottom w:val="single" w:sz="4" w:space="0" w:color="auto"/>
            </w:tcBorders>
          </w:tcPr>
          <w:p w14:paraId="25FED076" w14:textId="77777777" w:rsidR="00E46C8F" w:rsidRPr="00940DCC" w:rsidRDefault="00E46C8F" w:rsidP="004B256C">
            <w:pPr>
              <w:keepNext/>
              <w:spacing w:after="120" w:line="360" w:lineRule="auto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>Median VA (IQR), logMAR</w:t>
            </w:r>
          </w:p>
        </w:tc>
        <w:tc>
          <w:tcPr>
            <w:tcW w:w="3758" w:type="dxa"/>
            <w:tcBorders>
              <w:bottom w:val="single" w:sz="4" w:space="0" w:color="auto"/>
            </w:tcBorders>
          </w:tcPr>
          <w:p w14:paraId="3B8FFE42" w14:textId="77777777" w:rsidR="00E46C8F" w:rsidRPr="00940DCC" w:rsidRDefault="00E46C8F" w:rsidP="004B256C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>0.10 (0.30)</w:t>
            </w:r>
          </w:p>
        </w:tc>
      </w:tr>
    </w:tbl>
    <w:p w14:paraId="65289095" w14:textId="77777777" w:rsidR="00E46C8F" w:rsidRPr="00940DCC" w:rsidRDefault="00E46C8F" w:rsidP="00E46C8F">
      <w:pPr>
        <w:spacing w:after="120" w:line="360" w:lineRule="auto"/>
        <w:rPr>
          <w:rFonts w:cstheme="minorHAnsi"/>
          <w:bCs/>
          <w:lang w:val="en-US"/>
        </w:rPr>
      </w:pPr>
      <w:r w:rsidRPr="00940DCC">
        <w:rPr>
          <w:rFonts w:cstheme="minorHAnsi"/>
          <w:bCs/>
          <w:lang w:val="en-US"/>
        </w:rPr>
        <w:t>IOP, intraocular pressure; IQR, interquartile range; ITT, intention-to-treat; SD, standard deviation; VA, visual acuity.</w:t>
      </w:r>
    </w:p>
    <w:p w14:paraId="081EA7BA" w14:textId="77777777" w:rsidR="00222251" w:rsidRDefault="00222251"/>
    <w:sectPr w:rsidR="00222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C8F"/>
    <w:rsid w:val="0015196E"/>
    <w:rsid w:val="00222251"/>
    <w:rsid w:val="00E46C8F"/>
    <w:rsid w:val="00FB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9B835"/>
  <w15:chartTrackingRefBased/>
  <w15:docId w15:val="{BB82D5D0-F539-4C90-BDE2-50635E194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C8F"/>
    <w:rPr>
      <w:rFonts w:eastAsia="SimSu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ueemphasis">
    <w:name w:val="Blue emphasis"/>
    <w:next w:val="NoSpacing"/>
    <w:link w:val="BlueemphasisChar"/>
    <w:qFormat/>
    <w:rsid w:val="0015196E"/>
    <w:pPr>
      <w:spacing w:after="0" w:line="240" w:lineRule="auto"/>
    </w:pPr>
    <w:rPr>
      <w:rFonts w:ascii="Arial" w:hAnsi="Arial" w:cs="Arial"/>
      <w:b/>
      <w:color w:val="8496B0" w:themeColor="text2" w:themeTint="99"/>
    </w:rPr>
  </w:style>
  <w:style w:type="character" w:customStyle="1" w:styleId="BlueemphasisChar">
    <w:name w:val="Blue emphasis Char"/>
    <w:basedOn w:val="DefaultParagraphFont"/>
    <w:link w:val="Blueemphasis"/>
    <w:rsid w:val="0015196E"/>
    <w:rPr>
      <w:rFonts w:ascii="Arial" w:hAnsi="Arial" w:cs="Arial"/>
      <w:b/>
      <w:color w:val="8496B0" w:themeColor="text2" w:themeTint="99"/>
    </w:rPr>
  </w:style>
  <w:style w:type="paragraph" w:styleId="NoSpacing">
    <w:name w:val="No Spacing"/>
    <w:uiPriority w:val="1"/>
    <w:qFormat/>
    <w:rsid w:val="0015196E"/>
    <w:pPr>
      <w:spacing w:after="0" w:line="240" w:lineRule="auto"/>
    </w:pPr>
  </w:style>
  <w:style w:type="table" w:styleId="TableGrid">
    <w:name w:val="Table Grid"/>
    <w:basedOn w:val="TableNormal"/>
    <w:rsid w:val="00E46C8F"/>
    <w:pPr>
      <w:spacing w:after="0" w:line="240" w:lineRule="auto"/>
    </w:pPr>
    <w:rPr>
      <w:rFonts w:eastAsia="SimSun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Brigham</dc:creator>
  <cp:keywords/>
  <dc:description/>
  <cp:lastModifiedBy>Elizabeth Brigham</cp:lastModifiedBy>
  <cp:revision>1</cp:revision>
  <dcterms:created xsi:type="dcterms:W3CDTF">2022-05-20T15:14:00Z</dcterms:created>
  <dcterms:modified xsi:type="dcterms:W3CDTF">2022-05-20T15:15:00Z</dcterms:modified>
</cp:coreProperties>
</file>