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4936" w14:textId="77777777" w:rsidR="00C37D75" w:rsidRPr="00940DCC" w:rsidRDefault="00C37D75" w:rsidP="00C37D75">
      <w:pPr>
        <w:spacing w:after="120" w:line="360" w:lineRule="auto"/>
        <w:rPr>
          <w:rFonts w:cstheme="minorHAnsi"/>
          <w:bCs/>
          <w:vertAlign w:val="superscript"/>
          <w:lang w:val="en-US"/>
        </w:rPr>
      </w:pPr>
      <w:r w:rsidRPr="007D58C4">
        <w:rPr>
          <w:rFonts w:cstheme="minorHAnsi"/>
          <w:lang w:val="en-US"/>
        </w:rPr>
        <w:t>Supplementary Table 3.</w:t>
      </w:r>
      <w:r w:rsidRPr="00940DCC">
        <w:rPr>
          <w:rFonts w:cstheme="minorHAnsi"/>
          <w:b/>
          <w:bCs/>
          <w:lang w:val="en-US"/>
        </w:rPr>
        <w:t xml:space="preserve"> </w:t>
      </w:r>
      <w:r w:rsidRPr="00940DCC">
        <w:rPr>
          <w:rFonts w:cstheme="minorHAnsi"/>
          <w:bCs/>
          <w:lang w:val="en-US"/>
        </w:rPr>
        <w:t xml:space="preserve">Summary of the most common (reported in ≥3% of patients) procedure- </w:t>
      </w:r>
      <w:r>
        <w:rPr>
          <w:rFonts w:cstheme="minorHAnsi"/>
          <w:bCs/>
          <w:lang w:val="en-US"/>
        </w:rPr>
        <w:t>and/</w:t>
      </w:r>
      <w:r w:rsidRPr="00940DCC">
        <w:rPr>
          <w:rFonts w:cstheme="minorHAnsi"/>
          <w:bCs/>
          <w:lang w:val="en-US"/>
        </w:rPr>
        <w:t xml:space="preserve">or device-related </w:t>
      </w:r>
      <w:r>
        <w:rPr>
          <w:rFonts w:cstheme="minorHAnsi"/>
          <w:bCs/>
          <w:lang w:val="en-US"/>
        </w:rPr>
        <w:t xml:space="preserve">non-serious </w:t>
      </w:r>
      <w:r w:rsidRPr="00940DCC">
        <w:rPr>
          <w:rFonts w:cstheme="minorHAnsi"/>
          <w:bCs/>
          <w:lang w:val="en-US"/>
        </w:rPr>
        <w:t>AEs and all SAEs in the study eye over 2 years of follow-up (ITT population).</w:t>
      </w: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5"/>
        <w:gridCol w:w="3676"/>
      </w:tblGrid>
      <w:tr w:rsidR="00C37D75" w:rsidRPr="00940DCC" w14:paraId="41D39D0C" w14:textId="77777777" w:rsidTr="004D3114">
        <w:trPr>
          <w:cantSplit/>
          <w:trHeight w:val="862"/>
          <w:tblHeader/>
        </w:trPr>
        <w:tc>
          <w:tcPr>
            <w:tcW w:w="5255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1EFD8CDD" w14:textId="77777777" w:rsidR="00C37D75" w:rsidRPr="00940DCC" w:rsidRDefault="00C37D75" w:rsidP="004D3114">
            <w:pPr>
              <w:keepNext/>
              <w:adjustRightInd w:val="0"/>
              <w:spacing w:after="120" w:line="360" w:lineRule="auto"/>
              <w:rPr>
                <w:rFonts w:cstheme="minorHAnsi"/>
                <w:b/>
                <w:bCs/>
                <w:color w:val="000000"/>
                <w:lang w:val="en-US"/>
              </w:rPr>
            </w:pPr>
            <w:r w:rsidRPr="00940DCC">
              <w:rPr>
                <w:rFonts w:cstheme="minorHAnsi"/>
                <w:lang w:val="en-US"/>
              </w:rPr>
              <w:br w:type="page"/>
            </w:r>
          </w:p>
        </w:tc>
        <w:tc>
          <w:tcPr>
            <w:tcW w:w="3676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14:paraId="0011B183" w14:textId="77777777" w:rsidR="00C37D75" w:rsidRPr="00940DCC" w:rsidRDefault="00C37D75" w:rsidP="004D3114">
            <w:pPr>
              <w:keepNext/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 xml:space="preserve">ITT population </w:t>
            </w:r>
            <w:r w:rsidRPr="00940DCC">
              <w:rPr>
                <w:rFonts w:cstheme="minorHAnsi"/>
                <w:color w:val="000000"/>
                <w:lang w:val="en-US"/>
              </w:rPr>
              <w:br/>
              <w:t>(</w:t>
            </w:r>
            <w:r w:rsidRPr="00940DCC">
              <w:rPr>
                <w:rFonts w:cstheme="minorHAnsi"/>
                <w:i/>
                <w:color w:val="000000"/>
                <w:lang w:val="en-US"/>
              </w:rPr>
              <w:t>N</w:t>
            </w:r>
            <w:r w:rsidRPr="00940DCC">
              <w:rPr>
                <w:rFonts w:cstheme="minorHAnsi"/>
                <w:iCs/>
                <w:color w:val="000000"/>
                <w:lang w:val="en-US"/>
              </w:rPr>
              <w:t xml:space="preserve"> </w:t>
            </w:r>
            <w:r w:rsidRPr="00940DCC">
              <w:rPr>
                <w:rFonts w:cstheme="minorHAnsi"/>
                <w:color w:val="000000"/>
                <w:lang w:val="en-US"/>
              </w:rPr>
              <w:t>= 67)</w:t>
            </w:r>
          </w:p>
        </w:tc>
      </w:tr>
      <w:tr w:rsidR="00C37D75" w:rsidRPr="00940DCC" w14:paraId="7B01D8CE" w14:textId="77777777" w:rsidTr="004D3114">
        <w:trPr>
          <w:cantSplit/>
          <w:trHeight w:val="340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3CA083" w14:textId="77777777" w:rsidR="00C37D75" w:rsidRPr="00940DCC" w:rsidRDefault="00C37D75" w:rsidP="004D3114">
            <w:pPr>
              <w:adjustRightInd w:val="0"/>
              <w:spacing w:after="120" w:line="360" w:lineRule="auto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 xml:space="preserve">Non-serious </w:t>
            </w:r>
            <w:r w:rsidRPr="00940DCC">
              <w:rPr>
                <w:rFonts w:cstheme="minorHAnsi"/>
                <w:color w:val="000000"/>
                <w:lang w:val="en-US"/>
              </w:rPr>
              <w:t xml:space="preserve">AE, </w:t>
            </w:r>
            <w:r w:rsidRPr="00940DCC">
              <w:rPr>
                <w:rFonts w:cstheme="minorHAnsi"/>
                <w:i/>
                <w:iCs/>
                <w:color w:val="000000"/>
                <w:lang w:val="en-US"/>
              </w:rPr>
              <w:t xml:space="preserve">n </w:t>
            </w:r>
            <w:r w:rsidRPr="00940DCC">
              <w:rPr>
                <w:rFonts w:cstheme="minorHAnsi"/>
                <w:color w:val="000000"/>
                <w:lang w:val="en-US"/>
              </w:rPr>
              <w:t>(%)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E6B030" w14:textId="77777777" w:rsidR="00C37D75" w:rsidRPr="00940DCC" w:rsidRDefault="00C37D75" w:rsidP="004D3114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C37D75" w:rsidRPr="00940DCC" w14:paraId="4BF13E75" w14:textId="77777777" w:rsidTr="004D3114">
        <w:trPr>
          <w:cantSplit/>
          <w:trHeight w:val="340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E75FF5" w14:textId="77777777" w:rsidR="00C37D75" w:rsidRPr="00940DCC" w:rsidRDefault="00C37D75" w:rsidP="004D3114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 xml:space="preserve">Investigator-reported increased </w:t>
            </w:r>
            <w:proofErr w:type="spellStart"/>
            <w:r w:rsidRPr="00940DCC">
              <w:rPr>
                <w:rFonts w:cstheme="minorHAnsi"/>
                <w:bCs/>
                <w:lang w:val="en-US"/>
              </w:rPr>
              <w:t>IOP</w:t>
            </w:r>
            <w:r w:rsidRPr="00940DCC">
              <w:rPr>
                <w:rFonts w:cstheme="minorHAnsi"/>
                <w:bCs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58FD11" w14:textId="77777777" w:rsidR="00C37D75" w:rsidRPr="00940DCC" w:rsidRDefault="00C37D75" w:rsidP="004D3114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vertAlign w:val="superscript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20 (29.9)</w:t>
            </w:r>
          </w:p>
        </w:tc>
      </w:tr>
      <w:tr w:rsidR="00C37D75" w:rsidRPr="00940DCC" w14:paraId="4F09A9DE" w14:textId="77777777" w:rsidTr="004D3114">
        <w:trPr>
          <w:cantSplit/>
          <w:trHeight w:val="339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F5DAB6" w14:textId="77777777" w:rsidR="00C37D75" w:rsidRPr="00940DCC" w:rsidRDefault="00C37D75" w:rsidP="004D3114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proofErr w:type="spellStart"/>
            <w:r w:rsidRPr="00940DCC">
              <w:rPr>
                <w:rFonts w:cstheme="minorHAnsi"/>
                <w:bCs/>
                <w:lang w:val="en-US"/>
              </w:rPr>
              <w:t>Hyphema</w:t>
            </w:r>
            <w:proofErr w:type="spellEnd"/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D4212D" w14:textId="77777777" w:rsidR="00C37D75" w:rsidRPr="00940DCC" w:rsidRDefault="00C37D75" w:rsidP="004D3114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17 (25.4)</w:t>
            </w:r>
          </w:p>
        </w:tc>
      </w:tr>
      <w:tr w:rsidR="00C37D75" w:rsidRPr="00940DCC" w14:paraId="67633A8D" w14:textId="77777777" w:rsidTr="004D3114">
        <w:trPr>
          <w:cantSplit/>
          <w:trHeight w:val="348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C68C08" w14:textId="77777777" w:rsidR="00C37D75" w:rsidRPr="00940DCC" w:rsidRDefault="00C37D75" w:rsidP="004D3114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>Transient hypotony (IOP &lt;6 mmHg at any time)</w:t>
            </w:r>
            <w:r w:rsidRPr="00940DCC">
              <w:rPr>
                <w:rFonts w:cstheme="minorHAnsi"/>
                <w:bCs/>
                <w:vertAlign w:val="superscript"/>
                <w:lang w:val="en-US"/>
              </w:rPr>
              <w:t>b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F6D557" w14:textId="77777777" w:rsidR="00C37D75" w:rsidRPr="00940DCC" w:rsidRDefault="00C37D75" w:rsidP="004D3114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12 (17.9)</w:t>
            </w:r>
          </w:p>
        </w:tc>
      </w:tr>
      <w:tr w:rsidR="00C37D75" w:rsidRPr="00940DCC" w14:paraId="7733470F" w14:textId="77777777" w:rsidTr="004D3114">
        <w:trPr>
          <w:cantSplit/>
          <w:trHeight w:val="339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CA2C28" w14:textId="77777777" w:rsidR="00C37D75" w:rsidRPr="00940DCC" w:rsidRDefault="00C37D75" w:rsidP="004D3114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proofErr w:type="spellStart"/>
            <w:r w:rsidRPr="00940DCC">
              <w:rPr>
                <w:rFonts w:cstheme="minorHAnsi"/>
                <w:bCs/>
                <w:lang w:val="en-US"/>
              </w:rPr>
              <w:t>Keratitis</w:t>
            </w:r>
            <w:r w:rsidRPr="00940DCC">
              <w:rPr>
                <w:rFonts w:cstheme="minorHAnsi"/>
                <w:bCs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B0CDAD1" w14:textId="77777777" w:rsidR="00C37D75" w:rsidRPr="00940DCC" w:rsidRDefault="00C37D75" w:rsidP="004D3114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8 (11.9)</w:t>
            </w:r>
          </w:p>
        </w:tc>
      </w:tr>
      <w:tr w:rsidR="00C37D75" w:rsidRPr="00940DCC" w14:paraId="5CAB22DC" w14:textId="77777777" w:rsidTr="004D3114">
        <w:trPr>
          <w:cantSplit/>
          <w:trHeight w:val="339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3A0111" w14:textId="77777777" w:rsidR="00C37D75" w:rsidRPr="00940DCC" w:rsidRDefault="00C37D75" w:rsidP="004D3114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>Corneal ulcer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478AF9" w14:textId="77777777" w:rsidR="00C37D75" w:rsidRPr="00940DCC" w:rsidRDefault="00C37D75" w:rsidP="004D3114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4 (6.0)</w:t>
            </w:r>
          </w:p>
        </w:tc>
      </w:tr>
      <w:tr w:rsidR="00C37D75" w:rsidRPr="00940DCC" w14:paraId="4BEBD8F4" w14:textId="77777777" w:rsidTr="004D3114">
        <w:trPr>
          <w:cantSplit/>
          <w:trHeight w:val="339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C6538CD" w14:textId="77777777" w:rsidR="00C37D75" w:rsidRPr="00940DCC" w:rsidRDefault="00C37D75" w:rsidP="004D3114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>Drug allergy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40D302" w14:textId="77777777" w:rsidR="00C37D75" w:rsidRPr="00940DCC" w:rsidRDefault="00C37D75" w:rsidP="004D3114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4 (6.0)</w:t>
            </w:r>
          </w:p>
        </w:tc>
      </w:tr>
      <w:tr w:rsidR="00C37D75" w:rsidRPr="00940DCC" w14:paraId="3A342641" w14:textId="77777777" w:rsidTr="004D3114">
        <w:trPr>
          <w:cantSplit/>
          <w:trHeight w:val="339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EEF1B1" w14:textId="77777777" w:rsidR="00C37D75" w:rsidRPr="00940DCC" w:rsidRDefault="00C37D75" w:rsidP="004D3114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>Tube touching iris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BAE01A" w14:textId="77777777" w:rsidR="00C37D75" w:rsidRPr="00940DCC" w:rsidRDefault="00C37D75" w:rsidP="004D3114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3 (4.5)</w:t>
            </w:r>
          </w:p>
        </w:tc>
      </w:tr>
      <w:tr w:rsidR="00C37D75" w:rsidRPr="00940DCC" w14:paraId="19870309" w14:textId="77777777" w:rsidTr="004D3114">
        <w:trPr>
          <w:cantSplit/>
          <w:trHeight w:val="339"/>
        </w:trPr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AC5929" w14:textId="77777777" w:rsidR="00C37D75" w:rsidRPr="00940DCC" w:rsidRDefault="00C37D75" w:rsidP="004D3114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>Conjunctival hemorrhage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E57A05" w14:textId="77777777" w:rsidR="00C37D75" w:rsidRPr="00940DCC" w:rsidRDefault="00C37D75" w:rsidP="004D3114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2 (3.0)</w:t>
            </w:r>
          </w:p>
        </w:tc>
      </w:tr>
      <w:tr w:rsidR="00C37D75" w:rsidRPr="00940DCC" w14:paraId="5E64D538" w14:textId="77777777" w:rsidTr="004D3114">
        <w:trPr>
          <w:cantSplit/>
          <w:trHeight w:val="339"/>
        </w:trPr>
        <w:tc>
          <w:tcPr>
            <w:tcW w:w="525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6B8C355A" w14:textId="77777777" w:rsidR="00C37D75" w:rsidRPr="00940DCC" w:rsidRDefault="00C37D75" w:rsidP="004D3114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 xml:space="preserve">Macular edema </w:t>
            </w:r>
          </w:p>
        </w:tc>
        <w:tc>
          <w:tcPr>
            <w:tcW w:w="3676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CE7A9AA" w14:textId="77777777" w:rsidR="00C37D75" w:rsidRPr="00940DCC" w:rsidRDefault="00C37D75" w:rsidP="004D3114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2 (3.0)</w:t>
            </w:r>
          </w:p>
        </w:tc>
      </w:tr>
      <w:tr w:rsidR="00C37D75" w:rsidRPr="00940DCC" w14:paraId="0A9D75F0" w14:textId="77777777" w:rsidTr="004D3114">
        <w:trPr>
          <w:cantSplit/>
          <w:trHeight w:val="339"/>
        </w:trPr>
        <w:tc>
          <w:tcPr>
            <w:tcW w:w="525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D54A5ED" w14:textId="77777777" w:rsidR="00C37D75" w:rsidRPr="00940DCC" w:rsidRDefault="00C37D75" w:rsidP="004D3114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>Ocular irritation</w:t>
            </w:r>
          </w:p>
        </w:tc>
        <w:tc>
          <w:tcPr>
            <w:tcW w:w="3676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36E541C" w14:textId="77777777" w:rsidR="00C37D75" w:rsidRPr="00940DCC" w:rsidRDefault="00C37D75" w:rsidP="004D3114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2 (3.0)</w:t>
            </w:r>
          </w:p>
        </w:tc>
      </w:tr>
      <w:tr w:rsidR="00C37D75" w:rsidRPr="00940DCC" w14:paraId="7E7F5D18" w14:textId="77777777" w:rsidTr="004D3114">
        <w:trPr>
          <w:cantSplit/>
          <w:trHeight w:val="339"/>
        </w:trPr>
        <w:tc>
          <w:tcPr>
            <w:tcW w:w="525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5C241C4" w14:textId="77777777" w:rsidR="00C37D75" w:rsidRPr="00940DCC" w:rsidRDefault="00C37D75" w:rsidP="004D3114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 xml:space="preserve">Retinal </w:t>
            </w:r>
            <w:proofErr w:type="spellStart"/>
            <w:r w:rsidRPr="00940DCC">
              <w:rPr>
                <w:rFonts w:cstheme="minorHAnsi"/>
                <w:bCs/>
                <w:lang w:val="en-US"/>
              </w:rPr>
              <w:t>complication</w:t>
            </w:r>
            <w:r w:rsidRPr="00940DCC">
              <w:rPr>
                <w:rFonts w:cstheme="minorHAnsi"/>
                <w:bCs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3676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1861E448" w14:textId="77777777" w:rsidR="00C37D75" w:rsidRPr="00940DCC" w:rsidRDefault="00C37D75" w:rsidP="004D3114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2 (3.0)</w:t>
            </w:r>
          </w:p>
        </w:tc>
      </w:tr>
      <w:tr w:rsidR="00C37D75" w:rsidRPr="00940DCC" w14:paraId="1F9532BC" w14:textId="77777777" w:rsidTr="004D3114">
        <w:trPr>
          <w:cantSplit/>
          <w:trHeight w:val="339"/>
        </w:trPr>
        <w:tc>
          <w:tcPr>
            <w:tcW w:w="5255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72351BC" w14:textId="77777777" w:rsidR="00C37D75" w:rsidRPr="00940DCC" w:rsidRDefault="00C37D75" w:rsidP="004D3114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>Suture bleed/suture complication</w:t>
            </w:r>
          </w:p>
        </w:tc>
        <w:tc>
          <w:tcPr>
            <w:tcW w:w="3676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103886B" w14:textId="77777777" w:rsidR="00C37D75" w:rsidRPr="00940DCC" w:rsidRDefault="00C37D75" w:rsidP="004D3114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2 (3.0)</w:t>
            </w:r>
          </w:p>
        </w:tc>
      </w:tr>
      <w:tr w:rsidR="00C37D75" w:rsidRPr="00940DCC" w14:paraId="1313A046" w14:textId="77777777" w:rsidTr="004D3114">
        <w:trPr>
          <w:cantSplit/>
          <w:trHeight w:val="339"/>
        </w:trPr>
        <w:tc>
          <w:tcPr>
            <w:tcW w:w="525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9C8232D" w14:textId="77777777" w:rsidR="00C37D75" w:rsidRPr="00940DCC" w:rsidRDefault="00C37D75" w:rsidP="004D3114">
            <w:pPr>
              <w:adjustRightInd w:val="0"/>
              <w:spacing w:after="120" w:line="360" w:lineRule="auto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 xml:space="preserve">SAE, </w:t>
            </w:r>
            <w:r w:rsidRPr="00940DCC">
              <w:rPr>
                <w:rFonts w:cstheme="minorHAnsi"/>
                <w:i/>
                <w:iCs/>
                <w:color w:val="000000"/>
                <w:lang w:val="en-US"/>
              </w:rPr>
              <w:t>n</w:t>
            </w:r>
            <w:r w:rsidRPr="00940DCC">
              <w:rPr>
                <w:rFonts w:cstheme="minorHAnsi"/>
                <w:color w:val="000000"/>
                <w:lang w:val="en-US"/>
              </w:rPr>
              <w:t xml:space="preserve"> (%)</w:t>
            </w:r>
          </w:p>
        </w:tc>
        <w:tc>
          <w:tcPr>
            <w:tcW w:w="367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DFA36C2" w14:textId="77777777" w:rsidR="00C37D75" w:rsidRPr="00940DCC" w:rsidRDefault="00C37D75" w:rsidP="004D3114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</w:p>
        </w:tc>
      </w:tr>
      <w:tr w:rsidR="00C37D75" w:rsidRPr="00940DCC" w14:paraId="0CB902BF" w14:textId="77777777" w:rsidTr="004D3114">
        <w:trPr>
          <w:cantSplit/>
          <w:trHeight w:val="339"/>
        </w:trPr>
        <w:tc>
          <w:tcPr>
            <w:tcW w:w="525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72F85134" w14:textId="77777777" w:rsidR="00C37D75" w:rsidRPr="00940DCC" w:rsidRDefault="00C37D75" w:rsidP="004D3114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>Bleb leak</w:t>
            </w:r>
          </w:p>
        </w:tc>
        <w:tc>
          <w:tcPr>
            <w:tcW w:w="367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B502570" w14:textId="77777777" w:rsidR="00C37D75" w:rsidRPr="00940DCC" w:rsidRDefault="00C37D75" w:rsidP="004D3114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1 (1.5)</w:t>
            </w:r>
          </w:p>
        </w:tc>
      </w:tr>
      <w:tr w:rsidR="00C37D75" w:rsidRPr="00940DCC" w14:paraId="368AE7D1" w14:textId="77777777" w:rsidTr="004D3114">
        <w:trPr>
          <w:cantSplit/>
          <w:trHeight w:val="339"/>
        </w:trPr>
        <w:tc>
          <w:tcPr>
            <w:tcW w:w="525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0AB10AF" w14:textId="77777777" w:rsidR="00C37D75" w:rsidRPr="00940DCC" w:rsidRDefault="00C37D75" w:rsidP="004D3114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>Implant migration</w:t>
            </w:r>
          </w:p>
        </w:tc>
        <w:tc>
          <w:tcPr>
            <w:tcW w:w="3676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ABE55D" w14:textId="77777777" w:rsidR="00C37D75" w:rsidRPr="00940DCC" w:rsidRDefault="00C37D75" w:rsidP="004D3114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1 (1.5)</w:t>
            </w:r>
          </w:p>
        </w:tc>
      </w:tr>
      <w:tr w:rsidR="00C37D75" w:rsidRPr="00940DCC" w14:paraId="50BE7DD4" w14:textId="77777777" w:rsidTr="004D3114">
        <w:trPr>
          <w:cantSplit/>
          <w:trHeight w:val="339"/>
        </w:trPr>
        <w:tc>
          <w:tcPr>
            <w:tcW w:w="525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EC1E43" w14:textId="77777777" w:rsidR="00C37D75" w:rsidRPr="00940DCC" w:rsidRDefault="00C37D75" w:rsidP="004D3114">
            <w:pPr>
              <w:tabs>
                <w:tab w:val="left" w:pos="6237"/>
              </w:tabs>
              <w:spacing w:after="120" w:line="360" w:lineRule="auto"/>
              <w:ind w:left="321"/>
              <w:rPr>
                <w:rFonts w:cstheme="minorHAnsi"/>
                <w:bCs/>
                <w:lang w:val="en-US"/>
              </w:rPr>
            </w:pPr>
            <w:r w:rsidRPr="00940DCC">
              <w:rPr>
                <w:rFonts w:cstheme="minorHAnsi"/>
                <w:bCs/>
                <w:lang w:val="en-US"/>
              </w:rPr>
              <w:t xml:space="preserve">Investigator-reported increased </w:t>
            </w:r>
            <w:proofErr w:type="spellStart"/>
            <w:r w:rsidRPr="00940DCC">
              <w:rPr>
                <w:rFonts w:cstheme="minorHAnsi"/>
                <w:bCs/>
                <w:lang w:val="en-US"/>
              </w:rPr>
              <w:t>IOP</w:t>
            </w:r>
            <w:r w:rsidRPr="00940DCC">
              <w:rPr>
                <w:rFonts w:cstheme="minorHAnsi"/>
                <w:bCs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367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51A1F1" w14:textId="77777777" w:rsidR="00C37D75" w:rsidRPr="00940DCC" w:rsidRDefault="00C37D75" w:rsidP="004D3114">
            <w:pPr>
              <w:adjustRightInd w:val="0"/>
              <w:spacing w:after="120" w:line="360" w:lineRule="auto"/>
              <w:jc w:val="center"/>
              <w:rPr>
                <w:rFonts w:cstheme="minorHAnsi"/>
                <w:color w:val="000000"/>
                <w:lang w:val="en-US"/>
              </w:rPr>
            </w:pPr>
            <w:r w:rsidRPr="00940DCC">
              <w:rPr>
                <w:rFonts w:cstheme="minorHAnsi"/>
                <w:color w:val="000000"/>
                <w:lang w:val="en-US"/>
              </w:rPr>
              <w:t>1 (1.5)</w:t>
            </w:r>
          </w:p>
        </w:tc>
      </w:tr>
    </w:tbl>
    <w:p w14:paraId="3CF45C45" w14:textId="36EE21B5" w:rsidR="00222251" w:rsidRDefault="00C37D75">
      <w:proofErr w:type="spellStart"/>
      <w:r w:rsidRPr="00940DCC">
        <w:rPr>
          <w:rFonts w:cstheme="minorHAnsi"/>
          <w:bCs/>
          <w:vertAlign w:val="superscript"/>
          <w:lang w:val="en-US"/>
        </w:rPr>
        <w:t>a</w:t>
      </w:r>
      <w:r w:rsidRPr="00940DCC">
        <w:rPr>
          <w:rFonts w:cstheme="minorHAnsi"/>
          <w:bCs/>
          <w:lang w:val="en-US"/>
        </w:rPr>
        <w:t>Following</w:t>
      </w:r>
      <w:proofErr w:type="spellEnd"/>
      <w:r w:rsidRPr="00940DCC">
        <w:rPr>
          <w:rFonts w:cstheme="minorHAnsi"/>
          <w:bCs/>
          <w:lang w:val="en-US"/>
        </w:rPr>
        <w:t xml:space="preserve"> the event of non-serious increased IOP, 7 patients required postoperative needling, 6 patients received medication, 5 patients received medication/needling, 3 patients required no intervention, 1 patient required postsurgical MMC injection of bleb area, and 1 patient underwent surgical procedure/needling. </w:t>
      </w:r>
      <w:proofErr w:type="spellStart"/>
      <w:r w:rsidRPr="00940DCC">
        <w:rPr>
          <w:rFonts w:cstheme="minorHAnsi"/>
          <w:bCs/>
          <w:vertAlign w:val="superscript"/>
          <w:lang w:val="en-US"/>
        </w:rPr>
        <w:t>b</w:t>
      </w:r>
      <w:r w:rsidRPr="00940DCC">
        <w:rPr>
          <w:rFonts w:cstheme="minorHAnsi"/>
          <w:bCs/>
          <w:lang w:val="en-US"/>
        </w:rPr>
        <w:t>Cases</w:t>
      </w:r>
      <w:proofErr w:type="spellEnd"/>
      <w:r w:rsidRPr="00940DCC">
        <w:rPr>
          <w:rFonts w:cstheme="minorHAnsi"/>
          <w:bCs/>
          <w:lang w:val="en-US"/>
        </w:rPr>
        <w:t xml:space="preserve"> of hypotony resolved after 15.8 ± 11.2 days. </w:t>
      </w:r>
      <w:proofErr w:type="spellStart"/>
      <w:r w:rsidRPr="00940DCC">
        <w:rPr>
          <w:rFonts w:cstheme="minorHAnsi"/>
          <w:bCs/>
          <w:vertAlign w:val="superscript"/>
          <w:lang w:val="en-US"/>
        </w:rPr>
        <w:t>c</w:t>
      </w:r>
      <w:r w:rsidRPr="00940DCC">
        <w:rPr>
          <w:rFonts w:cstheme="minorHAnsi"/>
          <w:bCs/>
          <w:lang w:val="en-US"/>
        </w:rPr>
        <w:t>Defined</w:t>
      </w:r>
      <w:proofErr w:type="spellEnd"/>
      <w:r w:rsidRPr="00940DCC">
        <w:rPr>
          <w:rFonts w:cstheme="minorHAnsi"/>
          <w:bCs/>
          <w:lang w:val="en-US"/>
        </w:rPr>
        <w:t xml:space="preserve"> as small defects in the corneal epithelium. </w:t>
      </w:r>
      <w:proofErr w:type="spellStart"/>
      <w:r w:rsidRPr="00940DCC">
        <w:rPr>
          <w:rFonts w:cstheme="minorHAnsi"/>
          <w:bCs/>
          <w:vertAlign w:val="superscript"/>
          <w:lang w:val="en-US"/>
        </w:rPr>
        <w:t>d</w:t>
      </w:r>
      <w:r w:rsidRPr="00940DCC">
        <w:rPr>
          <w:rFonts w:cstheme="minorHAnsi"/>
          <w:bCs/>
          <w:lang w:val="en-US"/>
        </w:rPr>
        <w:t>Dialysis</w:t>
      </w:r>
      <w:proofErr w:type="spellEnd"/>
      <w:r w:rsidRPr="00940DCC">
        <w:rPr>
          <w:rFonts w:cstheme="minorHAnsi"/>
          <w:bCs/>
          <w:lang w:val="en-US"/>
        </w:rPr>
        <w:t xml:space="preserve">, flap tears, detachment, decompression, or proliferative retinopathy. </w:t>
      </w:r>
      <w:proofErr w:type="spellStart"/>
      <w:r w:rsidRPr="00940DCC">
        <w:rPr>
          <w:rFonts w:cstheme="minorHAnsi"/>
          <w:bCs/>
          <w:vertAlign w:val="superscript"/>
          <w:lang w:val="en-US"/>
        </w:rPr>
        <w:t>e</w:t>
      </w:r>
      <w:r w:rsidRPr="00940DCC">
        <w:rPr>
          <w:rFonts w:cstheme="minorHAnsi"/>
          <w:bCs/>
          <w:lang w:val="en-US"/>
        </w:rPr>
        <w:t>Following</w:t>
      </w:r>
      <w:proofErr w:type="spellEnd"/>
      <w:r w:rsidRPr="00940DCC">
        <w:rPr>
          <w:rFonts w:cstheme="minorHAnsi"/>
          <w:bCs/>
          <w:lang w:val="en-US"/>
        </w:rPr>
        <w:t xml:space="preserve"> the event of serious increased IOP, 1 patient underwent surgical procedure. AE, </w:t>
      </w:r>
      <w:r w:rsidRPr="00940DCC">
        <w:rPr>
          <w:rFonts w:cstheme="minorHAnsi"/>
          <w:bCs/>
          <w:lang w:val="en-US"/>
        </w:rPr>
        <w:lastRenderedPageBreak/>
        <w:t>adverse event; IOP, intraocular pressure; ITT, intention-to-treat; MMC, Mitomycin C; SAE, serious adverse event.</w:t>
      </w:r>
    </w:p>
    <w:sectPr w:rsidR="00222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75"/>
    <w:rsid w:val="0015196E"/>
    <w:rsid w:val="00222251"/>
    <w:rsid w:val="00C37D75"/>
    <w:rsid w:val="00FB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1E49D"/>
  <w15:chartTrackingRefBased/>
  <w15:docId w15:val="{C49D6281-A6ED-491D-B98E-84803309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D75"/>
    <w:rPr>
      <w:rFonts w:eastAsia="SimSu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ueemphasis">
    <w:name w:val="Blue emphasis"/>
    <w:next w:val="NoSpacing"/>
    <w:link w:val="BlueemphasisChar"/>
    <w:qFormat/>
    <w:rsid w:val="0015196E"/>
    <w:pPr>
      <w:spacing w:after="0" w:line="240" w:lineRule="auto"/>
    </w:pPr>
    <w:rPr>
      <w:rFonts w:ascii="Arial" w:hAnsi="Arial" w:cs="Arial"/>
      <w:b/>
      <w:color w:val="8496B0" w:themeColor="text2" w:themeTint="99"/>
    </w:rPr>
  </w:style>
  <w:style w:type="character" w:customStyle="1" w:styleId="BlueemphasisChar">
    <w:name w:val="Blue emphasis Char"/>
    <w:basedOn w:val="DefaultParagraphFont"/>
    <w:link w:val="Blueemphasis"/>
    <w:rsid w:val="0015196E"/>
    <w:rPr>
      <w:rFonts w:ascii="Arial" w:hAnsi="Arial" w:cs="Arial"/>
      <w:b/>
      <w:color w:val="8496B0" w:themeColor="text2" w:themeTint="99"/>
    </w:rPr>
  </w:style>
  <w:style w:type="paragraph" w:styleId="NoSpacing">
    <w:name w:val="No Spacing"/>
    <w:uiPriority w:val="1"/>
    <w:qFormat/>
    <w:rsid w:val="00151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Brigham</dc:creator>
  <cp:keywords/>
  <dc:description/>
  <cp:lastModifiedBy>Elizabeth Brigham</cp:lastModifiedBy>
  <cp:revision>1</cp:revision>
  <dcterms:created xsi:type="dcterms:W3CDTF">2022-05-20T18:04:00Z</dcterms:created>
  <dcterms:modified xsi:type="dcterms:W3CDTF">2022-05-20T18:05:00Z</dcterms:modified>
</cp:coreProperties>
</file>