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9007" w14:textId="535250D0" w:rsidR="001B1F12" w:rsidRPr="00940DCC" w:rsidRDefault="001B1F12" w:rsidP="001B1F12">
      <w:pPr>
        <w:spacing w:after="120" w:line="360" w:lineRule="auto"/>
        <w:rPr>
          <w:rFonts w:cstheme="minorHAnsi"/>
          <w:lang w:val="en-US"/>
        </w:rPr>
      </w:pPr>
      <w:r w:rsidRPr="007D58C4">
        <w:rPr>
          <w:rFonts w:cstheme="minorHAnsi"/>
          <w:lang w:val="en-US"/>
        </w:rPr>
        <w:t>Supplementary Table 4.</w:t>
      </w:r>
      <w:r w:rsidRPr="00940DCC">
        <w:rPr>
          <w:rFonts w:cstheme="minorHAnsi"/>
          <w:b/>
          <w:bCs/>
          <w:lang w:val="en-US"/>
        </w:rPr>
        <w:t xml:space="preserve"> </w:t>
      </w:r>
      <w:r w:rsidRPr="00940DCC">
        <w:rPr>
          <w:rFonts w:cstheme="minorHAnsi"/>
          <w:lang w:val="en-US"/>
        </w:rPr>
        <w:t xml:space="preserve">MMC placement </w:t>
      </w:r>
      <w:proofErr w:type="spellStart"/>
      <w:r w:rsidRPr="00940DCC">
        <w:rPr>
          <w:rFonts w:cstheme="minorHAnsi"/>
          <w:lang w:val="en-US"/>
        </w:rPr>
        <w:t>subanalysis</w:t>
      </w:r>
      <w:proofErr w:type="spellEnd"/>
      <w:r w:rsidRPr="00940DCC">
        <w:rPr>
          <w:rFonts w:cstheme="minorHAnsi"/>
          <w:lang w:val="en-US"/>
        </w:rPr>
        <w:t xml:space="preserve">: </w:t>
      </w:r>
      <w:r>
        <w:rPr>
          <w:rFonts w:cstheme="minorHAnsi"/>
          <w:lang w:val="en-US"/>
        </w:rPr>
        <w:t>P</w:t>
      </w:r>
      <w:r w:rsidRPr="00940DCC">
        <w:rPr>
          <w:rFonts w:cstheme="minorHAnsi"/>
          <w:lang w:val="en-US"/>
        </w:rPr>
        <w:t xml:space="preserve">atient demographics and baseline characteristics of patients who underwent MicroShunt implantation (PP population).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3860"/>
        <w:gridCol w:w="2750"/>
        <w:gridCol w:w="2750"/>
      </w:tblGrid>
      <w:tr w:rsidR="001B1F12" w:rsidRPr="00940DCC" w14:paraId="297F9F76" w14:textId="77777777" w:rsidTr="004B256C">
        <w:trPr>
          <w:trHeight w:val="259"/>
        </w:trPr>
        <w:tc>
          <w:tcPr>
            <w:tcW w:w="20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E1145E" w14:textId="77777777" w:rsidR="001B1F12" w:rsidRPr="00940DCC" w:rsidRDefault="001B1F12" w:rsidP="004B256C">
            <w:pPr>
              <w:keepNext/>
              <w:spacing w:after="120" w:line="360" w:lineRule="auto"/>
              <w:rPr>
                <w:rFonts w:eastAsia="Times New Roman" w:cstheme="minorHAnsi"/>
                <w:bCs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Variable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14:paraId="48D719FD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bCs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 xml:space="preserve">Group 1 </w:t>
            </w:r>
            <w:r>
              <w:rPr>
                <w:rFonts w:eastAsia="Times New Roman" w:cstheme="minorHAnsi"/>
                <w:bCs/>
                <w:kern w:val="24"/>
                <w:lang w:val="en-US" w:eastAsia="en-GB"/>
              </w:rPr>
              <w:br/>
            </w: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(</w:t>
            </w:r>
            <w:r w:rsidRPr="00940DCC">
              <w:rPr>
                <w:rFonts w:eastAsia="Times New Roman" w:cstheme="minorHAnsi"/>
                <w:bCs/>
                <w:i/>
                <w:iCs/>
                <w:kern w:val="24"/>
                <w:lang w:val="en-US" w:eastAsia="en-GB"/>
              </w:rPr>
              <w:t xml:space="preserve">n </w:t>
            </w: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= 36)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14:paraId="7F0CCF74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bCs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 xml:space="preserve">Group 2 </w:t>
            </w:r>
            <w:r>
              <w:rPr>
                <w:rFonts w:eastAsia="Times New Roman" w:cstheme="minorHAnsi"/>
                <w:bCs/>
                <w:kern w:val="24"/>
                <w:lang w:val="en-US" w:eastAsia="en-GB"/>
              </w:rPr>
              <w:br/>
            </w: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(</w:t>
            </w:r>
            <w:r w:rsidRPr="00940DCC">
              <w:rPr>
                <w:rFonts w:eastAsia="Times New Roman" w:cstheme="minorHAnsi"/>
                <w:bCs/>
                <w:i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bCs/>
                <w:iCs/>
                <w:kern w:val="24"/>
                <w:lang w:val="en-US" w:eastAsia="en-GB"/>
              </w:rPr>
              <w:t xml:space="preserve"> </w:t>
            </w: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= 25)</w:t>
            </w:r>
          </w:p>
        </w:tc>
      </w:tr>
      <w:tr w:rsidR="001B1F12" w:rsidRPr="00940DCC" w14:paraId="72FDD6C2" w14:textId="77777777" w:rsidTr="004B256C">
        <w:trPr>
          <w:trHeight w:val="256"/>
        </w:trPr>
        <w:tc>
          <w:tcPr>
            <w:tcW w:w="2062" w:type="pct"/>
            <w:tcBorders>
              <w:top w:val="single" w:sz="4" w:space="0" w:color="auto"/>
            </w:tcBorders>
          </w:tcPr>
          <w:p w14:paraId="20153155" w14:textId="77777777" w:rsidR="001B1F12" w:rsidRPr="00940DCC" w:rsidRDefault="001B1F12" w:rsidP="004B256C">
            <w:pPr>
              <w:keepNext/>
              <w:spacing w:after="120" w:line="360" w:lineRule="auto"/>
              <w:rPr>
                <w:rFonts w:eastAsia="Times New Roman" w:cstheme="minorHAnsi"/>
                <w:vertAlign w:val="superscript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Mean age ± SD, years</w:t>
            </w:r>
          </w:p>
        </w:tc>
        <w:tc>
          <w:tcPr>
            <w:tcW w:w="1469" w:type="pct"/>
            <w:tcBorders>
              <w:top w:val="single" w:sz="4" w:space="0" w:color="auto"/>
            </w:tcBorders>
          </w:tcPr>
          <w:p w14:paraId="68125DF2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61.7 ± 14.1</w:t>
            </w:r>
          </w:p>
        </w:tc>
        <w:tc>
          <w:tcPr>
            <w:tcW w:w="1469" w:type="pct"/>
            <w:tcBorders>
              <w:top w:val="single" w:sz="4" w:space="0" w:color="auto"/>
            </w:tcBorders>
          </w:tcPr>
          <w:p w14:paraId="23AB057A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67.5 ± 11.6</w:t>
            </w:r>
          </w:p>
        </w:tc>
      </w:tr>
      <w:tr w:rsidR="001B1F12" w:rsidRPr="00940DCC" w14:paraId="1E44E337" w14:textId="77777777" w:rsidTr="004B256C">
        <w:trPr>
          <w:trHeight w:val="256"/>
        </w:trPr>
        <w:tc>
          <w:tcPr>
            <w:tcW w:w="2062" w:type="pct"/>
          </w:tcPr>
          <w:p w14:paraId="0F24CE96" w14:textId="77777777" w:rsidR="001B1F12" w:rsidRPr="00940DCC" w:rsidRDefault="001B1F12" w:rsidP="004B256C">
            <w:pPr>
              <w:keepNext/>
              <w:spacing w:after="120" w:line="360" w:lineRule="auto"/>
              <w:rPr>
                <w:rFonts w:eastAsia="Times New Roman" w:cstheme="minorHAnsi"/>
                <w:color w:val="000000"/>
                <w:kern w:val="24"/>
                <w:vertAlign w:val="superscript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Male, </w:t>
            </w:r>
            <w:r w:rsidRPr="00940DCC">
              <w:rPr>
                <w:rFonts w:eastAsia="Times New Roman" w:cstheme="minorHAnsi"/>
                <w:i/>
                <w:color w:val="000000"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 (%)</w:t>
            </w:r>
          </w:p>
        </w:tc>
        <w:tc>
          <w:tcPr>
            <w:tcW w:w="1469" w:type="pct"/>
          </w:tcPr>
          <w:p w14:paraId="1215F895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20 (55.6)</w:t>
            </w:r>
          </w:p>
        </w:tc>
        <w:tc>
          <w:tcPr>
            <w:tcW w:w="1469" w:type="pct"/>
          </w:tcPr>
          <w:p w14:paraId="6FEE266C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15 (60.0)</w:t>
            </w:r>
          </w:p>
        </w:tc>
      </w:tr>
      <w:tr w:rsidR="001B1F12" w:rsidRPr="00940DCC" w14:paraId="72052430" w14:textId="77777777" w:rsidTr="004B256C">
        <w:trPr>
          <w:trHeight w:val="256"/>
        </w:trPr>
        <w:tc>
          <w:tcPr>
            <w:tcW w:w="2062" w:type="pct"/>
          </w:tcPr>
          <w:p w14:paraId="53CD70B3" w14:textId="77777777" w:rsidR="001B1F12" w:rsidRPr="00940DCC" w:rsidRDefault="001B1F12" w:rsidP="004B256C">
            <w:pPr>
              <w:keepNext/>
              <w:spacing w:after="120" w:line="360" w:lineRule="auto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Lens status, </w:t>
            </w:r>
            <w:r w:rsidRPr="00940DCC">
              <w:rPr>
                <w:rFonts w:eastAsia="Times New Roman" w:cstheme="minorHAnsi"/>
                <w:i/>
                <w:color w:val="000000"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 (%)</w:t>
            </w:r>
          </w:p>
        </w:tc>
        <w:tc>
          <w:tcPr>
            <w:tcW w:w="1469" w:type="pct"/>
          </w:tcPr>
          <w:p w14:paraId="0B6953F4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</w:p>
        </w:tc>
        <w:tc>
          <w:tcPr>
            <w:tcW w:w="1469" w:type="pct"/>
          </w:tcPr>
          <w:p w14:paraId="62C671B5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</w:p>
        </w:tc>
      </w:tr>
      <w:tr w:rsidR="001B1F12" w:rsidRPr="00940DCC" w14:paraId="43889170" w14:textId="77777777" w:rsidTr="004B256C">
        <w:trPr>
          <w:trHeight w:val="256"/>
        </w:trPr>
        <w:tc>
          <w:tcPr>
            <w:tcW w:w="2062" w:type="pct"/>
          </w:tcPr>
          <w:p w14:paraId="4A4A33CE" w14:textId="77777777" w:rsidR="001B1F12" w:rsidRPr="00940DCC" w:rsidRDefault="001B1F12" w:rsidP="004B256C">
            <w:pPr>
              <w:keepNext/>
              <w:spacing w:after="120" w:line="360" w:lineRule="auto"/>
              <w:ind w:firstLine="313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Phakic</w:t>
            </w:r>
          </w:p>
        </w:tc>
        <w:tc>
          <w:tcPr>
            <w:tcW w:w="1469" w:type="pct"/>
          </w:tcPr>
          <w:p w14:paraId="1BB2551B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18 (50.0)</w:t>
            </w:r>
          </w:p>
        </w:tc>
        <w:tc>
          <w:tcPr>
            <w:tcW w:w="1469" w:type="pct"/>
          </w:tcPr>
          <w:p w14:paraId="2377BC89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15 (60.0)</w:t>
            </w:r>
          </w:p>
        </w:tc>
      </w:tr>
      <w:tr w:rsidR="001B1F12" w:rsidRPr="00940DCC" w14:paraId="26077C51" w14:textId="77777777" w:rsidTr="004B256C">
        <w:trPr>
          <w:trHeight w:val="256"/>
        </w:trPr>
        <w:tc>
          <w:tcPr>
            <w:tcW w:w="2062" w:type="pct"/>
          </w:tcPr>
          <w:p w14:paraId="69403BF8" w14:textId="77777777" w:rsidR="001B1F12" w:rsidRPr="00940DCC" w:rsidRDefault="001B1F12" w:rsidP="004B256C">
            <w:pPr>
              <w:keepNext/>
              <w:spacing w:after="120" w:line="360" w:lineRule="auto"/>
              <w:ind w:firstLine="313"/>
              <w:rPr>
                <w:rFonts w:eastAsia="Times New Roman" w:cstheme="minorHAnsi"/>
                <w:kern w:val="24"/>
                <w:lang w:val="en-US" w:eastAsia="en-GB"/>
              </w:rPr>
            </w:pPr>
            <w:proofErr w:type="spellStart"/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Pseudophakic</w:t>
            </w:r>
            <w:proofErr w:type="spellEnd"/>
          </w:p>
        </w:tc>
        <w:tc>
          <w:tcPr>
            <w:tcW w:w="1469" w:type="pct"/>
          </w:tcPr>
          <w:p w14:paraId="60498178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18 (50.0)</w:t>
            </w:r>
          </w:p>
        </w:tc>
        <w:tc>
          <w:tcPr>
            <w:tcW w:w="1469" w:type="pct"/>
          </w:tcPr>
          <w:p w14:paraId="7EF8B367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10 (40.0)</w:t>
            </w:r>
          </w:p>
        </w:tc>
      </w:tr>
      <w:tr w:rsidR="001B1F12" w:rsidRPr="00940DCC" w14:paraId="33925FC1" w14:textId="77777777" w:rsidTr="004B256C">
        <w:trPr>
          <w:trHeight w:val="256"/>
        </w:trPr>
        <w:tc>
          <w:tcPr>
            <w:tcW w:w="2062" w:type="pct"/>
          </w:tcPr>
          <w:p w14:paraId="0838F9AF" w14:textId="77777777" w:rsidR="001B1F12" w:rsidRPr="00940DCC" w:rsidRDefault="001B1F12" w:rsidP="004B256C">
            <w:pPr>
              <w:keepNext/>
              <w:spacing w:after="120" w:line="360" w:lineRule="auto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Mean IOP ± SD, mmHg</w:t>
            </w:r>
          </w:p>
        </w:tc>
        <w:tc>
          <w:tcPr>
            <w:tcW w:w="1469" w:type="pct"/>
          </w:tcPr>
          <w:p w14:paraId="0CCF6247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26.1 ± 6.5</w:t>
            </w:r>
          </w:p>
        </w:tc>
        <w:tc>
          <w:tcPr>
            <w:tcW w:w="1469" w:type="pct"/>
          </w:tcPr>
          <w:p w14:paraId="0AF9FE03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25.0 ± 5.5</w:t>
            </w:r>
          </w:p>
        </w:tc>
      </w:tr>
      <w:tr w:rsidR="001B1F12" w:rsidRPr="00940DCC" w14:paraId="29BD6BFB" w14:textId="77777777" w:rsidTr="004B256C">
        <w:trPr>
          <w:trHeight w:val="256"/>
        </w:trPr>
        <w:tc>
          <w:tcPr>
            <w:tcW w:w="2062" w:type="pct"/>
          </w:tcPr>
          <w:p w14:paraId="11703E77" w14:textId="77777777" w:rsidR="001B1F12" w:rsidRPr="00940DCC" w:rsidRDefault="001B1F12" w:rsidP="004B256C">
            <w:pPr>
              <w:keepNext/>
              <w:spacing w:after="120" w:line="360" w:lineRule="auto"/>
              <w:ind w:firstLine="313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IOP ≥18 and ≤21 mmHg, </w:t>
            </w:r>
            <w:r w:rsidRPr="00940DCC">
              <w:rPr>
                <w:rFonts w:eastAsia="Times New Roman" w:cstheme="minorHAnsi"/>
                <w:i/>
                <w:color w:val="000000"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 (%)</w:t>
            </w:r>
          </w:p>
        </w:tc>
        <w:tc>
          <w:tcPr>
            <w:tcW w:w="1469" w:type="pct"/>
          </w:tcPr>
          <w:p w14:paraId="1A191C6C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11 (30.6)</w:t>
            </w:r>
          </w:p>
        </w:tc>
        <w:tc>
          <w:tcPr>
            <w:tcW w:w="1469" w:type="pct"/>
          </w:tcPr>
          <w:p w14:paraId="50640FC2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8 (32.0)</w:t>
            </w:r>
          </w:p>
        </w:tc>
      </w:tr>
      <w:tr w:rsidR="001B1F12" w:rsidRPr="00940DCC" w14:paraId="7016E42F" w14:textId="77777777" w:rsidTr="004B256C">
        <w:trPr>
          <w:trHeight w:val="256"/>
        </w:trPr>
        <w:tc>
          <w:tcPr>
            <w:tcW w:w="2062" w:type="pct"/>
          </w:tcPr>
          <w:p w14:paraId="62E4423D" w14:textId="77777777" w:rsidR="001B1F12" w:rsidRPr="00940DCC" w:rsidRDefault="001B1F12" w:rsidP="004B256C">
            <w:pPr>
              <w:keepNext/>
              <w:spacing w:after="120" w:line="360" w:lineRule="auto"/>
              <w:ind w:firstLine="313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IOP &gt;21 mmHg, </w:t>
            </w:r>
            <w:r w:rsidRPr="00940DCC">
              <w:rPr>
                <w:rFonts w:eastAsia="Times New Roman" w:cstheme="minorHAnsi"/>
                <w:i/>
                <w:color w:val="000000"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 (%)</w:t>
            </w:r>
          </w:p>
        </w:tc>
        <w:tc>
          <w:tcPr>
            <w:tcW w:w="1469" w:type="pct"/>
          </w:tcPr>
          <w:p w14:paraId="69CE17FE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25 (69.4)</w:t>
            </w:r>
          </w:p>
        </w:tc>
        <w:tc>
          <w:tcPr>
            <w:tcW w:w="1469" w:type="pct"/>
          </w:tcPr>
          <w:p w14:paraId="227B5274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17 (68.0)</w:t>
            </w:r>
          </w:p>
        </w:tc>
      </w:tr>
      <w:tr w:rsidR="001B1F12" w:rsidRPr="00940DCC" w14:paraId="6C532C3D" w14:textId="77777777" w:rsidTr="004B256C">
        <w:trPr>
          <w:trHeight w:val="256"/>
        </w:trPr>
        <w:tc>
          <w:tcPr>
            <w:tcW w:w="2062" w:type="pct"/>
          </w:tcPr>
          <w:p w14:paraId="393CDA2F" w14:textId="77777777" w:rsidR="001B1F12" w:rsidRPr="00940DCC" w:rsidRDefault="001B1F12" w:rsidP="004B256C">
            <w:pPr>
              <w:keepNext/>
              <w:spacing w:after="120" w:line="360" w:lineRule="auto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Mean number of glaucoma medications ± SD</w:t>
            </w:r>
          </w:p>
        </w:tc>
        <w:tc>
          <w:tcPr>
            <w:tcW w:w="1469" w:type="pct"/>
          </w:tcPr>
          <w:p w14:paraId="6E8B0155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3.1 ± 1.0</w:t>
            </w:r>
          </w:p>
        </w:tc>
        <w:tc>
          <w:tcPr>
            <w:tcW w:w="1469" w:type="pct"/>
          </w:tcPr>
          <w:p w14:paraId="65BF05EC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2.6 ± 1.3</w:t>
            </w:r>
          </w:p>
        </w:tc>
      </w:tr>
      <w:tr w:rsidR="001B1F12" w:rsidRPr="00940DCC" w14:paraId="4C0EBB48" w14:textId="77777777" w:rsidTr="004B256C">
        <w:trPr>
          <w:trHeight w:val="256"/>
        </w:trPr>
        <w:tc>
          <w:tcPr>
            <w:tcW w:w="2062" w:type="pct"/>
            <w:tcBorders>
              <w:bottom w:val="single" w:sz="4" w:space="0" w:color="auto"/>
            </w:tcBorders>
          </w:tcPr>
          <w:p w14:paraId="4DD50384" w14:textId="77777777" w:rsidR="001B1F12" w:rsidRPr="00940DCC" w:rsidRDefault="001B1F12" w:rsidP="004B256C">
            <w:pPr>
              <w:keepNext/>
              <w:spacing w:after="120" w:line="360" w:lineRule="auto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Mean VA ± SD, logMAR</w:t>
            </w:r>
          </w:p>
        </w:tc>
        <w:tc>
          <w:tcPr>
            <w:tcW w:w="1469" w:type="pct"/>
            <w:tcBorders>
              <w:bottom w:val="single" w:sz="4" w:space="0" w:color="auto"/>
            </w:tcBorders>
          </w:tcPr>
          <w:p w14:paraId="7FF4B365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0.35 ± 0.70</w:t>
            </w:r>
          </w:p>
        </w:tc>
        <w:tc>
          <w:tcPr>
            <w:tcW w:w="1469" w:type="pct"/>
            <w:tcBorders>
              <w:bottom w:val="single" w:sz="4" w:space="0" w:color="auto"/>
            </w:tcBorders>
          </w:tcPr>
          <w:p w14:paraId="69931EBA" w14:textId="77777777" w:rsidR="001B1F12" w:rsidRPr="00940DCC" w:rsidRDefault="001B1F12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0.18 ± 0.24</w:t>
            </w:r>
          </w:p>
        </w:tc>
      </w:tr>
    </w:tbl>
    <w:p w14:paraId="6C33A0B4" w14:textId="77777777" w:rsidR="001B1F12" w:rsidRDefault="001B1F12" w:rsidP="001B1F12">
      <w:pPr>
        <w:spacing w:after="120" w:line="36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Group 1 was defined as the first 36 patients to undergo MicroShunt implantation, and Group 2 as the following 25 patients to receive MicroShunt.</w:t>
      </w:r>
    </w:p>
    <w:p w14:paraId="1FB46FA4" w14:textId="66F85B2F" w:rsidR="00222251" w:rsidRDefault="001B1F12" w:rsidP="001B1F12">
      <w:pPr>
        <w:spacing w:after="120" w:line="360" w:lineRule="auto"/>
      </w:pPr>
      <w:r w:rsidRPr="00940DCC">
        <w:rPr>
          <w:rFonts w:cstheme="minorHAnsi"/>
          <w:bCs/>
          <w:lang w:val="en-US"/>
        </w:rPr>
        <w:t>IOP, intraocular pressure; MMC, Mitomycin C; PP, per-protocol; SD, standard deviation; VA, visual acuity.</w:t>
      </w:r>
    </w:p>
    <w:sectPr w:rsidR="0022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12"/>
    <w:rsid w:val="0015196E"/>
    <w:rsid w:val="001B1F12"/>
    <w:rsid w:val="00222251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022C"/>
  <w15:chartTrackingRefBased/>
  <w15:docId w15:val="{47CE1DE6-188D-483F-9779-62E2A65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12"/>
    <w:rPr>
      <w:rFonts w:eastAsia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emphasis">
    <w:name w:val="Blue emphasis"/>
    <w:next w:val="NoSpacing"/>
    <w:link w:val="BlueemphasisChar"/>
    <w:qFormat/>
    <w:rsid w:val="0015196E"/>
    <w:pPr>
      <w:spacing w:after="0" w:line="240" w:lineRule="auto"/>
    </w:pPr>
    <w:rPr>
      <w:rFonts w:ascii="Arial" w:hAnsi="Arial" w:cs="Arial"/>
      <w:b/>
      <w:color w:val="8496B0" w:themeColor="text2" w:themeTint="99"/>
    </w:rPr>
  </w:style>
  <w:style w:type="character" w:customStyle="1" w:styleId="BlueemphasisChar">
    <w:name w:val="Blue emphasis Char"/>
    <w:basedOn w:val="DefaultParagraphFont"/>
    <w:link w:val="Blueemphasis"/>
    <w:rsid w:val="0015196E"/>
    <w:rPr>
      <w:rFonts w:ascii="Arial" w:hAnsi="Arial" w:cs="Arial"/>
      <w:b/>
      <w:color w:val="8496B0" w:themeColor="text2" w:themeTint="99"/>
    </w:rPr>
  </w:style>
  <w:style w:type="paragraph" w:styleId="NoSpacing">
    <w:name w:val="No Spacing"/>
    <w:uiPriority w:val="1"/>
    <w:qFormat/>
    <w:rsid w:val="0015196E"/>
    <w:pPr>
      <w:spacing w:after="0" w:line="240" w:lineRule="auto"/>
    </w:pPr>
  </w:style>
  <w:style w:type="table" w:styleId="TableGrid">
    <w:name w:val="Table Grid"/>
    <w:basedOn w:val="TableNormal"/>
    <w:rsid w:val="001B1F12"/>
    <w:pPr>
      <w:spacing w:after="0" w:line="240" w:lineRule="auto"/>
    </w:pPr>
    <w:rPr>
      <w:rFonts w:eastAsia="SimSun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Brigham</dc:creator>
  <cp:keywords/>
  <dc:description/>
  <cp:lastModifiedBy>Elizabeth Brigham</cp:lastModifiedBy>
  <cp:revision>1</cp:revision>
  <dcterms:created xsi:type="dcterms:W3CDTF">2022-05-20T15:15:00Z</dcterms:created>
  <dcterms:modified xsi:type="dcterms:W3CDTF">2022-05-20T15:18:00Z</dcterms:modified>
</cp:coreProperties>
</file>