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B394" w14:textId="30383B84" w:rsidR="00267A9C" w:rsidRPr="00940DCC" w:rsidRDefault="00267A9C" w:rsidP="00267A9C">
      <w:pPr>
        <w:keepNext/>
        <w:tabs>
          <w:tab w:val="left" w:pos="6237"/>
        </w:tabs>
        <w:spacing w:after="120" w:line="360" w:lineRule="auto"/>
        <w:rPr>
          <w:rFonts w:cstheme="minorHAnsi"/>
          <w:bCs/>
          <w:lang w:val="en-US"/>
        </w:rPr>
      </w:pPr>
      <w:r w:rsidRPr="007D58C4">
        <w:rPr>
          <w:rFonts w:cstheme="minorHAnsi"/>
          <w:lang w:val="en-US"/>
        </w:rPr>
        <w:t xml:space="preserve">Supplementary Table </w:t>
      </w:r>
      <w:r>
        <w:rPr>
          <w:rFonts w:cstheme="minorHAnsi"/>
          <w:lang w:val="en-US"/>
        </w:rPr>
        <w:t>6</w:t>
      </w:r>
      <w:r w:rsidRPr="007D58C4">
        <w:rPr>
          <w:rFonts w:cstheme="minorHAnsi"/>
          <w:lang w:val="en-US"/>
        </w:rPr>
        <w:t>.</w:t>
      </w:r>
      <w:r w:rsidRPr="00940DCC">
        <w:rPr>
          <w:rFonts w:cstheme="minorHAnsi"/>
          <w:b/>
          <w:bCs/>
          <w:lang w:val="en-US"/>
        </w:rPr>
        <w:t xml:space="preserve"> </w:t>
      </w:r>
      <w:r w:rsidRPr="00940DCC">
        <w:rPr>
          <w:rFonts w:cstheme="minorHAnsi"/>
          <w:lang w:val="en-US"/>
        </w:rPr>
        <w:t xml:space="preserve">MMC placement </w:t>
      </w:r>
      <w:proofErr w:type="spellStart"/>
      <w:r w:rsidRPr="00940DCC">
        <w:rPr>
          <w:rFonts w:cstheme="minorHAnsi"/>
          <w:lang w:val="en-US"/>
        </w:rPr>
        <w:t>subanalysis</w:t>
      </w:r>
      <w:proofErr w:type="spellEnd"/>
      <w:r w:rsidRPr="00940DCC">
        <w:rPr>
          <w:rFonts w:cstheme="minorHAnsi"/>
          <w:lang w:val="en-US"/>
        </w:rPr>
        <w:t>:</w:t>
      </w:r>
      <w:r w:rsidRPr="00940DCC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>O</w:t>
      </w:r>
      <w:r w:rsidRPr="00940DCC">
        <w:rPr>
          <w:rFonts w:cstheme="minorHAnsi"/>
          <w:bCs/>
          <w:lang w:val="en-US"/>
        </w:rPr>
        <w:t>verall, complete, and qualified success rates at years 1 and 2 (PP population).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3175"/>
        <w:gridCol w:w="1868"/>
        <w:gridCol w:w="2097"/>
        <w:gridCol w:w="1886"/>
      </w:tblGrid>
      <w:tr w:rsidR="00267A9C" w:rsidRPr="00940DCC" w14:paraId="4BE47083" w14:textId="77777777" w:rsidTr="004234EE">
        <w:trPr>
          <w:trHeight w:val="607"/>
        </w:trPr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1EB3A4A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7F6B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bCs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Analysis visit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14:paraId="3031599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bCs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Group 1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br/>
              <w:t xml:space="preserve"> (</w:t>
            </w:r>
            <w:r w:rsidRPr="00940DCC">
              <w:rPr>
                <w:rFonts w:eastAsia="Times New Roman" w:cstheme="minorHAnsi"/>
                <w:bCs/>
                <w:i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bCs/>
                <w:iCs/>
                <w:kern w:val="24"/>
                <w:lang w:val="en-US" w:eastAsia="en-GB"/>
              </w:rPr>
              <w:t xml:space="preserve"> 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= 36)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704616C5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bCs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 xml:space="preserve">Group 2 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br/>
              <w:t>(</w:t>
            </w:r>
            <w:r w:rsidRPr="00940DCC">
              <w:rPr>
                <w:rFonts w:eastAsia="Times New Roman" w:cstheme="minorHAnsi"/>
                <w:bCs/>
                <w:i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bCs/>
                <w:iCs/>
                <w:kern w:val="24"/>
                <w:lang w:val="en-US" w:eastAsia="en-GB"/>
              </w:rPr>
              <w:t xml:space="preserve"> 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= 25)</w:t>
            </w:r>
          </w:p>
        </w:tc>
      </w:tr>
      <w:tr w:rsidR="00267A9C" w:rsidRPr="00940DCC" w14:paraId="642D222A" w14:textId="77777777" w:rsidTr="004234EE">
        <w:trPr>
          <w:trHeight w:val="256"/>
        </w:trPr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15BD2FA1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rPr>
                <w:rFonts w:cstheme="minorHAnsi"/>
                <w:b/>
                <w:bCs/>
                <w:lang w:val="en-US"/>
              </w:rPr>
            </w:pP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Overall success, % (</w:t>
            </w:r>
            <w:r w:rsidRPr="00940DCC">
              <w:rPr>
                <w:rFonts w:eastAsia="Times New Roman" w:cstheme="minorHAnsi"/>
                <w:bCs/>
                <w:i/>
                <w:color w:val="000000"/>
                <w:kern w:val="24"/>
                <w:lang w:val="en-US" w:eastAsia="en-GB"/>
              </w:rPr>
              <w:t>n/N</w:t>
            </w: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15D8E565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3CE5061E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3928901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</w:tr>
      <w:tr w:rsidR="00267A9C" w:rsidRPr="00940DCC" w14:paraId="72A7022A" w14:textId="77777777" w:rsidTr="004234EE">
        <w:trPr>
          <w:trHeight w:val="256"/>
        </w:trPr>
        <w:tc>
          <w:tcPr>
            <w:tcW w:w="3175" w:type="dxa"/>
            <w:vAlign w:val="center"/>
          </w:tcPr>
          <w:p w14:paraId="3284949A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&lt;21 mmHg</w:t>
            </w:r>
          </w:p>
        </w:tc>
        <w:tc>
          <w:tcPr>
            <w:tcW w:w="1868" w:type="dxa"/>
          </w:tcPr>
          <w:p w14:paraId="2345AEA4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43498320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vAlign w:val="center"/>
          </w:tcPr>
          <w:p w14:paraId="76382948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77.8 (28/36)</w:t>
            </w:r>
          </w:p>
          <w:p w14:paraId="63949402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63.9 (23/36)</w:t>
            </w:r>
          </w:p>
        </w:tc>
        <w:tc>
          <w:tcPr>
            <w:tcW w:w="1886" w:type="dxa"/>
          </w:tcPr>
          <w:p w14:paraId="55FEFD72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84.0 (21/25)</w:t>
            </w:r>
          </w:p>
          <w:p w14:paraId="324DEDC2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92.0 (23/25)</w:t>
            </w:r>
          </w:p>
        </w:tc>
      </w:tr>
      <w:tr w:rsidR="00267A9C" w:rsidRPr="00940DCC" w14:paraId="1E7FA0BB" w14:textId="77777777" w:rsidTr="004234EE">
        <w:trPr>
          <w:trHeight w:val="256"/>
        </w:trPr>
        <w:tc>
          <w:tcPr>
            <w:tcW w:w="3175" w:type="dxa"/>
            <w:vAlign w:val="center"/>
          </w:tcPr>
          <w:p w14:paraId="0C0B0B88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&lt;18 mmHg</w:t>
            </w:r>
          </w:p>
        </w:tc>
        <w:tc>
          <w:tcPr>
            <w:tcW w:w="1868" w:type="dxa"/>
          </w:tcPr>
          <w:p w14:paraId="1EC62711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32D575A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vAlign w:val="center"/>
          </w:tcPr>
          <w:p w14:paraId="420FE754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75.0 (27/36)</w:t>
            </w:r>
          </w:p>
          <w:p w14:paraId="772A62E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61.1 (22/36)</w:t>
            </w:r>
          </w:p>
        </w:tc>
        <w:tc>
          <w:tcPr>
            <w:tcW w:w="1886" w:type="dxa"/>
          </w:tcPr>
          <w:p w14:paraId="3021D6A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76.0 (19/25)</w:t>
            </w:r>
          </w:p>
          <w:p w14:paraId="1D353D5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88.0 (22/25)</w:t>
            </w:r>
          </w:p>
        </w:tc>
      </w:tr>
      <w:tr w:rsidR="00267A9C" w:rsidRPr="00940DCC" w14:paraId="46383A06" w14:textId="77777777" w:rsidTr="004234EE">
        <w:trPr>
          <w:trHeight w:val="256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2145E327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&lt;14 mmHg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11281202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49478B1A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8B03D02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63.9 (23/36)</w:t>
            </w:r>
          </w:p>
          <w:p w14:paraId="7C216A6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58.3 (21/36)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8FB510D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76.0 (19/25)</w:t>
            </w:r>
          </w:p>
          <w:p w14:paraId="4C612794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84.0 (21/25)</w:t>
            </w:r>
          </w:p>
        </w:tc>
      </w:tr>
      <w:tr w:rsidR="00267A9C" w:rsidRPr="00940DCC" w14:paraId="6472823D" w14:textId="77777777" w:rsidTr="004234EE">
        <w:trPr>
          <w:trHeight w:val="256"/>
        </w:trPr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7616C92D" w14:textId="77777777" w:rsidR="00267A9C" w:rsidRPr="00940DCC" w:rsidRDefault="00267A9C" w:rsidP="004234EE">
            <w:pPr>
              <w:keepNext/>
              <w:spacing w:after="120" w:line="360" w:lineRule="auto"/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Complete success, % (</w:t>
            </w:r>
            <w:r w:rsidRPr="00940DCC">
              <w:rPr>
                <w:rFonts w:eastAsia="Times New Roman" w:cstheme="minorHAnsi"/>
                <w:bCs/>
                <w:i/>
                <w:color w:val="000000"/>
                <w:kern w:val="24"/>
                <w:lang w:val="en-US" w:eastAsia="en-GB"/>
              </w:rPr>
              <w:t>n/N</w:t>
            </w: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6330AABF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5D1354B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49A545C5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</w:tr>
      <w:tr w:rsidR="00267A9C" w:rsidRPr="00940DCC" w14:paraId="7B60D9B6" w14:textId="77777777" w:rsidTr="004234EE">
        <w:trPr>
          <w:trHeight w:val="256"/>
        </w:trPr>
        <w:tc>
          <w:tcPr>
            <w:tcW w:w="3175" w:type="dxa"/>
            <w:vAlign w:val="center"/>
          </w:tcPr>
          <w:p w14:paraId="17FB38AD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&lt;21 mmHg</w:t>
            </w:r>
          </w:p>
        </w:tc>
        <w:tc>
          <w:tcPr>
            <w:tcW w:w="1868" w:type="dxa"/>
          </w:tcPr>
          <w:p w14:paraId="1BBA088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4AE53DE4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vAlign w:val="center"/>
          </w:tcPr>
          <w:p w14:paraId="5784256D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52.8 (19/36)</w:t>
            </w:r>
          </w:p>
          <w:p w14:paraId="039C9906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38.9 (14/36)</w:t>
            </w:r>
          </w:p>
        </w:tc>
        <w:tc>
          <w:tcPr>
            <w:tcW w:w="1886" w:type="dxa"/>
          </w:tcPr>
          <w:p w14:paraId="29A7272A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56.0 (14/25)</w:t>
            </w:r>
          </w:p>
          <w:p w14:paraId="0C9641A4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56.0 (14/25)</w:t>
            </w:r>
          </w:p>
        </w:tc>
      </w:tr>
      <w:tr w:rsidR="00267A9C" w:rsidRPr="00940DCC" w14:paraId="1F302122" w14:textId="77777777" w:rsidTr="004234EE">
        <w:trPr>
          <w:trHeight w:val="256"/>
        </w:trPr>
        <w:tc>
          <w:tcPr>
            <w:tcW w:w="3175" w:type="dxa"/>
            <w:vAlign w:val="center"/>
          </w:tcPr>
          <w:p w14:paraId="4D8D109B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&lt;18 mmHg</w:t>
            </w:r>
          </w:p>
        </w:tc>
        <w:tc>
          <w:tcPr>
            <w:tcW w:w="1868" w:type="dxa"/>
          </w:tcPr>
          <w:p w14:paraId="37C2DCF5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49A363E4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vAlign w:val="center"/>
          </w:tcPr>
          <w:p w14:paraId="1C3C0735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52.8 (19/36)</w:t>
            </w:r>
          </w:p>
          <w:p w14:paraId="45ED4CE0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38.9 (14/36)</w:t>
            </w:r>
          </w:p>
        </w:tc>
        <w:tc>
          <w:tcPr>
            <w:tcW w:w="1886" w:type="dxa"/>
          </w:tcPr>
          <w:p w14:paraId="3BAB184C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56.0 (14/25)</w:t>
            </w:r>
          </w:p>
          <w:p w14:paraId="2DCFFD2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56.0 (14/25)</w:t>
            </w:r>
          </w:p>
        </w:tc>
      </w:tr>
      <w:tr w:rsidR="00267A9C" w:rsidRPr="00940DCC" w14:paraId="3105BACC" w14:textId="77777777" w:rsidTr="004234EE">
        <w:trPr>
          <w:trHeight w:val="256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1473C5E8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&lt;14 mmHg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387C23B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0D739D98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7718FD6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44.4 (16/36)</w:t>
            </w:r>
          </w:p>
          <w:p w14:paraId="4AA7C06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33.3 (12/36)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08C5FEC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52.0 (13/25)</w:t>
            </w:r>
          </w:p>
          <w:p w14:paraId="44489EED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52.0 (13/25)</w:t>
            </w:r>
          </w:p>
        </w:tc>
      </w:tr>
      <w:tr w:rsidR="00267A9C" w:rsidRPr="00940DCC" w14:paraId="17FAB7AF" w14:textId="77777777" w:rsidTr="004234EE">
        <w:trPr>
          <w:trHeight w:val="256"/>
        </w:trPr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43DBEFA3" w14:textId="77777777" w:rsidR="00267A9C" w:rsidRPr="00940DCC" w:rsidRDefault="00267A9C" w:rsidP="004234EE">
            <w:pPr>
              <w:keepNext/>
              <w:spacing w:after="120" w:line="360" w:lineRule="auto"/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Qualified success, % (</w:t>
            </w:r>
            <w:r w:rsidRPr="00940DCC">
              <w:rPr>
                <w:rFonts w:eastAsia="Times New Roman" w:cstheme="minorHAnsi"/>
                <w:bCs/>
                <w:iCs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bCs/>
                <w:i/>
                <w:color w:val="000000"/>
                <w:kern w:val="24"/>
                <w:lang w:val="en-US" w:eastAsia="en-GB"/>
              </w:rPr>
              <w:t>/N</w:t>
            </w: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67851DA6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78CF568C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4538329E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</w:tr>
      <w:tr w:rsidR="00267A9C" w:rsidRPr="00940DCC" w14:paraId="38ACC646" w14:textId="77777777" w:rsidTr="004234EE">
        <w:trPr>
          <w:trHeight w:val="256"/>
        </w:trPr>
        <w:tc>
          <w:tcPr>
            <w:tcW w:w="3175" w:type="dxa"/>
            <w:vAlign w:val="center"/>
          </w:tcPr>
          <w:p w14:paraId="086577B7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&lt;21 mmHg</w:t>
            </w:r>
          </w:p>
        </w:tc>
        <w:tc>
          <w:tcPr>
            <w:tcW w:w="1868" w:type="dxa"/>
          </w:tcPr>
          <w:p w14:paraId="37AE515E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35744B3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vAlign w:val="center"/>
          </w:tcPr>
          <w:p w14:paraId="4976E63B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25.0 (9/36)</w:t>
            </w:r>
          </w:p>
          <w:p w14:paraId="716B506E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25.0 (9/36)</w:t>
            </w:r>
          </w:p>
        </w:tc>
        <w:tc>
          <w:tcPr>
            <w:tcW w:w="1886" w:type="dxa"/>
          </w:tcPr>
          <w:p w14:paraId="3CF9747D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28.0 (7/25)</w:t>
            </w:r>
          </w:p>
          <w:p w14:paraId="48F6A1DF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36.0 (9/25)</w:t>
            </w:r>
          </w:p>
        </w:tc>
      </w:tr>
      <w:tr w:rsidR="00267A9C" w:rsidRPr="00940DCC" w14:paraId="3E739499" w14:textId="77777777" w:rsidTr="004234EE">
        <w:trPr>
          <w:trHeight w:val="256"/>
        </w:trPr>
        <w:tc>
          <w:tcPr>
            <w:tcW w:w="3175" w:type="dxa"/>
            <w:vAlign w:val="center"/>
          </w:tcPr>
          <w:p w14:paraId="573F323C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&lt;18 mmHg</w:t>
            </w:r>
          </w:p>
        </w:tc>
        <w:tc>
          <w:tcPr>
            <w:tcW w:w="1868" w:type="dxa"/>
          </w:tcPr>
          <w:p w14:paraId="2E771A97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2A43D0D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vAlign w:val="center"/>
          </w:tcPr>
          <w:p w14:paraId="06AEEA7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22.2 (8/36)</w:t>
            </w:r>
          </w:p>
          <w:p w14:paraId="7F64EF4D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22.2 (8/36)</w:t>
            </w:r>
          </w:p>
        </w:tc>
        <w:tc>
          <w:tcPr>
            <w:tcW w:w="1886" w:type="dxa"/>
          </w:tcPr>
          <w:p w14:paraId="5E3D5FA5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20.0 (5/25)</w:t>
            </w:r>
          </w:p>
          <w:p w14:paraId="738B34C0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32.0 (8/25)</w:t>
            </w:r>
          </w:p>
        </w:tc>
      </w:tr>
      <w:tr w:rsidR="00267A9C" w:rsidRPr="00940DCC" w14:paraId="75829227" w14:textId="77777777" w:rsidTr="004234EE">
        <w:trPr>
          <w:trHeight w:val="256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73188C51" w14:textId="77777777" w:rsidR="00267A9C" w:rsidRPr="00940DCC" w:rsidRDefault="00267A9C" w:rsidP="004234EE">
            <w:pPr>
              <w:tabs>
                <w:tab w:val="left" w:pos="6237"/>
              </w:tabs>
              <w:spacing w:after="120" w:line="360" w:lineRule="auto"/>
              <w:ind w:left="321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IOP ≥6 mmHg and </w:t>
            </w:r>
            <w:r w:rsidRPr="00940DCC">
              <w:rPr>
                <w:rFonts w:cstheme="minorHAnsi"/>
                <w:bCs/>
                <w:lang w:val="en-US"/>
              </w:rPr>
              <w:br/>
              <w:t>&lt;14 mmHg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0FCBFE5C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1FE9B78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6431D6E2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19.4 (7/36)</w:t>
            </w:r>
          </w:p>
          <w:p w14:paraId="670D8214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25.0 (9/36)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C441B46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24.0 (6/25)</w:t>
            </w:r>
          </w:p>
          <w:p w14:paraId="2BD71663" w14:textId="77777777" w:rsidR="00267A9C" w:rsidRPr="00940DCC" w:rsidRDefault="00267A9C" w:rsidP="004234EE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32.0 (8/25)</w:t>
            </w:r>
          </w:p>
        </w:tc>
      </w:tr>
    </w:tbl>
    <w:p w14:paraId="0655A8DA" w14:textId="2D2DD93B" w:rsidR="00222251" w:rsidRDefault="00267A9C" w:rsidP="00EC2C99">
      <w:pPr>
        <w:spacing w:line="360" w:lineRule="auto"/>
      </w:pPr>
      <w:r w:rsidRPr="00940DCC">
        <w:rPr>
          <w:rFonts w:cstheme="minorHAnsi"/>
          <w:bCs/>
          <w:lang w:val="en-US"/>
        </w:rPr>
        <w:lastRenderedPageBreak/>
        <w:t xml:space="preserve">Overall success was defined as patients who were not pressure or surgical failures, with or without glaucoma medication. A target pressure zone was defined as IOP ≥6 mmHg and &lt;21, &lt;18, or </w:t>
      </w:r>
      <w:r>
        <w:rPr>
          <w:rFonts w:cstheme="minorHAnsi"/>
          <w:bCs/>
          <w:lang w:val="en-US"/>
        </w:rPr>
        <w:br/>
      </w:r>
      <w:r w:rsidRPr="00940DCC">
        <w:rPr>
          <w:rFonts w:cstheme="minorHAnsi"/>
          <w:bCs/>
          <w:lang w:val="en-US"/>
        </w:rPr>
        <w:t xml:space="preserve">&lt;14 mmHg. Pressure failure was defined as patients with an IOP outside of the target pressure zone or without a decrease in IOP ≥20% from baseline on two consecutive scheduled follow-up visits after 3 months and did not achieve a decrease in IOP ≥20% from baseline at the last visit in which the success rate was reported. Surgical failure was defined as patients requiring reoperation in the operating room; bleb </w:t>
      </w:r>
      <w:proofErr w:type="spellStart"/>
      <w:r w:rsidRPr="00940DCC">
        <w:rPr>
          <w:rFonts w:cstheme="minorHAnsi"/>
          <w:bCs/>
          <w:lang w:val="en-US"/>
        </w:rPr>
        <w:t>needlings</w:t>
      </w:r>
      <w:proofErr w:type="spellEnd"/>
      <w:r w:rsidRPr="00940DCC">
        <w:rPr>
          <w:rFonts w:cstheme="minorHAnsi"/>
          <w:bCs/>
          <w:lang w:val="en-US"/>
        </w:rPr>
        <w:t xml:space="preserve"> were not considered a reoperation. Complete and qualified success were defined as above but without glaucoma medications and with glaucoma medications, respectively. IOP, intraocular pressure; MMC, Mitomycin C; PP, per-protocol.</w:t>
      </w:r>
    </w:p>
    <w:sectPr w:rsidR="0022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9C"/>
    <w:rsid w:val="0015196E"/>
    <w:rsid w:val="00222251"/>
    <w:rsid w:val="00267A9C"/>
    <w:rsid w:val="00EC2C99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850C"/>
  <w15:chartTrackingRefBased/>
  <w15:docId w15:val="{CA093C81-E405-492D-8953-A1916321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9C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emphasis">
    <w:name w:val="Blue emphasis"/>
    <w:next w:val="NoSpacing"/>
    <w:link w:val="BlueemphasisChar"/>
    <w:qFormat/>
    <w:rsid w:val="0015196E"/>
    <w:pPr>
      <w:spacing w:after="0" w:line="240" w:lineRule="auto"/>
    </w:pPr>
    <w:rPr>
      <w:rFonts w:ascii="Arial" w:hAnsi="Arial" w:cs="Arial"/>
      <w:b/>
      <w:color w:val="8496B0" w:themeColor="text2" w:themeTint="99"/>
    </w:rPr>
  </w:style>
  <w:style w:type="character" w:customStyle="1" w:styleId="BlueemphasisChar">
    <w:name w:val="Blue emphasis Char"/>
    <w:basedOn w:val="DefaultParagraphFont"/>
    <w:link w:val="Blueemphasis"/>
    <w:rsid w:val="0015196E"/>
    <w:rPr>
      <w:rFonts w:ascii="Arial" w:hAnsi="Arial" w:cs="Arial"/>
      <w:b/>
      <w:color w:val="8496B0" w:themeColor="text2" w:themeTint="99"/>
    </w:rPr>
  </w:style>
  <w:style w:type="paragraph" w:styleId="NoSpacing">
    <w:name w:val="No Spacing"/>
    <w:uiPriority w:val="1"/>
    <w:qFormat/>
    <w:rsid w:val="0015196E"/>
    <w:pPr>
      <w:spacing w:after="0" w:line="240" w:lineRule="auto"/>
    </w:pPr>
  </w:style>
  <w:style w:type="table" w:styleId="TableGrid">
    <w:name w:val="Table Grid"/>
    <w:basedOn w:val="TableNormal"/>
    <w:rsid w:val="00267A9C"/>
    <w:pPr>
      <w:spacing w:after="0" w:line="240" w:lineRule="auto"/>
    </w:pPr>
    <w:rPr>
      <w:rFonts w:eastAsia="SimSun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Brigham</dc:creator>
  <cp:keywords/>
  <dc:description/>
  <cp:lastModifiedBy>Elizabeth Brigham</cp:lastModifiedBy>
  <cp:revision>3</cp:revision>
  <dcterms:created xsi:type="dcterms:W3CDTF">2022-05-20T15:23:00Z</dcterms:created>
  <dcterms:modified xsi:type="dcterms:W3CDTF">2022-05-20T15:24:00Z</dcterms:modified>
</cp:coreProperties>
</file>