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D17B" w14:textId="663DEEDE" w:rsidR="00233C73" w:rsidRDefault="00B83526">
      <w:pPr>
        <w:rPr>
          <w:rFonts w:ascii="Times New Roman" w:hAnsi="Times New Roman" w:cs="Times New Roman"/>
          <w:b/>
          <w:bCs/>
        </w:rPr>
      </w:pPr>
      <w:r w:rsidRPr="00B83526">
        <w:rPr>
          <w:rFonts w:ascii="Times New Roman" w:hAnsi="Times New Roman" w:cs="Times New Roman"/>
          <w:b/>
          <w:bCs/>
        </w:rPr>
        <w:t>Supplementary table 1. Methylation status in gastric cancer and their counterpart normal mucosa estimated by each cut-off value.</w:t>
      </w:r>
    </w:p>
    <w:tbl>
      <w:tblPr>
        <w:tblW w:w="9161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8"/>
        <w:gridCol w:w="1985"/>
        <w:gridCol w:w="1559"/>
        <w:gridCol w:w="142"/>
        <w:gridCol w:w="1417"/>
        <w:gridCol w:w="142"/>
        <w:gridCol w:w="2038"/>
        <w:gridCol w:w="230"/>
        <w:gridCol w:w="709"/>
        <w:gridCol w:w="230"/>
      </w:tblGrid>
      <w:tr w:rsidR="00B83526" w:rsidRPr="00B83526" w14:paraId="3C95662D" w14:textId="77777777" w:rsidTr="00B83526">
        <w:trPr>
          <w:trHeight w:val="330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8DF7C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Locus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285D1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Methylation status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480BC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Tumor, n=98 (%)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B9606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Normal mucosa, n=98 (%)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722F8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  <w:r w:rsidRPr="00B83526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-value*</w:t>
            </w:r>
          </w:p>
        </w:tc>
      </w:tr>
      <w:tr w:rsidR="00B83526" w:rsidRPr="00B83526" w14:paraId="6969F08D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A7D9D45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4C6304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Wnt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74080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SFRP2</w:t>
            </w:r>
            <w:r w:rsidRPr="004C6304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-region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23F93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DB269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78 (80%)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22EFA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31 (32%)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0F594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0.0001</w:t>
            </w:r>
          </w:p>
        </w:tc>
      </w:tr>
      <w:tr w:rsidR="00B83526" w:rsidRPr="00B83526" w14:paraId="16B29676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3E3D7F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9F6AC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8ED89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DA4CA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20 (20%)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7DBAF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67 (68%)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39D9E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0AADE609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42DB19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C2AB2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SFRP2</w:t>
            </w:r>
            <w:r w:rsidRPr="004C6304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-region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EB5A0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A6F21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70 (71%)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5FAB7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16 (16%)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FFB05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0.0001</w:t>
            </w:r>
          </w:p>
        </w:tc>
      </w:tr>
      <w:tr w:rsidR="00B83526" w:rsidRPr="00B83526" w14:paraId="2100B477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5E8B03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7BE37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932CC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EAEC1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28 (29%)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2D225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82 (84%)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4997A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4D16F36D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17F639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4DBD01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 xml:space="preserve">APC </w:t>
            </w:r>
            <w:r w:rsidRPr="004C6304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promoter 1A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89019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D0CE3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59 (60%)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43968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33 (34%)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F1B158E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0.0002</w:t>
            </w:r>
          </w:p>
        </w:tc>
      </w:tr>
      <w:tr w:rsidR="00B83526" w:rsidRPr="00B83526" w14:paraId="1B6E4737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858CC5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7611D3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67E3A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56836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39 (40%)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BC419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65 (66%)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0EBCD0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0134EDE4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0AEBFAD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Others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C409D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CACNA1G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7AF1C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5AA8C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19 (19%)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CB3D9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C5064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0.0001</w:t>
            </w:r>
          </w:p>
        </w:tc>
      </w:tr>
      <w:tr w:rsidR="00B83526" w:rsidRPr="00B83526" w14:paraId="68435E35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96E3F8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49E60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CA2CA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DF805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79 (81%)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0D373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98 (100%)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CB188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77AEB9A8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82131B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3FCAD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CDKN2A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15B15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FED1F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16 (16%)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8BCD0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(1%)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06FD2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0.0001</w:t>
            </w:r>
          </w:p>
        </w:tc>
      </w:tr>
      <w:tr w:rsidR="00B83526" w:rsidRPr="00B83526" w14:paraId="0400BFD9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15514E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CC6C6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25E91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2A2D6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82 (84%)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D47F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97 (99%)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DBD37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24B504A2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CCABA5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19B2D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CHFR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AFD11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B4859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33 (34%)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349A2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CBABE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0.0001</w:t>
            </w:r>
          </w:p>
        </w:tc>
      </w:tr>
      <w:tr w:rsidR="00B83526" w:rsidRPr="00B83526" w14:paraId="533E9E49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7F8D32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8A8E7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49BC8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916DC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65 (66%)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EA92C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98 (100%)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CE01D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2F468642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4B49FC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21EDC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DCC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6E7B8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432D1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44 (45%)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E65E0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 (8%)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71613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0.0001</w:t>
            </w:r>
          </w:p>
        </w:tc>
      </w:tr>
      <w:tr w:rsidR="00B83526" w:rsidRPr="00B83526" w14:paraId="1BDB9FCC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996406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F100B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77C58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A09AB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54 (55%)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1CCD3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90 (92%)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B7D1D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448366BE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8E1BEA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1D2CD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MGMT</w:t>
            </w:r>
            <w:r w:rsidRPr="004C6304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-Eh region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0C070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36AD8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 (7%)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6B85D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B7DBB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0.0071</w:t>
            </w:r>
          </w:p>
        </w:tc>
      </w:tr>
      <w:tr w:rsidR="00B83526" w:rsidRPr="00B83526" w14:paraId="3B2AEF5F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0971E0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2529B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7A894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AF39A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91 (93%)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0274D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98 (100%)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06BF8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5987BD9A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2DE71A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7B73F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MINT1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DCDD1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DB45A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50 (51%)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CA9FB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(3%)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1A806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0.0001</w:t>
            </w:r>
          </w:p>
        </w:tc>
      </w:tr>
      <w:tr w:rsidR="00B83526" w:rsidRPr="00B83526" w14:paraId="26CA3C82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81AB77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BCAFF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77F83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3AD7D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48 (49%)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379A3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95 (97%)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E4B44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7912922F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8001AC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CF109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MINT2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7C00A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EE3F9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38 (39%)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CA4F7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(2%)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18BF2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0.0001</w:t>
            </w:r>
          </w:p>
        </w:tc>
      </w:tr>
      <w:tr w:rsidR="00B83526" w:rsidRPr="00B83526" w14:paraId="411A9CFD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7F1C05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2CAE7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EC6A7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7BA20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60 (61%)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C4613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96 (98%)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928B0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3E5DD27D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056077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284CE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MINT31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DA8EE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680FD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12 (12%)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F2B2D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(1%)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818D6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0.0016</w:t>
            </w:r>
          </w:p>
        </w:tc>
      </w:tr>
      <w:tr w:rsidR="00B83526" w:rsidRPr="00B83526" w14:paraId="0C032DA6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60CBEB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BCD4B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F5E56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2C38A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86 (88%)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444BE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97 (99%)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E3564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3FD9B51B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FAF77E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593D5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MLH1</w:t>
            </w:r>
            <w:r w:rsidRPr="004C6304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-A region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54458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BC85F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27 (28%)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2CDA3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7BA0F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0.0001</w:t>
            </w:r>
          </w:p>
        </w:tc>
      </w:tr>
      <w:tr w:rsidR="00B83526" w:rsidRPr="00B83526" w14:paraId="07396130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05969E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FDBA7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A6E9B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22173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71 (72%)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A1D69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98 (100%)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6F673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28444049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5225E3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438D3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MLH1</w:t>
            </w:r>
            <w:r w:rsidRPr="004C6304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-D region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4DBCE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14FEA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 (18%)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3BB4B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50CAE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0.0001</w:t>
            </w:r>
          </w:p>
        </w:tc>
      </w:tr>
      <w:tr w:rsidR="00B83526" w:rsidRPr="00B83526" w14:paraId="076B2679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62F886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51BE0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B2921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5BF23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80 (82%)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28DFD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98 (100%)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DE872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55D7DFDA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AFA741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04466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RASFF2</w:t>
            </w:r>
            <w:r w:rsidRPr="004C6304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-region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CEA72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B1F1C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16 (16%)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54D37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(5%)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FFADD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0.0111</w:t>
            </w:r>
          </w:p>
        </w:tc>
      </w:tr>
      <w:tr w:rsidR="00B83526" w:rsidRPr="00B83526" w14:paraId="220BEFA0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B399CB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FD44A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00906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72BD4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82 (84%)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95F92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93 (95%)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45208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09486897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4841F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D7F8A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RASFF2</w:t>
            </w:r>
            <w:r w:rsidRPr="004C6304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-region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2A8A5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CC823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51 (52%)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6CCD7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D440D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0.0001</w:t>
            </w:r>
          </w:p>
        </w:tc>
      </w:tr>
      <w:tr w:rsidR="00B83526" w:rsidRPr="00B83526" w14:paraId="6D988BA5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E10F5F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77C6E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D39B7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BEC56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47 (48%)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66454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98 (100%)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3B01F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1E0D8F8E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3238D9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B92B4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RUNX3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7F43C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16A8E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53 (54%)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8B60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 (9%)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CA7C9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0.0001</w:t>
            </w:r>
          </w:p>
        </w:tc>
      </w:tr>
      <w:tr w:rsidR="00B83526" w:rsidRPr="00B83526" w14:paraId="3B07744B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4903A5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D883D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067F2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09C50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45 (46%)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96408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89 (91%)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F5EDF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443C539A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052E93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88242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UNC5C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A1B68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A412B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31 (32%)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2E70A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(5%)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62AFF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0.0001</w:t>
            </w:r>
          </w:p>
        </w:tc>
      </w:tr>
      <w:tr w:rsidR="00B83526" w:rsidRPr="00B83526" w14:paraId="3D449922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60020D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B9506" w14:textId="77777777" w:rsidR="00B83526" w:rsidRPr="004C6304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0DB07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F58D5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67 (68%)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FD38D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93 (95%)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3788E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B83526" w:rsidRPr="00B83526" w14:paraId="653434B1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B37403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E765594" w14:textId="77777777" w:rsidR="00B83526" w:rsidRPr="004C6304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4C6304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3OST2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DFB57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FF3B9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76 (78%)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5E61C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33 (34%)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6299B35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0.0001</w:t>
            </w:r>
          </w:p>
        </w:tc>
      </w:tr>
      <w:tr w:rsidR="00B83526" w:rsidRPr="00B83526" w14:paraId="360364F3" w14:textId="77777777" w:rsidTr="00B83526">
        <w:trPr>
          <w:gridAfter w:val="1"/>
          <w:wAfter w:w="230" w:type="dxa"/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D64E7B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8D98E8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FB60D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7EC48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22 (22%)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08503" w14:textId="77777777" w:rsidR="00B83526" w:rsidRPr="00B83526" w:rsidRDefault="00B83526" w:rsidP="00B83526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B83526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65 (66%)</w:t>
            </w:r>
          </w:p>
        </w:tc>
        <w:tc>
          <w:tcPr>
            <w:tcW w:w="9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5B8B7F" w14:textId="77777777" w:rsidR="00B83526" w:rsidRPr="00B83526" w:rsidRDefault="00B83526" w:rsidP="00B83526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71019FF3" w14:textId="12C16C7F" w:rsidR="00B83526" w:rsidRDefault="00B83526">
      <w:pPr>
        <w:rPr>
          <w:rFonts w:ascii="Times New Roman" w:hAnsi="Times New Roman" w:cs="Times New Roman"/>
        </w:rPr>
      </w:pPr>
      <w:r w:rsidRPr="00B83526">
        <w:rPr>
          <w:rFonts w:ascii="Times New Roman" w:hAnsi="Times New Roman" w:cs="Times New Roman"/>
        </w:rPr>
        <w:t>*</w:t>
      </w:r>
      <w:r w:rsidRPr="009D785E">
        <w:rPr>
          <w:rFonts w:ascii="Times New Roman" w:hAnsi="Times New Roman" w:cs="Times New Roman"/>
          <w:i/>
          <w:iCs/>
        </w:rPr>
        <w:t>P</w:t>
      </w:r>
      <w:r w:rsidRPr="00B83526">
        <w:rPr>
          <w:rFonts w:ascii="Times New Roman" w:hAnsi="Times New Roman" w:cs="Times New Roman"/>
        </w:rPr>
        <w:t>-values were calculated by the chi-square test.</w:t>
      </w:r>
    </w:p>
    <w:p w14:paraId="7866400A" w14:textId="77777777" w:rsidR="00B83526" w:rsidRPr="00381901" w:rsidRDefault="00B83526" w:rsidP="00B83526">
      <w:pPr>
        <w:rPr>
          <w:rFonts w:ascii="Times New Roman" w:hAnsi="Times New Roman" w:cs="Times New Roman"/>
        </w:rPr>
      </w:pPr>
      <w:r w:rsidRPr="00381901">
        <w:rPr>
          <w:rFonts w:ascii="Times New Roman" w:hAnsi="Times New Roman" w:cs="Times New Roman"/>
        </w:rPr>
        <w:t>A and D regions in</w:t>
      </w:r>
      <w:r w:rsidRPr="00381901">
        <w:rPr>
          <w:rFonts w:ascii="Times New Roman" w:hAnsi="Times New Roman" w:cs="Times New Roman"/>
          <w:i/>
          <w:iCs/>
        </w:rPr>
        <w:t xml:space="preserve"> MLH1 </w:t>
      </w:r>
      <w:r w:rsidRPr="00381901">
        <w:rPr>
          <w:rFonts w:ascii="Times New Roman" w:hAnsi="Times New Roman" w:cs="Times New Roman"/>
        </w:rPr>
        <w:t>were defined by Deng and colleagues (24).</w:t>
      </w:r>
    </w:p>
    <w:p w14:paraId="05B3B3A0" w14:textId="77777777" w:rsidR="00B83526" w:rsidRPr="00381901" w:rsidRDefault="00B83526" w:rsidP="00B83526">
      <w:pPr>
        <w:rPr>
          <w:rFonts w:ascii="Times New Roman" w:hAnsi="Times New Roman" w:cs="Times New Roman"/>
        </w:rPr>
      </w:pPr>
      <w:r w:rsidRPr="00381901">
        <w:rPr>
          <w:rFonts w:ascii="Times New Roman" w:hAnsi="Times New Roman" w:cs="Times New Roman"/>
        </w:rPr>
        <w:t xml:space="preserve">Eh and </w:t>
      </w:r>
      <w:proofErr w:type="spellStart"/>
      <w:r w:rsidRPr="00381901">
        <w:rPr>
          <w:rFonts w:ascii="Times New Roman" w:hAnsi="Times New Roman" w:cs="Times New Roman"/>
        </w:rPr>
        <w:t>Mp</w:t>
      </w:r>
      <w:proofErr w:type="spellEnd"/>
      <w:r w:rsidRPr="00381901">
        <w:rPr>
          <w:rFonts w:ascii="Times New Roman" w:hAnsi="Times New Roman" w:cs="Times New Roman"/>
        </w:rPr>
        <w:t xml:space="preserve"> regions in </w:t>
      </w:r>
      <w:r w:rsidRPr="00381901">
        <w:rPr>
          <w:rFonts w:ascii="Times New Roman" w:hAnsi="Times New Roman" w:cs="Times New Roman"/>
          <w:i/>
          <w:iCs/>
        </w:rPr>
        <w:t>MGMT</w:t>
      </w:r>
      <w:r w:rsidRPr="00381901">
        <w:rPr>
          <w:rFonts w:ascii="Times New Roman" w:hAnsi="Times New Roman" w:cs="Times New Roman"/>
        </w:rPr>
        <w:t xml:space="preserve"> were defied by Nagasaka and colleagues (23).</w:t>
      </w:r>
    </w:p>
    <w:p w14:paraId="48A4E15B" w14:textId="77777777" w:rsidR="00B83526" w:rsidRPr="00B83526" w:rsidRDefault="00B83526">
      <w:pPr>
        <w:rPr>
          <w:rFonts w:ascii="Times New Roman" w:hAnsi="Times New Roman" w:cs="Times New Roman"/>
        </w:rPr>
      </w:pPr>
    </w:p>
    <w:sectPr w:rsidR="00B83526" w:rsidRPr="00B83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26"/>
    <w:rsid w:val="00233C73"/>
    <w:rsid w:val="00423490"/>
    <w:rsid w:val="004C6304"/>
    <w:rsid w:val="009D785E"/>
    <w:rsid w:val="00B8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2A4F9"/>
  <w15:chartTrackingRefBased/>
  <w15:docId w15:val="{F72BDE20-4746-4901-B1E1-58CA3A90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52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Nagasaka Takeshi</dc:creator>
  <cp:keywords/>
  <dc:description/>
  <cp:lastModifiedBy>Nagasaka Takeshi</cp:lastModifiedBy>
  <cp:revision>2</cp:revision>
  <dcterms:created xsi:type="dcterms:W3CDTF">2022-09-10T06:22:00Z</dcterms:created>
  <dcterms:modified xsi:type="dcterms:W3CDTF">2022-09-10T06:22:00Z</dcterms:modified>
</cp:coreProperties>
</file>