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A31F" w14:textId="6F3FF1FC" w:rsidR="00256B14" w:rsidRPr="00877FDA" w:rsidRDefault="00256B14" w:rsidP="00256B14">
      <w:pPr>
        <w:spacing w:line="250" w:lineRule="exact"/>
        <w:rPr>
          <w:rFonts w:ascii="Arial" w:hAnsi="Arial"/>
          <w:b/>
          <w:color w:val="000000" w:themeColor="text1"/>
          <w:sz w:val="18"/>
        </w:rPr>
      </w:pPr>
      <w:r>
        <w:rPr>
          <w:rFonts w:ascii="Arial" w:hAnsi="Arial"/>
          <w:b/>
          <w:color w:val="000000" w:themeColor="text1"/>
          <w:sz w:val="18"/>
        </w:rPr>
        <w:t xml:space="preserve">Supplement </w:t>
      </w:r>
      <w:r w:rsidRPr="00877FDA">
        <w:rPr>
          <w:rFonts w:ascii="Arial" w:hAnsi="Arial"/>
          <w:b/>
          <w:color w:val="000000" w:themeColor="text1"/>
          <w:sz w:val="18"/>
        </w:rPr>
        <w:t xml:space="preserve">Table </w:t>
      </w:r>
      <w:r>
        <w:rPr>
          <w:rFonts w:ascii="Arial" w:hAnsi="Arial"/>
          <w:b/>
          <w:color w:val="000000" w:themeColor="text1"/>
          <w:sz w:val="18"/>
        </w:rPr>
        <w:t>1</w:t>
      </w:r>
      <w:r w:rsidR="003514E3">
        <w:rPr>
          <w:rFonts w:ascii="Arial" w:hAnsi="Arial"/>
          <w:b/>
          <w:color w:val="000000" w:themeColor="text1"/>
          <w:sz w:val="18"/>
        </w:rPr>
        <w:t>:</w:t>
      </w:r>
      <w:r>
        <w:rPr>
          <w:rFonts w:ascii="Arial" w:hAnsi="Arial"/>
          <w:b/>
          <w:color w:val="000000" w:themeColor="text1"/>
          <w:sz w:val="18"/>
        </w:rPr>
        <w:t xml:space="preserve">  </w:t>
      </w:r>
      <w:r w:rsidRPr="00877FDA">
        <w:rPr>
          <w:rFonts w:ascii="Arial" w:hAnsi="Arial"/>
          <w:b/>
          <w:color w:val="000000" w:themeColor="text1"/>
          <w:sz w:val="18"/>
        </w:rPr>
        <w:t xml:space="preserve">Treatment compliance in the </w:t>
      </w:r>
      <w:r w:rsidRPr="00877FDA">
        <w:rPr>
          <w:rFonts w:ascii="Arial" w:hAnsi="Arial" w:cs="Arial"/>
          <w:b/>
          <w:bCs/>
          <w:color w:val="000000" w:themeColor="text1"/>
          <w:sz w:val="18"/>
          <w:szCs w:val="18"/>
        </w:rPr>
        <w:t>safety set</w:t>
      </w:r>
    </w:p>
    <w:p w14:paraId="7DDBD68B" w14:textId="77777777" w:rsidR="00256B14" w:rsidRPr="00877FDA" w:rsidRDefault="00256B14" w:rsidP="00256B14">
      <w:pPr>
        <w:spacing w:line="250" w:lineRule="exact"/>
        <w:rPr>
          <w:rFonts w:ascii="Arial" w:hAnsi="Arial"/>
          <w:b/>
          <w:color w:val="000000" w:themeColor="text1"/>
          <w:sz w:val="18"/>
        </w:rPr>
      </w:pPr>
    </w:p>
    <w:tbl>
      <w:tblPr>
        <w:tblW w:w="911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203"/>
        <w:gridCol w:w="2208"/>
        <w:gridCol w:w="2068"/>
      </w:tblGrid>
      <w:tr w:rsidR="00256B14" w:rsidRPr="00877FDA" w14:paraId="01B487A9" w14:textId="77777777" w:rsidTr="004106B0">
        <w:trPr>
          <w:cantSplit/>
          <w:trHeight w:val="396"/>
          <w:tblHeader/>
          <w:jc w:val="center"/>
        </w:trPr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5C27D1E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146D405" w14:textId="77777777" w:rsidR="00256B14" w:rsidRPr="00877FDA" w:rsidRDefault="00256B14" w:rsidP="004106B0">
            <w:pPr>
              <w:spacing w:line="260" w:lineRule="exact"/>
              <w:ind w:left="180" w:hangingChars="100" w:hanging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proofErr w:type="spellStart"/>
            <w:r w:rsidRPr="00877FDA">
              <w:rPr>
                <w:rFonts w:ascii="Arial" w:hAnsi="Arial"/>
                <w:color w:val="000000" w:themeColor="text1"/>
                <w:sz w:val="18"/>
              </w:rPr>
              <w:t>SPP</w:t>
            </w:r>
            <w:proofErr w:type="spellEnd"/>
            <w:r w:rsidRPr="00877FDA">
              <w:rPr>
                <w:rFonts w:ascii="Arial" w:hAnsi="Arial"/>
                <w:color w:val="000000" w:themeColor="text1"/>
                <w:sz w:val="18"/>
              </w:rPr>
              <w:t>-003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br/>
              <w:t>n (%)</w:t>
            </w:r>
          </w:p>
        </w:tc>
        <w:tc>
          <w:tcPr>
            <w:tcW w:w="2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540A1DA" w14:textId="77777777" w:rsidR="00256B14" w:rsidRPr="00877FDA" w:rsidRDefault="00256B14" w:rsidP="004106B0">
            <w:pPr>
              <w:spacing w:line="260" w:lineRule="exact"/>
              <w:ind w:left="180" w:hangingChars="100" w:hanging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Placebo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br/>
              <w:t>n (%)</w:t>
            </w:r>
          </w:p>
        </w:tc>
        <w:tc>
          <w:tcPr>
            <w:tcW w:w="20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B8E0076" w14:textId="77777777" w:rsidR="00256B14" w:rsidRPr="00877FDA" w:rsidRDefault="00256B14" w:rsidP="004106B0">
            <w:pPr>
              <w:spacing w:line="260" w:lineRule="exact"/>
              <w:ind w:left="180" w:hangingChars="100" w:hanging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Total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br/>
              <w:t>n (%)</w:t>
            </w:r>
          </w:p>
        </w:tc>
      </w:tr>
      <w:tr w:rsidR="00256B14" w:rsidRPr="00877FDA" w14:paraId="20FBC300" w14:textId="77777777" w:rsidTr="004106B0">
        <w:trPr>
          <w:cantSplit/>
          <w:trHeight w:val="53"/>
          <w:tblHeader/>
          <w:jc w:val="center"/>
        </w:trPr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5C51B3D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n</w:t>
            </w:r>
          </w:p>
        </w:tc>
        <w:tc>
          <w:tcPr>
            <w:tcW w:w="22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B2B984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35</w:t>
            </w:r>
          </w:p>
        </w:tc>
        <w:tc>
          <w:tcPr>
            <w:tcW w:w="22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484034A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39</w:t>
            </w:r>
          </w:p>
        </w:tc>
        <w:tc>
          <w:tcPr>
            <w:tcW w:w="20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77F12AA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74</w:t>
            </w:r>
          </w:p>
        </w:tc>
      </w:tr>
      <w:tr w:rsidR="00256B14" w:rsidRPr="00877FDA" w14:paraId="4B0083CB" w14:textId="77777777" w:rsidTr="004106B0">
        <w:trPr>
          <w:cantSplit/>
          <w:trHeight w:val="249"/>
          <w:jc w:val="center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5749629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Compliance in the period of primary assessment (%)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4B1A7D2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E7FDFC1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AB7DF5C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221F45F6" w14:textId="77777777" w:rsidTr="004106B0">
        <w:trPr>
          <w:cantSplit/>
          <w:trHeight w:val="249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6DCCE580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>Mean ± SD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688D48C6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94.23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 xml:space="preserve">± 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>14.18</w:t>
            </w: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0F2DB5B7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94.93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 xml:space="preserve">± 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>15.39</w:t>
            </w: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67A0E287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94.60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>±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>14.73</w:t>
            </w:r>
          </w:p>
        </w:tc>
      </w:tr>
      <w:tr w:rsidR="00256B14" w:rsidRPr="00877FDA" w14:paraId="354CD36A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24CBBDF1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>Median [Minimum, Maximum]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37429CA5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100.00 [51.1, 100.0]</w:t>
            </w: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11803478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100.00 [23.1, 100.0]</w:t>
            </w: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7E69A0DA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100.00 [23.1, 100.0]</w:t>
            </w:r>
          </w:p>
        </w:tc>
      </w:tr>
      <w:tr w:rsidR="00256B14" w:rsidRPr="00877FDA" w14:paraId="1026D02A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5F576C09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37D89001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0A193E13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056F0BDD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76F25647" w14:textId="77777777" w:rsidTr="004106B0">
        <w:trPr>
          <w:cantSplit/>
          <w:trHeight w:val="249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3C0C9B8C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Compliance in the study drug administration period (%)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4AB81DDB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145E25CA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7ADC77F1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0478FA74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49E4DA34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Mean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>± SD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6B93D2D5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95.20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 xml:space="preserve">± 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>11.13</w:t>
            </w: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210C1C55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93.81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 xml:space="preserve">± 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>15.56</w:t>
            </w: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68A7B288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94.47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 xml:space="preserve">± </w:t>
            </w:r>
            <w:r w:rsidRPr="00877FDA">
              <w:rPr>
                <w:rFonts w:ascii="Arial" w:hAnsi="Arial"/>
                <w:color w:val="000000" w:themeColor="text1"/>
                <w:sz w:val="18"/>
              </w:rPr>
              <w:t>13.57</w:t>
            </w:r>
          </w:p>
        </w:tc>
      </w:tr>
      <w:tr w:rsidR="00256B14" w:rsidRPr="00877FDA" w14:paraId="22806B01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302CEEF6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877FDA">
              <w:rPr>
                <w:rFonts w:ascii="Arial" w:hAnsi="Arial"/>
                <w:color w:val="000000" w:themeColor="text1"/>
                <w:kern w:val="0"/>
                <w:sz w:val="18"/>
              </w:rPr>
              <w:t>Median [Minimum, Maximum]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46D81D65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99.57 [51.7, 100.0]</w:t>
            </w: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6BEC9736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99.45 [23.1, 100.0]</w:t>
            </w: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6E71E58E" w14:textId="77777777" w:rsidR="00256B14" w:rsidRPr="00877FDA" w:rsidRDefault="00256B14" w:rsidP="004106B0">
            <w:pPr>
              <w:spacing w:line="260" w:lineRule="exact"/>
              <w:ind w:firstLineChars="50" w:firstLine="9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99.47 [23.1, 100.0]</w:t>
            </w:r>
          </w:p>
        </w:tc>
      </w:tr>
      <w:tr w:rsidR="00256B14" w:rsidRPr="00877FDA" w14:paraId="076CE09A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3395C6ED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13FD4978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76F82C20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29C1B5EC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7926D0EC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76F11A75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Period of primary assessment: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1A90E248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4345ADA9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63240D80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5609D37E" w14:textId="77777777" w:rsidTr="004106B0">
        <w:trPr>
          <w:cantSplit/>
          <w:trHeight w:val="249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6129DD60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Non-compliant subjects (1)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1E1E9E98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5 (14.3)</w:t>
            </w: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17B6E438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(7.7)</w:t>
            </w: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5E5DF842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8 (10.8)</w:t>
            </w:r>
          </w:p>
        </w:tc>
      </w:tr>
      <w:tr w:rsidR="00256B14" w:rsidRPr="00877FDA" w14:paraId="5E284964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5203689B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Overdose subjects (2)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67D0E85C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546EFA65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4088E0E3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</w:tr>
      <w:tr w:rsidR="00256B14" w:rsidRPr="00877FDA" w14:paraId="1881995F" w14:textId="77777777" w:rsidTr="004106B0">
        <w:trPr>
          <w:cantSplit/>
          <w:trHeight w:val="265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4A9474DE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3C5445EF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080BC123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45FD10FD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184857BE" w14:textId="77777777" w:rsidTr="004106B0">
        <w:trPr>
          <w:cantSplit/>
          <w:trHeight w:val="249"/>
          <w:jc w:val="center"/>
        </w:trPr>
        <w:tc>
          <w:tcPr>
            <w:tcW w:w="2640" w:type="dxa"/>
            <w:shd w:val="clear" w:color="auto" w:fill="FFFFFF"/>
            <w:tcMar>
              <w:left w:w="20" w:type="dxa"/>
              <w:right w:w="20" w:type="dxa"/>
            </w:tcMar>
          </w:tcPr>
          <w:p w14:paraId="3EE594B9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Study drug administration period:</w:t>
            </w:r>
          </w:p>
        </w:tc>
        <w:tc>
          <w:tcPr>
            <w:tcW w:w="2203" w:type="dxa"/>
            <w:shd w:val="clear" w:color="auto" w:fill="FFFFFF"/>
            <w:tcMar>
              <w:left w:w="20" w:type="dxa"/>
              <w:right w:w="20" w:type="dxa"/>
            </w:tcMar>
          </w:tcPr>
          <w:p w14:paraId="0887546D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208" w:type="dxa"/>
            <w:shd w:val="clear" w:color="auto" w:fill="FFFFFF"/>
            <w:tcMar>
              <w:left w:w="20" w:type="dxa"/>
              <w:right w:w="20" w:type="dxa"/>
            </w:tcMar>
          </w:tcPr>
          <w:p w14:paraId="4ABE9D8F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  <w:tc>
          <w:tcPr>
            <w:tcW w:w="2068" w:type="dxa"/>
            <w:shd w:val="clear" w:color="auto" w:fill="FFFFFF"/>
            <w:tcMar>
              <w:left w:w="20" w:type="dxa"/>
              <w:right w:w="20" w:type="dxa"/>
            </w:tcMar>
          </w:tcPr>
          <w:p w14:paraId="0DAF4720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</w:p>
        </w:tc>
      </w:tr>
      <w:tr w:rsidR="00256B14" w:rsidRPr="00877FDA" w14:paraId="5F18F7DD" w14:textId="77777777" w:rsidTr="004106B0">
        <w:trPr>
          <w:cantSplit/>
          <w:trHeight w:val="265"/>
          <w:jc w:val="center"/>
        </w:trPr>
        <w:tc>
          <w:tcPr>
            <w:tcW w:w="2640" w:type="dxa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A5AC195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Non-compliant subjects (1)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6C13563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(8.6)</w:t>
            </w:r>
          </w:p>
        </w:tc>
        <w:tc>
          <w:tcPr>
            <w:tcW w:w="2208" w:type="dxa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D2A0302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3 (7.7)</w:t>
            </w:r>
          </w:p>
        </w:tc>
        <w:tc>
          <w:tcPr>
            <w:tcW w:w="2068" w:type="dxa"/>
            <w:tcBorders>
              <w:bottom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FC2613A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6 (8.1)</w:t>
            </w:r>
          </w:p>
        </w:tc>
      </w:tr>
      <w:tr w:rsidR="00256B14" w:rsidRPr="00877FDA" w14:paraId="29C23F34" w14:textId="77777777" w:rsidTr="004106B0">
        <w:trPr>
          <w:cantSplit/>
          <w:trHeight w:val="265"/>
          <w:jc w:val="center"/>
        </w:trPr>
        <w:tc>
          <w:tcPr>
            <w:tcW w:w="26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BE9B49F" w14:textId="77777777" w:rsidR="00256B14" w:rsidRPr="00877FDA" w:rsidRDefault="00256B14" w:rsidP="004106B0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 xml:space="preserve"> Overdose subjects (2)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2FC321B6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220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6BF116CF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B04FF48" w14:textId="77777777" w:rsidR="00256B14" w:rsidRPr="00877FDA" w:rsidRDefault="00256B14" w:rsidP="004106B0">
            <w:pPr>
              <w:spacing w:line="260" w:lineRule="exact"/>
              <w:ind w:firstLineChars="100" w:firstLine="180"/>
              <w:jc w:val="left"/>
              <w:rPr>
                <w:rFonts w:ascii="Arial" w:hAnsi="Arial"/>
                <w:color w:val="000000" w:themeColor="text1"/>
                <w:sz w:val="18"/>
              </w:rPr>
            </w:pPr>
            <w:r w:rsidRPr="00877FDA">
              <w:rPr>
                <w:rFonts w:ascii="Arial" w:hAnsi="Arial"/>
                <w:color w:val="000000" w:themeColor="text1"/>
                <w:sz w:val="18"/>
              </w:rPr>
              <w:t>0</w:t>
            </w:r>
          </w:p>
        </w:tc>
      </w:tr>
    </w:tbl>
    <w:p w14:paraId="1BFF83C3" w14:textId="77777777" w:rsidR="00256B14" w:rsidRPr="00877FDA" w:rsidRDefault="00256B14" w:rsidP="00256B14">
      <w:pPr>
        <w:spacing w:line="250" w:lineRule="exact"/>
        <w:rPr>
          <w:rFonts w:ascii="Arial" w:hAnsi="Arial"/>
          <w:color w:val="000000" w:themeColor="text1"/>
          <w:sz w:val="18"/>
        </w:rPr>
      </w:pPr>
    </w:p>
    <w:p w14:paraId="346E8976" w14:textId="77777777" w:rsidR="00256B14" w:rsidRPr="00877FDA" w:rsidRDefault="00256B14" w:rsidP="00256B14">
      <w:pPr>
        <w:spacing w:line="250" w:lineRule="exac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/>
          <w:color w:val="000000" w:themeColor="text1"/>
          <w:sz w:val="18"/>
        </w:rPr>
        <w:t xml:space="preserve">Percentages are calculated using the number of subjects in the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safety set</w:t>
      </w:r>
      <w:r w:rsidRPr="00877FDA">
        <w:rPr>
          <w:rFonts w:ascii="Arial" w:hAnsi="Arial"/>
          <w:color w:val="000000" w:themeColor="text1"/>
          <w:sz w:val="18"/>
        </w:rPr>
        <w:t xml:space="preserve"> as the denominator.</w:t>
      </w:r>
    </w:p>
    <w:p w14:paraId="0F9C417F" w14:textId="77777777" w:rsidR="00256B14" w:rsidRPr="00877FDA" w:rsidRDefault="00256B14" w:rsidP="00256B14">
      <w:pPr>
        <w:spacing w:line="250" w:lineRule="exac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/>
          <w:color w:val="000000" w:themeColor="text1"/>
          <w:sz w:val="18"/>
        </w:rPr>
        <w:t xml:space="preserve">For the period of primary assessment, if the date of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day</w:t>
      </w:r>
      <w:r w:rsidRPr="00877FDA">
        <w:rPr>
          <w:rFonts w:ascii="Arial" w:hAnsi="Arial"/>
          <w:color w:val="000000" w:themeColor="text1"/>
          <w:sz w:val="18"/>
        </w:rPr>
        <w:t xml:space="preserve"> 22 in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course one is</w:t>
      </w:r>
      <w:r w:rsidRPr="00877FDA">
        <w:rPr>
          <w:rFonts w:ascii="Arial" w:hAnsi="Arial"/>
          <w:color w:val="000000" w:themeColor="text1"/>
          <w:sz w:val="18"/>
        </w:rPr>
        <w:t xml:space="preserve"> missing, then the date was substituted by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that</w:t>
      </w:r>
      <w:r w:rsidRPr="00877FDA">
        <w:rPr>
          <w:rFonts w:ascii="Arial" w:hAnsi="Arial"/>
          <w:color w:val="000000" w:themeColor="text1"/>
          <w:sz w:val="18"/>
        </w:rPr>
        <w:t xml:space="preserve"> of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day</w:t>
      </w:r>
      <w:r w:rsidRPr="00877FDA">
        <w:rPr>
          <w:rFonts w:ascii="Arial" w:hAnsi="Arial"/>
          <w:color w:val="000000" w:themeColor="text1"/>
          <w:sz w:val="18"/>
        </w:rPr>
        <w:t xml:space="preserve"> 1 in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course</w:t>
      </w:r>
      <w:r w:rsidRPr="00877FDA">
        <w:rPr>
          <w:rFonts w:ascii="Arial" w:hAnsi="Arial"/>
          <w:color w:val="000000" w:themeColor="text1"/>
          <w:sz w:val="18"/>
        </w:rPr>
        <w:t xml:space="preserve"> 1 + 21.</w:t>
      </w:r>
    </w:p>
    <w:p w14:paraId="78895F81" w14:textId="77777777" w:rsidR="00256B14" w:rsidRPr="00562DC3" w:rsidRDefault="00256B14" w:rsidP="00256B14">
      <w:pPr>
        <w:spacing w:line="250" w:lineRule="exact"/>
        <w:rPr>
          <w:rFonts w:ascii="Arial" w:hAnsi="Arial"/>
          <w:color w:val="000000" w:themeColor="text1"/>
          <w:sz w:val="18"/>
        </w:rPr>
      </w:pPr>
      <w:r w:rsidRPr="00877FDA">
        <w:rPr>
          <w:rFonts w:ascii="Arial" w:hAnsi="Arial" w:cs="Arial"/>
          <w:color w:val="000000" w:themeColor="text1"/>
          <w:sz w:val="18"/>
          <w:szCs w:val="20"/>
        </w:rPr>
        <w:t>Noncompliance</w:t>
      </w:r>
      <w:r w:rsidRPr="00877FDA">
        <w:rPr>
          <w:rFonts w:ascii="Arial" w:hAnsi="Arial"/>
          <w:color w:val="000000" w:themeColor="text1"/>
          <w:sz w:val="18"/>
        </w:rPr>
        <w:t xml:space="preserve"> was defined as &lt;80%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compliance.</w:t>
      </w:r>
      <w:r w:rsidRPr="00877FDA">
        <w:rPr>
          <w:rFonts w:ascii="Arial" w:hAnsi="Arial"/>
          <w:color w:val="000000" w:themeColor="text1"/>
          <w:sz w:val="18"/>
        </w:rPr>
        <w:t xml:space="preserve"> Overdose was defined as &gt;100% </w:t>
      </w:r>
      <w:r w:rsidRPr="00877FDA">
        <w:rPr>
          <w:rFonts w:ascii="Arial" w:hAnsi="Arial" w:cs="Arial"/>
          <w:color w:val="000000" w:themeColor="text1"/>
          <w:sz w:val="18"/>
          <w:szCs w:val="20"/>
        </w:rPr>
        <w:t>compliance</w:t>
      </w:r>
      <w:r w:rsidRPr="00877FDA">
        <w:rPr>
          <w:rFonts w:ascii="Arial" w:hAnsi="Arial"/>
          <w:color w:val="000000" w:themeColor="text1"/>
          <w:sz w:val="18"/>
        </w:rPr>
        <w:t>.</w:t>
      </w:r>
    </w:p>
    <w:p w14:paraId="3859EE01" w14:textId="77777777" w:rsidR="004E50D9" w:rsidRPr="00256B14" w:rsidRDefault="00000000"/>
    <w:sectPr w:rsidR="004E50D9" w:rsidRPr="00256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C64A" w14:textId="77777777" w:rsidR="00142ED6" w:rsidRDefault="00142ED6" w:rsidP="003514E3">
      <w:r>
        <w:separator/>
      </w:r>
    </w:p>
  </w:endnote>
  <w:endnote w:type="continuationSeparator" w:id="0">
    <w:p w14:paraId="13FBE741" w14:textId="77777777" w:rsidR="00142ED6" w:rsidRDefault="00142ED6" w:rsidP="0035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BECF" w14:textId="77777777" w:rsidR="00142ED6" w:rsidRDefault="00142ED6" w:rsidP="003514E3">
      <w:r>
        <w:separator/>
      </w:r>
    </w:p>
  </w:footnote>
  <w:footnote w:type="continuationSeparator" w:id="0">
    <w:p w14:paraId="18F1E8CA" w14:textId="77777777" w:rsidR="00142ED6" w:rsidRDefault="00142ED6" w:rsidP="0035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4"/>
    <w:rsid w:val="00142ED6"/>
    <w:rsid w:val="00256B14"/>
    <w:rsid w:val="003514E3"/>
    <w:rsid w:val="00A1053A"/>
    <w:rsid w:val="00B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37EB4"/>
  <w15:chartTrackingRefBased/>
  <w15:docId w15:val="{31668F3D-47F7-41A0-9449-1B60FD8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14"/>
    <w:pPr>
      <w:widowControl w:val="0"/>
      <w:jc w:val="both"/>
    </w:pPr>
    <w:rPr>
      <w:rFonts w:ascii="游明朝" w:eastAsia="游明朝" w:hAnsi="游明朝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4E3"/>
    <w:rPr>
      <w:rFonts w:ascii="游明朝" w:eastAsia="游明朝" w:hAnsi="游明朝" w:cs="SimSun"/>
    </w:rPr>
  </w:style>
  <w:style w:type="paragraph" w:styleId="a5">
    <w:name w:val="footer"/>
    <w:basedOn w:val="a"/>
    <w:link w:val="a6"/>
    <w:uiPriority w:val="99"/>
    <w:unhideWhenUsed/>
    <w:rsid w:val="00351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4E3"/>
    <w:rPr>
      <w:rFonts w:ascii="游明朝" w:eastAsia="游明朝" w:hAnsi="游明朝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元夫(SBIファーマ)</dc:creator>
  <cp:keywords/>
  <dc:description/>
  <cp:lastModifiedBy>中島　元夫(SBIファーマ)</cp:lastModifiedBy>
  <cp:revision>2</cp:revision>
  <dcterms:created xsi:type="dcterms:W3CDTF">2022-07-25T05:28:00Z</dcterms:created>
  <dcterms:modified xsi:type="dcterms:W3CDTF">2022-07-25T06:41:00Z</dcterms:modified>
</cp:coreProperties>
</file>