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2884" w14:textId="77777777" w:rsidR="007038E9" w:rsidRPr="007038E9" w:rsidRDefault="007038E9" w:rsidP="007038E9">
      <w:pPr>
        <w:spacing w:after="0" w:line="480" w:lineRule="auto"/>
        <w:jc w:val="both"/>
        <w:rPr>
          <w:rFonts w:cstheme="minorHAnsi"/>
          <w:b/>
          <w:sz w:val="24"/>
          <w:szCs w:val="24"/>
          <w:lang w:val="en-US"/>
        </w:rPr>
      </w:pPr>
      <w:bookmarkStart w:id="0" w:name="_Hlk89102914"/>
      <w:r w:rsidRPr="007038E9">
        <w:rPr>
          <w:rFonts w:cstheme="minorHAnsi"/>
          <w:b/>
          <w:sz w:val="24"/>
          <w:szCs w:val="24"/>
          <w:lang w:val="en-US"/>
        </w:rPr>
        <w:t xml:space="preserve">Prognostic Factors Across Poorly Differentiated Neuroendocrine Neoplasms: </w:t>
      </w:r>
      <w:proofErr w:type="gramStart"/>
      <w:r w:rsidRPr="007038E9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7038E9">
        <w:rPr>
          <w:rFonts w:cstheme="minorHAnsi"/>
          <w:b/>
          <w:sz w:val="24"/>
          <w:szCs w:val="24"/>
          <w:lang w:val="en-US"/>
        </w:rPr>
        <w:t xml:space="preserve"> Pooled Analysis</w:t>
      </w:r>
    </w:p>
    <w:bookmarkEnd w:id="0"/>
    <w:p w14:paraId="7AE22F1C" w14:textId="77777777" w:rsidR="007038E9" w:rsidRPr="00A74AD4" w:rsidRDefault="007038E9">
      <w:pPr>
        <w:rPr>
          <w:b/>
          <w:sz w:val="24"/>
          <w:szCs w:val="24"/>
          <w:lang w:val="en-US"/>
        </w:rPr>
      </w:pPr>
    </w:p>
    <w:p w14:paraId="5236393C" w14:textId="77777777" w:rsidR="00AC1FBE" w:rsidRPr="00A74AD4" w:rsidRDefault="007038E9">
      <w:pPr>
        <w:rPr>
          <w:b/>
          <w:sz w:val="24"/>
          <w:szCs w:val="24"/>
          <w:lang w:val="en-US"/>
        </w:rPr>
      </w:pPr>
      <w:r w:rsidRPr="00A74AD4">
        <w:rPr>
          <w:b/>
          <w:sz w:val="24"/>
          <w:szCs w:val="24"/>
          <w:lang w:val="en-US"/>
        </w:rPr>
        <w:t>SUPPLEMENTARY MATERIALS.</w:t>
      </w:r>
    </w:p>
    <w:p w14:paraId="053E9A94" w14:textId="77777777" w:rsidR="00334B2A" w:rsidRDefault="00334B2A" w:rsidP="00334B2A">
      <w:pPr>
        <w:spacing w:after="0" w:line="360" w:lineRule="auto"/>
        <w:jc w:val="both"/>
        <w:rPr>
          <w:rFonts w:cs="Arial"/>
          <w:b/>
          <w:bCs/>
          <w:color w:val="000000" w:themeColor="text1"/>
          <w:sz w:val="24"/>
          <w:lang w:val="en-US"/>
        </w:rPr>
      </w:pPr>
    </w:p>
    <w:p w14:paraId="4DBCC2D5" w14:textId="77777777" w:rsidR="00334B2A" w:rsidRPr="00AF2261" w:rsidRDefault="00334B2A" w:rsidP="00334B2A">
      <w:pPr>
        <w:spacing w:after="0" w:line="360" w:lineRule="auto"/>
        <w:jc w:val="both"/>
        <w:rPr>
          <w:rFonts w:cs="Arial"/>
          <w:b/>
          <w:bCs/>
          <w:color w:val="000000" w:themeColor="text1"/>
          <w:sz w:val="24"/>
          <w:lang w:val="en-US"/>
        </w:rPr>
      </w:pPr>
      <w:r w:rsidRPr="00AF2261">
        <w:rPr>
          <w:rFonts w:cs="Arial"/>
          <w:b/>
          <w:bCs/>
          <w:color w:val="000000" w:themeColor="text1"/>
          <w:sz w:val="24"/>
          <w:lang w:val="en-US"/>
        </w:rPr>
        <w:t>Supplementary Methods</w:t>
      </w:r>
    </w:p>
    <w:p w14:paraId="5D8B3F84" w14:textId="77777777" w:rsidR="00334B2A" w:rsidRPr="00AF2261" w:rsidRDefault="00334B2A" w:rsidP="00334B2A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42109880" w14:textId="77777777" w:rsidR="00334B2A" w:rsidRPr="00353A0B" w:rsidRDefault="00334B2A" w:rsidP="00334B2A">
      <w:pPr>
        <w:widowControl w:val="0"/>
        <w:autoSpaceDE w:val="0"/>
        <w:autoSpaceDN w:val="0"/>
        <w:adjustRightInd w:val="0"/>
        <w:spacing w:after="0" w:line="480" w:lineRule="auto"/>
        <w:rPr>
          <w:rFonts w:cstheme="minorHAnsi"/>
          <w:bCs/>
          <w:i/>
          <w:sz w:val="24"/>
          <w:szCs w:val="24"/>
          <w:lang w:val="en-US"/>
        </w:rPr>
      </w:pPr>
      <w:r w:rsidRPr="00353A0B">
        <w:rPr>
          <w:rFonts w:cstheme="minorHAnsi"/>
          <w:bCs/>
          <w:i/>
          <w:sz w:val="24"/>
          <w:szCs w:val="24"/>
          <w:lang w:val="en-US"/>
        </w:rPr>
        <w:t>Statistical Analysis</w:t>
      </w:r>
    </w:p>
    <w:p w14:paraId="11B72F69" w14:textId="157C5731" w:rsidR="00334B2A" w:rsidRPr="00EE6064" w:rsidRDefault="00334B2A" w:rsidP="00334B2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  <w:r w:rsidRPr="00EE6064">
        <w:rPr>
          <w:rFonts w:cstheme="minorHAnsi"/>
          <w:sz w:val="24"/>
          <w:szCs w:val="24"/>
          <w:lang w:val="en-US"/>
        </w:rPr>
        <w:t xml:space="preserve">Data were analyzed by descriptive statistics. Clinical and pathologic characteristics of patients were stratified according to tumor site: colorectal, gastroesophageal, lung, pancreas, gallbladder/biliary and ileum–cecum–duodenum. Differences in frequencies were assessed </w:t>
      </w:r>
      <w:r w:rsidR="001139E2">
        <w:rPr>
          <w:rFonts w:cstheme="minorHAnsi"/>
          <w:sz w:val="24"/>
          <w:szCs w:val="24"/>
          <w:lang w:val="en-US"/>
        </w:rPr>
        <w:t>as appropriate with the χ2 or the Fisher exact test</w:t>
      </w:r>
      <w:r w:rsidRPr="00EE6064">
        <w:rPr>
          <w:rFonts w:cstheme="minorHAnsi"/>
          <w:sz w:val="24"/>
          <w:szCs w:val="24"/>
          <w:lang w:val="en-US"/>
        </w:rPr>
        <w:t>. Ki</w:t>
      </w:r>
      <w:r>
        <w:rPr>
          <w:rFonts w:cstheme="minorHAnsi"/>
          <w:sz w:val="24"/>
          <w:szCs w:val="24"/>
          <w:lang w:val="en-US"/>
        </w:rPr>
        <w:t>-</w:t>
      </w:r>
      <w:r w:rsidRPr="00EE6064">
        <w:rPr>
          <w:rFonts w:cstheme="minorHAnsi"/>
          <w:sz w:val="24"/>
          <w:szCs w:val="24"/>
          <w:lang w:val="en-US"/>
        </w:rPr>
        <w:t>67 cut-off values that best identify subjects who died early (within 3 years from surgery) were evaluated with a receiver operating characteristic (ROC) curve. The area under the curve (AUC) was calculated to determine the diagnostic value of the test. Optimal cut-off points for Ki</w:t>
      </w:r>
      <w:r>
        <w:rPr>
          <w:rFonts w:cstheme="minorHAnsi"/>
          <w:sz w:val="24"/>
          <w:szCs w:val="24"/>
          <w:lang w:val="en-US"/>
        </w:rPr>
        <w:t>-</w:t>
      </w:r>
      <w:r w:rsidRPr="00EE6064">
        <w:rPr>
          <w:rFonts w:cstheme="minorHAnsi"/>
          <w:sz w:val="24"/>
          <w:szCs w:val="24"/>
          <w:lang w:val="en-US"/>
        </w:rPr>
        <w:t xml:space="preserve">67 values were determined using the Youden index, which calculates the cut-off point based on the </w:t>
      </w:r>
      <w:r w:rsidR="001139E2">
        <w:rPr>
          <w:rFonts w:cstheme="minorHAnsi"/>
          <w:sz w:val="24"/>
          <w:szCs w:val="24"/>
          <w:lang w:val="en-US"/>
        </w:rPr>
        <w:t>sum of sensitivity and specificity maximization</w:t>
      </w:r>
      <w:r w:rsidRPr="00EE6064">
        <w:rPr>
          <w:rFonts w:cstheme="minorHAnsi"/>
          <w:sz w:val="24"/>
          <w:szCs w:val="24"/>
          <w:lang w:val="en-US"/>
        </w:rPr>
        <w:t>.</w:t>
      </w:r>
    </w:p>
    <w:p w14:paraId="3BA27881" w14:textId="015DBD50" w:rsidR="00334B2A" w:rsidRPr="00EE6064" w:rsidRDefault="00334B2A" w:rsidP="00334B2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  <w:r w:rsidRPr="00EE6064">
        <w:rPr>
          <w:rFonts w:cstheme="minorHAnsi"/>
          <w:i/>
          <w:sz w:val="24"/>
          <w:szCs w:val="24"/>
          <w:lang w:val="en-US"/>
        </w:rPr>
        <w:t>TP53, KRAS, BRAF</w:t>
      </w:r>
      <w:r w:rsidRPr="00EE6064">
        <w:rPr>
          <w:rFonts w:cstheme="minorHAnsi"/>
          <w:sz w:val="24"/>
          <w:szCs w:val="24"/>
          <w:lang w:val="en-US"/>
        </w:rPr>
        <w:t xml:space="preserve"> and </w:t>
      </w:r>
      <w:r w:rsidRPr="00EE6064">
        <w:rPr>
          <w:rFonts w:cstheme="minorHAnsi"/>
          <w:i/>
          <w:sz w:val="24"/>
          <w:szCs w:val="24"/>
          <w:lang w:val="en-US"/>
        </w:rPr>
        <w:t>RB1</w:t>
      </w:r>
      <w:r w:rsidRPr="00EE6064">
        <w:rPr>
          <w:rFonts w:cstheme="minorHAnsi"/>
          <w:sz w:val="24"/>
          <w:szCs w:val="24"/>
          <w:lang w:val="en-US"/>
        </w:rPr>
        <w:t xml:space="preserve"> molecular markers showed a high number of missing values</w:t>
      </w:r>
      <w:r>
        <w:rPr>
          <w:rFonts w:cstheme="minorHAnsi"/>
          <w:sz w:val="24"/>
          <w:szCs w:val="24"/>
          <w:lang w:val="en-US"/>
        </w:rPr>
        <w:t xml:space="preserve">. </w:t>
      </w:r>
      <w:r w:rsidRPr="00EE6064">
        <w:rPr>
          <w:rFonts w:cstheme="minorHAnsi"/>
          <w:sz w:val="24"/>
          <w:szCs w:val="24"/>
          <w:lang w:val="en-US"/>
        </w:rPr>
        <w:t xml:space="preserve">Variables with less than 30% missing values were imputed with the </w:t>
      </w:r>
      <w:proofErr w:type="spellStart"/>
      <w:r w:rsidRPr="00EE6064">
        <w:rPr>
          <w:rFonts w:cstheme="minorHAnsi"/>
          <w:sz w:val="24"/>
          <w:szCs w:val="24"/>
          <w:lang w:val="en-US"/>
        </w:rPr>
        <w:t>MissForest</w:t>
      </w:r>
      <w:proofErr w:type="spellEnd"/>
      <w:r w:rsidRPr="00EE6064">
        <w:rPr>
          <w:rFonts w:cstheme="minorHAnsi"/>
          <w:sz w:val="24"/>
          <w:szCs w:val="24"/>
          <w:lang w:val="en-US"/>
        </w:rPr>
        <w:t xml:space="preserve"> algorithm of </w:t>
      </w:r>
      <w:r>
        <w:rPr>
          <w:rFonts w:cstheme="minorHAnsi"/>
          <w:sz w:val="24"/>
          <w:szCs w:val="24"/>
          <w:lang w:val="en-US"/>
        </w:rPr>
        <w:t xml:space="preserve">the </w:t>
      </w:r>
      <w:proofErr w:type="spellStart"/>
      <w:r w:rsidRPr="00EE6064">
        <w:rPr>
          <w:rFonts w:cstheme="minorHAnsi"/>
          <w:sz w:val="24"/>
          <w:szCs w:val="24"/>
          <w:lang w:val="en-US"/>
        </w:rPr>
        <w:t>randomForestSRC</w:t>
      </w:r>
      <w:proofErr w:type="spellEnd"/>
      <w:r w:rsidRPr="00EE6064">
        <w:rPr>
          <w:rFonts w:cstheme="minorHAnsi"/>
          <w:sz w:val="24"/>
          <w:szCs w:val="24"/>
          <w:lang w:val="en-US"/>
        </w:rPr>
        <w:t xml:space="preserve"> package</w:t>
      </w:r>
      <w:r>
        <w:rPr>
          <w:rFonts w:cstheme="minorHAnsi"/>
          <w:sz w:val="24"/>
          <w:szCs w:val="24"/>
          <w:lang w:val="en-US"/>
        </w:rPr>
        <w:t>.</w:t>
      </w:r>
      <w:r w:rsidRPr="001C6583">
        <w:rPr>
          <w:rFonts w:cstheme="minorHAnsi"/>
          <w:sz w:val="24"/>
          <w:szCs w:val="24"/>
          <w:vertAlign w:val="superscript"/>
          <w:lang w:val="en-US"/>
        </w:rPr>
        <w:t>1</w:t>
      </w:r>
      <w:r w:rsidRPr="00EE6064">
        <w:rPr>
          <w:rFonts w:cstheme="minorHAnsi"/>
          <w:sz w:val="24"/>
          <w:szCs w:val="24"/>
          <w:lang w:val="en-US"/>
        </w:rPr>
        <w:t xml:space="preserve"> </w:t>
      </w:r>
      <w:r w:rsidRPr="00EE6064">
        <w:rPr>
          <w:rFonts w:cstheme="minorHAnsi"/>
          <w:i/>
          <w:sz w:val="24"/>
          <w:szCs w:val="24"/>
          <w:lang w:val="en-US"/>
        </w:rPr>
        <w:t>TP53, KRAS, BRAF</w:t>
      </w:r>
      <w:r w:rsidRPr="00EE6064">
        <w:rPr>
          <w:rFonts w:cstheme="minorHAnsi"/>
          <w:iCs/>
          <w:sz w:val="24"/>
          <w:szCs w:val="24"/>
          <w:lang w:val="en-US"/>
        </w:rPr>
        <w:t xml:space="preserve"> </w:t>
      </w:r>
      <w:r w:rsidRPr="00EE6064">
        <w:rPr>
          <w:rFonts w:cstheme="minorHAnsi"/>
          <w:sz w:val="24"/>
          <w:szCs w:val="24"/>
          <w:lang w:val="en-US"/>
        </w:rPr>
        <w:t xml:space="preserve">and </w:t>
      </w:r>
      <w:r w:rsidRPr="00EE6064">
        <w:rPr>
          <w:rFonts w:cstheme="minorHAnsi"/>
          <w:i/>
          <w:sz w:val="24"/>
          <w:szCs w:val="24"/>
          <w:lang w:val="en-US"/>
        </w:rPr>
        <w:t>RB1</w:t>
      </w:r>
      <w:r w:rsidRPr="00EE6064">
        <w:rPr>
          <w:rFonts w:cstheme="minorHAnsi"/>
          <w:sz w:val="24"/>
          <w:szCs w:val="24"/>
          <w:lang w:val="en-US"/>
        </w:rPr>
        <w:t xml:space="preserve"> molecular risk factors were evaluated only in the subgroup of 169 patients </w:t>
      </w:r>
      <w:r>
        <w:rPr>
          <w:rFonts w:cstheme="minorHAnsi"/>
          <w:sz w:val="24"/>
          <w:szCs w:val="24"/>
          <w:lang w:val="en-US"/>
        </w:rPr>
        <w:t>for whom</w:t>
      </w:r>
      <w:r w:rsidRPr="00EE6064">
        <w:rPr>
          <w:rFonts w:cstheme="minorHAnsi"/>
          <w:sz w:val="24"/>
          <w:szCs w:val="24"/>
          <w:lang w:val="en-US"/>
        </w:rPr>
        <w:t xml:space="preserve"> the molecular analyses were </w:t>
      </w:r>
      <w:r>
        <w:rPr>
          <w:rFonts w:cstheme="minorHAnsi"/>
          <w:sz w:val="24"/>
          <w:szCs w:val="24"/>
          <w:lang w:val="en-US"/>
        </w:rPr>
        <w:t>available</w:t>
      </w:r>
      <w:r w:rsidRPr="00EE6064">
        <w:rPr>
          <w:rFonts w:cstheme="minorHAnsi"/>
          <w:sz w:val="24"/>
          <w:szCs w:val="24"/>
          <w:lang w:val="en-US"/>
        </w:rPr>
        <w:t xml:space="preserve">. OS curves were </w:t>
      </w:r>
      <w:r>
        <w:rPr>
          <w:rFonts w:cstheme="minorHAnsi"/>
          <w:sz w:val="24"/>
          <w:szCs w:val="24"/>
          <w:lang w:val="en-US"/>
        </w:rPr>
        <w:t>calculated</w:t>
      </w:r>
      <w:r w:rsidRPr="00EE6064">
        <w:rPr>
          <w:rFonts w:cstheme="minorHAnsi"/>
          <w:sz w:val="24"/>
          <w:szCs w:val="24"/>
          <w:lang w:val="en-US"/>
        </w:rPr>
        <w:t xml:space="preserve"> using the Kaplan–Meier method. The log-rank test </w:t>
      </w:r>
      <w:r w:rsidR="001139E2">
        <w:rPr>
          <w:rFonts w:cstheme="minorHAnsi"/>
          <w:sz w:val="24"/>
          <w:szCs w:val="24"/>
          <w:lang w:val="en-US"/>
        </w:rPr>
        <w:t>assessed</w:t>
      </w:r>
      <w:r w:rsidRPr="00EE6064">
        <w:rPr>
          <w:rFonts w:cstheme="minorHAnsi"/>
          <w:sz w:val="24"/>
          <w:szCs w:val="24"/>
          <w:lang w:val="en-US"/>
        </w:rPr>
        <w:t xml:space="preserve"> the survival difference between patient groups. Univariable and multivariable Cox proportional regression analyses </w:t>
      </w:r>
      <w:r w:rsidR="001139E2">
        <w:rPr>
          <w:rFonts w:cstheme="minorHAnsi"/>
          <w:sz w:val="24"/>
          <w:szCs w:val="24"/>
          <w:lang w:val="en-US"/>
        </w:rPr>
        <w:t>assessed</w:t>
      </w:r>
      <w:r w:rsidRPr="00EE6064">
        <w:rPr>
          <w:rFonts w:cstheme="minorHAnsi"/>
          <w:sz w:val="24"/>
          <w:szCs w:val="24"/>
          <w:lang w:val="en-US"/>
        </w:rPr>
        <w:t xml:space="preserve"> </w:t>
      </w:r>
      <w:r w:rsidRPr="00EE6064">
        <w:rPr>
          <w:rFonts w:cstheme="minorHAnsi"/>
          <w:sz w:val="24"/>
          <w:szCs w:val="24"/>
          <w:lang w:val="en-US"/>
        </w:rPr>
        <w:lastRenderedPageBreak/>
        <w:t xml:space="preserve">the association between clinicopathological characteristics and </w:t>
      </w:r>
      <w:r>
        <w:rPr>
          <w:rFonts w:cstheme="minorHAnsi"/>
          <w:sz w:val="24"/>
          <w:szCs w:val="24"/>
          <w:lang w:val="en-US"/>
        </w:rPr>
        <w:t>overall survival (</w:t>
      </w:r>
      <w:r w:rsidRPr="00EE6064">
        <w:rPr>
          <w:rFonts w:cstheme="minorHAnsi"/>
          <w:sz w:val="24"/>
          <w:szCs w:val="24"/>
          <w:lang w:val="en-US"/>
        </w:rPr>
        <w:t>OS</w:t>
      </w:r>
      <w:r>
        <w:rPr>
          <w:rFonts w:cstheme="minorHAnsi"/>
          <w:sz w:val="24"/>
          <w:szCs w:val="24"/>
          <w:lang w:val="en-US"/>
        </w:rPr>
        <w:t>)</w:t>
      </w:r>
      <w:r w:rsidRPr="00EE6064">
        <w:rPr>
          <w:rFonts w:cstheme="minorHAnsi"/>
          <w:sz w:val="24"/>
          <w:szCs w:val="24"/>
          <w:lang w:val="en-US"/>
        </w:rPr>
        <w:t>. Hazard ratios (HRs) are presented with respective 95% CIs.</w:t>
      </w:r>
    </w:p>
    <w:p w14:paraId="62F5D0E4" w14:textId="04346109" w:rsidR="00334B2A" w:rsidRPr="00EE6064" w:rsidRDefault="00334B2A" w:rsidP="00334B2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562BC9">
        <w:rPr>
          <w:rFonts w:eastAsia="Times New Roman" w:cstheme="minorHAnsi"/>
          <w:sz w:val="24"/>
          <w:szCs w:val="24"/>
          <w:lang w:val="en-US"/>
        </w:rPr>
        <w:t xml:space="preserve">Random survival forests </w:t>
      </w:r>
      <w:r>
        <w:rPr>
          <w:rFonts w:eastAsia="Times New Roman" w:cstheme="minorHAnsi"/>
          <w:sz w:val="24"/>
          <w:szCs w:val="24"/>
          <w:lang w:val="en-US"/>
        </w:rPr>
        <w:t>(</w:t>
      </w:r>
      <w:r w:rsidRPr="00EE6064">
        <w:rPr>
          <w:rFonts w:eastAsia="Times New Roman" w:cstheme="minorHAnsi"/>
          <w:sz w:val="24"/>
          <w:szCs w:val="24"/>
          <w:lang w:val="en-US"/>
        </w:rPr>
        <w:t>RSF</w:t>
      </w:r>
      <w:r>
        <w:rPr>
          <w:rFonts w:eastAsia="Times New Roman" w:cstheme="minorHAnsi"/>
          <w:sz w:val="24"/>
          <w:szCs w:val="24"/>
          <w:lang w:val="en-US"/>
        </w:rPr>
        <w:t>)</w:t>
      </w:r>
      <w:r w:rsidRPr="001C6583">
        <w:rPr>
          <w:rFonts w:eastAsia="Times New Roman" w:cstheme="minorHAnsi"/>
          <w:sz w:val="24"/>
          <w:szCs w:val="24"/>
          <w:vertAlign w:val="superscript"/>
          <w:lang w:val="en-US"/>
        </w:rPr>
        <w:t>2,3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EE6064">
        <w:rPr>
          <w:rFonts w:eastAsia="Times New Roman" w:cstheme="minorHAnsi"/>
          <w:sz w:val="24"/>
          <w:szCs w:val="24"/>
          <w:lang w:val="en-US"/>
        </w:rPr>
        <w:t>is an extension of Random Forest techniques to survival settings, allowing efficient non-parametric analysis of time to event data.</w:t>
      </w:r>
      <w:r w:rsidRPr="00EE6064">
        <w:rPr>
          <w:rFonts w:cstheme="minorHAnsi"/>
          <w:sz w:val="24"/>
          <w:szCs w:val="24"/>
          <w:lang w:val="en-US"/>
        </w:rPr>
        <w:t xml:space="preserve"> </w:t>
      </w:r>
      <w:r w:rsidRPr="00EE6064">
        <w:rPr>
          <w:rFonts w:eastAsia="Times New Roman" w:cstheme="minorHAnsi"/>
          <w:sz w:val="24"/>
          <w:szCs w:val="24"/>
          <w:lang w:val="en-US"/>
        </w:rPr>
        <w:t xml:space="preserve">A forest of survival trees was grown using a log-rank splitting rule to select the optimal candidate variables. For each node </w:t>
      </w:r>
      <w:r w:rsidRPr="00EE6064">
        <w:rPr>
          <w:rFonts w:eastAsia="Times New Roman" w:cstheme="minorHAnsi"/>
          <w:i/>
          <w:sz w:val="24"/>
          <w:szCs w:val="24"/>
          <w:lang w:val="en-US"/>
        </w:rPr>
        <w:t>q=√p,</w:t>
      </w:r>
      <w:r w:rsidRPr="00EE6064">
        <w:rPr>
          <w:rFonts w:eastAsia="Times New Roman" w:cstheme="minorHAnsi"/>
          <w:sz w:val="24"/>
          <w:szCs w:val="24"/>
          <w:lang w:val="en-US"/>
        </w:rPr>
        <w:t xml:space="preserve"> the candidate variables were randomly selected from all </w:t>
      </w:r>
      <w:r w:rsidRPr="00EE6064">
        <w:rPr>
          <w:rFonts w:eastAsia="Times New Roman" w:cstheme="minorHAnsi"/>
          <w:i/>
          <w:sz w:val="24"/>
          <w:szCs w:val="24"/>
          <w:lang w:val="en-US"/>
        </w:rPr>
        <w:t>p</w:t>
      </w:r>
      <w:r w:rsidRPr="00EE6064">
        <w:rPr>
          <w:rFonts w:eastAsia="Times New Roman" w:cstheme="minorHAnsi"/>
          <w:sz w:val="24"/>
          <w:szCs w:val="24"/>
          <w:lang w:val="en-US"/>
        </w:rPr>
        <w:t xml:space="preserve"> variables in the survival tree to maximize the survival difference between the child nodes. T</w:t>
      </w:r>
      <w:r>
        <w:rPr>
          <w:rFonts w:eastAsia="Times New Roman" w:cstheme="minorHAnsi"/>
          <w:sz w:val="24"/>
          <w:szCs w:val="24"/>
          <w:lang w:val="en-US"/>
        </w:rPr>
        <w:t>he function used 63.3% samples to grow the forest</w:t>
      </w:r>
      <w:r w:rsidR="001139E2">
        <w:rPr>
          <w:rFonts w:eastAsia="Times New Roman" w:cstheme="minorHAnsi"/>
          <w:sz w:val="24"/>
          <w:szCs w:val="24"/>
          <w:lang w:val="en-US"/>
        </w:rPr>
        <w:t>,</w:t>
      </w:r>
      <w:r w:rsidRPr="00EE6064">
        <w:rPr>
          <w:rFonts w:eastAsia="Times New Roman" w:cstheme="minorHAnsi"/>
          <w:sz w:val="24"/>
          <w:szCs w:val="24"/>
          <w:lang w:val="en-US"/>
        </w:rPr>
        <w:t xml:space="preserve"> while the remaining 36.8% of observations, called the </w:t>
      </w:r>
      <w:r w:rsidRPr="00EE6064">
        <w:rPr>
          <w:rFonts w:cstheme="minorHAnsi"/>
          <w:sz w:val="24"/>
          <w:szCs w:val="24"/>
          <w:lang w:val="en-US"/>
        </w:rPr>
        <w:t>out-of-bag</w:t>
      </w:r>
      <w:r w:rsidRPr="001C6583">
        <w:rPr>
          <w:rFonts w:cstheme="minorHAnsi"/>
          <w:sz w:val="24"/>
          <w:szCs w:val="24"/>
          <w:vertAlign w:val="superscript"/>
          <w:lang w:val="en-US"/>
        </w:rPr>
        <w:t>4</w:t>
      </w:r>
      <w:r w:rsidRPr="00EE6064">
        <w:rPr>
          <w:rFonts w:eastAsia="Times New Roman" w:cstheme="minorHAnsi"/>
          <w:sz w:val="24"/>
          <w:szCs w:val="24"/>
          <w:lang w:val="en-US"/>
        </w:rPr>
        <w:t xml:space="preserve"> sample, was used as a hold-out test set for each tree. </w:t>
      </w:r>
      <w:r>
        <w:rPr>
          <w:rFonts w:eastAsia="Times New Roman" w:cstheme="minorHAnsi"/>
          <w:sz w:val="24"/>
          <w:szCs w:val="24"/>
          <w:lang w:val="en-US"/>
        </w:rPr>
        <w:t xml:space="preserve">Specifically, </w:t>
      </w:r>
      <w:r w:rsidRPr="00EE6064">
        <w:rPr>
          <w:rFonts w:eastAsia="Times New Roman" w:cstheme="minorHAnsi"/>
          <w:sz w:val="24"/>
          <w:szCs w:val="24"/>
          <w:lang w:val="en-US"/>
        </w:rPr>
        <w:t>the function used 267 samples</w:t>
      </w:r>
      <w:r>
        <w:rPr>
          <w:rFonts w:eastAsia="Times New Roman" w:cstheme="minorHAnsi"/>
          <w:sz w:val="24"/>
          <w:szCs w:val="24"/>
          <w:lang w:val="en-US"/>
        </w:rPr>
        <w:t>,</w:t>
      </w:r>
      <w:r w:rsidRPr="00EE6064">
        <w:rPr>
          <w:rFonts w:eastAsia="Times New Roman" w:cstheme="minorHAnsi"/>
          <w:sz w:val="24"/>
          <w:szCs w:val="24"/>
          <w:lang w:val="en-US"/>
        </w:rPr>
        <w:t xml:space="preserve"> while the remaining 155 samples (</w:t>
      </w:r>
      <w:r>
        <w:rPr>
          <w:rFonts w:eastAsia="Times New Roman" w:cstheme="minorHAnsi"/>
          <w:sz w:val="24"/>
          <w:szCs w:val="24"/>
          <w:lang w:val="en-US"/>
        </w:rPr>
        <w:t>o</w:t>
      </w:r>
      <w:r w:rsidRPr="00267F71">
        <w:rPr>
          <w:rFonts w:eastAsia="Times New Roman" w:cstheme="minorHAnsi"/>
          <w:sz w:val="24"/>
          <w:szCs w:val="24"/>
          <w:lang w:val="en-US"/>
        </w:rPr>
        <w:t>paque binary blob</w:t>
      </w:r>
      <w:r>
        <w:rPr>
          <w:rFonts w:eastAsia="Times New Roman" w:cstheme="minorHAnsi"/>
          <w:sz w:val="24"/>
          <w:szCs w:val="24"/>
          <w:lang w:val="en-US"/>
        </w:rPr>
        <w:t xml:space="preserve"> - </w:t>
      </w:r>
      <w:r w:rsidRPr="00EE6064">
        <w:rPr>
          <w:rFonts w:eastAsia="Times New Roman" w:cstheme="minorHAnsi"/>
          <w:sz w:val="24"/>
          <w:szCs w:val="24"/>
          <w:lang w:val="en-US"/>
        </w:rPr>
        <w:t xml:space="preserve">OBB samples) were used as a hold-out test set for each. The </w:t>
      </w:r>
      <w:r w:rsidRPr="00EE6064">
        <w:rPr>
          <w:rFonts w:cstheme="minorHAnsi"/>
          <w:sz w:val="24"/>
          <w:szCs w:val="24"/>
          <w:lang w:val="en-US"/>
        </w:rPr>
        <w:t>out-of-bag</w:t>
      </w:r>
      <w:r w:rsidRPr="00EE6064">
        <w:rPr>
          <w:rFonts w:eastAsia="Times New Roman" w:cstheme="minorHAnsi"/>
          <w:sz w:val="24"/>
          <w:szCs w:val="24"/>
          <w:lang w:val="en-US"/>
        </w:rPr>
        <w:t xml:space="preserve"> prediction error estimate was 33.</w:t>
      </w:r>
      <w:r>
        <w:rPr>
          <w:rFonts w:eastAsia="Times New Roman" w:cstheme="minorHAnsi"/>
          <w:sz w:val="24"/>
          <w:szCs w:val="24"/>
          <w:lang w:val="en-US"/>
        </w:rPr>
        <w:t>2</w:t>
      </w:r>
      <w:r w:rsidRPr="00EE6064">
        <w:rPr>
          <w:rFonts w:eastAsia="Times New Roman" w:cstheme="minorHAnsi"/>
          <w:sz w:val="24"/>
          <w:szCs w:val="24"/>
          <w:lang w:val="en-US"/>
        </w:rPr>
        <w:t>%</w:t>
      </w:r>
      <w:r>
        <w:rPr>
          <w:rFonts w:eastAsia="Times New Roman" w:cstheme="minorHAnsi"/>
          <w:sz w:val="24"/>
          <w:szCs w:val="24"/>
          <w:lang w:val="en-US"/>
        </w:rPr>
        <w:t>. A random log-rank split rule was used for continuous variables</w:t>
      </w:r>
      <w:r w:rsidRPr="00EE6064">
        <w:rPr>
          <w:rFonts w:eastAsia="Times New Roman" w:cstheme="minorHAnsi"/>
          <w:sz w:val="24"/>
          <w:szCs w:val="24"/>
          <w:lang w:val="en-US"/>
        </w:rPr>
        <w:t xml:space="preserve">, which </w:t>
      </w:r>
      <w:r>
        <w:rPr>
          <w:rFonts w:eastAsia="Times New Roman" w:cstheme="minorHAnsi"/>
          <w:sz w:val="24"/>
          <w:szCs w:val="24"/>
          <w:lang w:val="en-US"/>
        </w:rPr>
        <w:t xml:space="preserve">were </w:t>
      </w:r>
      <w:r w:rsidRPr="00EE6064">
        <w:rPr>
          <w:rFonts w:eastAsia="Times New Roman" w:cstheme="minorHAnsi"/>
          <w:sz w:val="24"/>
          <w:szCs w:val="24"/>
          <w:lang w:val="en-US"/>
        </w:rPr>
        <w:t>randomly select</w:t>
      </w:r>
      <w:r>
        <w:rPr>
          <w:rFonts w:eastAsia="Times New Roman" w:cstheme="minorHAnsi"/>
          <w:sz w:val="24"/>
          <w:szCs w:val="24"/>
          <w:lang w:val="en-US"/>
        </w:rPr>
        <w:t>ed</w:t>
      </w:r>
      <w:r w:rsidRPr="00EE6064">
        <w:rPr>
          <w:rFonts w:eastAsia="Times New Roman" w:cstheme="minorHAnsi"/>
          <w:sz w:val="24"/>
          <w:szCs w:val="24"/>
          <w:lang w:val="en-US"/>
        </w:rPr>
        <w:t xml:space="preserve"> from split = 10 split point values. </w:t>
      </w:r>
      <w:bookmarkStart w:id="1" w:name="_Hlk102601100"/>
      <w:r w:rsidRPr="00EE6064">
        <w:rPr>
          <w:rFonts w:eastAsia="Times New Roman" w:cstheme="minorHAnsi"/>
          <w:sz w:val="24"/>
          <w:szCs w:val="24"/>
          <w:lang w:val="en-US"/>
        </w:rPr>
        <w:t>Variable importance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bookmarkEnd w:id="1"/>
      <w:r>
        <w:rPr>
          <w:rFonts w:eastAsia="Times New Roman" w:cstheme="minorHAnsi"/>
          <w:sz w:val="24"/>
          <w:szCs w:val="24"/>
          <w:lang w:val="en-US"/>
        </w:rPr>
        <w:t>(VIMP)</w:t>
      </w:r>
      <w:r w:rsidRPr="00EE6064">
        <w:rPr>
          <w:rFonts w:eastAsia="Times New Roman" w:cstheme="minorHAnsi"/>
          <w:sz w:val="24"/>
          <w:szCs w:val="24"/>
          <w:lang w:val="en-US"/>
        </w:rPr>
        <w:t xml:space="preserve"> was used to estimate the importance of each variable. </w:t>
      </w:r>
      <w:r w:rsidRPr="00802BA6">
        <w:rPr>
          <w:rFonts w:eastAsia="Times New Roman" w:cstheme="minorHAnsi"/>
          <w:sz w:val="24"/>
          <w:szCs w:val="24"/>
          <w:lang w:val="en-US"/>
        </w:rPr>
        <w:t>VIMP for x is the prediction error for the original ensemble subtracted from the prediction error for the new ensemble obtained u</w:t>
      </w:r>
      <w:r>
        <w:rPr>
          <w:rFonts w:eastAsia="Times New Roman" w:cstheme="minorHAnsi"/>
          <w:sz w:val="24"/>
          <w:szCs w:val="24"/>
          <w:lang w:val="en-US"/>
        </w:rPr>
        <w:t>sing randomizing x assignments.</w:t>
      </w:r>
      <w:bookmarkStart w:id="2" w:name="_Hlk86184815"/>
      <w:r>
        <w:rPr>
          <w:rFonts w:eastAsia="Times New Roman" w:cstheme="minorHAnsi"/>
          <w:sz w:val="24"/>
          <w:szCs w:val="24"/>
          <w:vertAlign w:val="superscript"/>
          <w:lang w:val="en-US"/>
        </w:rPr>
        <w:t>3</w:t>
      </w:r>
      <w:r w:rsidRPr="00802BA6">
        <w:rPr>
          <w:rFonts w:eastAsia="Times New Roman" w:cstheme="minorHAnsi"/>
          <w:sz w:val="24"/>
          <w:szCs w:val="24"/>
          <w:lang w:val="en-US"/>
        </w:rPr>
        <w:t xml:space="preserve"> </w:t>
      </w:r>
      <w:bookmarkEnd w:id="2"/>
      <w:r w:rsidRPr="00802BA6">
        <w:rPr>
          <w:rFonts w:eastAsia="Times New Roman" w:cstheme="minorHAnsi"/>
          <w:sz w:val="24"/>
          <w:szCs w:val="24"/>
          <w:lang w:val="en-US"/>
        </w:rPr>
        <w:t>Positive values indicate variables with predictive ability, whereas zero or negative values ident</w:t>
      </w:r>
      <w:r>
        <w:rPr>
          <w:rFonts w:eastAsia="Times New Roman" w:cstheme="minorHAnsi"/>
          <w:sz w:val="24"/>
          <w:szCs w:val="24"/>
          <w:lang w:val="en-US"/>
        </w:rPr>
        <w:t>ify non-predictive variables</w:t>
      </w:r>
      <w:r w:rsidRPr="00514CCA">
        <w:rPr>
          <w:rFonts w:eastAsia="Times New Roman" w:cstheme="minorHAnsi"/>
          <w:sz w:val="24"/>
          <w:szCs w:val="24"/>
          <w:lang w:val="en-US"/>
        </w:rPr>
        <w:t>.</w:t>
      </w:r>
      <w:r>
        <w:rPr>
          <w:rFonts w:eastAsia="Times New Roman" w:cstheme="minorHAnsi"/>
          <w:sz w:val="24"/>
          <w:szCs w:val="24"/>
          <w:vertAlign w:val="superscript"/>
          <w:lang w:val="en-US"/>
        </w:rPr>
        <w:t>3</w:t>
      </w:r>
      <w:r w:rsidRPr="001C6583">
        <w:rPr>
          <w:rFonts w:eastAsia="Times New Roman" w:cstheme="minorHAnsi"/>
          <w:sz w:val="24"/>
          <w:szCs w:val="24"/>
          <w:vertAlign w:val="superscript"/>
          <w:lang w:val="en-US"/>
        </w:rPr>
        <w:t>,</w:t>
      </w:r>
      <w:r>
        <w:rPr>
          <w:rFonts w:eastAsia="Times New Roman" w:cstheme="minorHAnsi"/>
          <w:sz w:val="24"/>
          <w:szCs w:val="24"/>
          <w:vertAlign w:val="superscript"/>
          <w:lang w:val="en-US"/>
        </w:rPr>
        <w:t>5</w:t>
      </w:r>
    </w:p>
    <w:p w14:paraId="0B5BA77A" w14:textId="616D2DC0" w:rsidR="00334B2A" w:rsidRPr="00EE6064" w:rsidRDefault="00334B2A" w:rsidP="00334B2A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EE6064">
        <w:rPr>
          <w:rFonts w:eastAsia="Times New Roman" w:cstheme="minorHAnsi"/>
          <w:sz w:val="24"/>
          <w:szCs w:val="24"/>
          <w:lang w:val="en-US"/>
        </w:rPr>
        <w:t>The performance of prediction models was evaluated after bootstrapped cross-validation performed 100-times by discrimination ability and calibration with AUC and Brier score</w:t>
      </w:r>
      <w:r w:rsidR="001139E2">
        <w:rPr>
          <w:rFonts w:eastAsia="Times New Roman" w:cstheme="minorHAnsi"/>
          <w:sz w:val="24"/>
          <w:szCs w:val="24"/>
          <w:lang w:val="en-US"/>
        </w:rPr>
        <w:t>s</w:t>
      </w:r>
      <w:r w:rsidRPr="00EE6064">
        <w:rPr>
          <w:rFonts w:eastAsia="Times New Roman" w:cstheme="minorHAnsi"/>
          <w:sz w:val="24"/>
          <w:szCs w:val="24"/>
          <w:lang w:val="en-US"/>
        </w:rPr>
        <w:t>, respectively.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1139E2">
        <w:rPr>
          <w:rFonts w:cstheme="minorHAnsi"/>
          <w:sz w:val="24"/>
          <w:szCs w:val="24"/>
          <w:lang w:val="en-US"/>
        </w:rPr>
        <w:t>T</w:t>
      </w:r>
      <w:r>
        <w:rPr>
          <w:rFonts w:cstheme="minorHAnsi"/>
          <w:sz w:val="24"/>
          <w:szCs w:val="24"/>
          <w:lang w:val="en-US"/>
        </w:rPr>
        <w:t xml:space="preserve">he </w:t>
      </w:r>
      <w:r w:rsidRPr="00EE6064">
        <w:rPr>
          <w:rFonts w:cstheme="minorHAnsi"/>
          <w:sz w:val="24"/>
          <w:szCs w:val="24"/>
          <w:lang w:val="en-US"/>
        </w:rPr>
        <w:t xml:space="preserve">multivariable Cox Model and RSF showed a high-quality </w:t>
      </w:r>
      <w:r w:rsidRPr="00EE6064">
        <w:rPr>
          <w:rFonts w:eastAsia="Times New Roman" w:cstheme="minorHAnsi"/>
          <w:sz w:val="24"/>
          <w:szCs w:val="24"/>
          <w:lang w:val="en-US"/>
        </w:rPr>
        <w:t xml:space="preserve">prediction </w:t>
      </w:r>
      <w:r w:rsidRPr="00EE6064">
        <w:rPr>
          <w:rFonts w:cstheme="minorHAnsi"/>
          <w:sz w:val="24"/>
          <w:szCs w:val="24"/>
          <w:lang w:val="en-US"/>
        </w:rPr>
        <w:t xml:space="preserve">performance at 1, 2 and 3 years. Moreover, RSF </w:t>
      </w:r>
      <w:r w:rsidRPr="00EE6064">
        <w:rPr>
          <w:rFonts w:eastAsia="Times New Roman" w:cstheme="minorHAnsi"/>
          <w:sz w:val="24"/>
          <w:szCs w:val="24"/>
          <w:lang w:val="en-US"/>
        </w:rPr>
        <w:t>performed better</w:t>
      </w:r>
      <w:r w:rsidRPr="00EE6064">
        <w:rPr>
          <w:rFonts w:cstheme="minorHAnsi"/>
          <w:sz w:val="24"/>
          <w:szCs w:val="24"/>
          <w:lang w:val="en-US"/>
        </w:rPr>
        <w:t xml:space="preserve"> in discrimination ability (AUC 1 year 76 vs 77; 2 years 85 vs 87.7; 3 years 87.2 vs 89.1) w</w:t>
      </w:r>
      <w:r>
        <w:rPr>
          <w:rFonts w:cstheme="minorHAnsi"/>
          <w:sz w:val="24"/>
          <w:szCs w:val="24"/>
          <w:lang w:val="en-US"/>
        </w:rPr>
        <w:t>ith</w:t>
      </w:r>
      <w:r w:rsidRPr="00EE6064">
        <w:rPr>
          <w:rFonts w:cstheme="minorHAnsi"/>
          <w:sz w:val="24"/>
          <w:szCs w:val="24"/>
          <w:lang w:val="en-US"/>
        </w:rPr>
        <w:t xml:space="preserve"> similar calibratio</w:t>
      </w:r>
      <w:r>
        <w:rPr>
          <w:rFonts w:cstheme="minorHAnsi"/>
          <w:sz w:val="24"/>
          <w:szCs w:val="24"/>
          <w:lang w:val="en-US"/>
        </w:rPr>
        <w:t>n</w:t>
      </w:r>
      <w:r w:rsidRPr="00EE6064">
        <w:rPr>
          <w:rFonts w:cstheme="minorHAnsi"/>
          <w:sz w:val="24"/>
          <w:szCs w:val="24"/>
          <w:lang w:val="en-US"/>
        </w:rPr>
        <w:t xml:space="preserve"> (Brier score 1 year 0.199 vs 0.195; 2 years 0.114 vs 0.106; 3 years 0.074 vs 0.073).</w:t>
      </w:r>
    </w:p>
    <w:p w14:paraId="5634B555" w14:textId="34810CD2" w:rsidR="00334B2A" w:rsidRDefault="00334B2A" w:rsidP="00334B2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  <w:r w:rsidRPr="00EE6064">
        <w:rPr>
          <w:rFonts w:cstheme="minorHAnsi"/>
          <w:sz w:val="24"/>
          <w:szCs w:val="24"/>
          <w:lang w:val="en-US"/>
        </w:rPr>
        <w:lastRenderedPageBreak/>
        <w:t>Data analysis was performed using the R environment for statistical computing and graphics (R Foundation, Vienna, Austria – Version 3.6.2). All tests were two-sided</w:t>
      </w:r>
      <w:r w:rsidR="001139E2">
        <w:rPr>
          <w:rFonts w:cstheme="minorHAnsi"/>
          <w:sz w:val="24"/>
          <w:szCs w:val="24"/>
          <w:lang w:val="en-US"/>
        </w:rPr>
        <w:t>,</w:t>
      </w:r>
      <w:r w:rsidRPr="00EE6064">
        <w:rPr>
          <w:rFonts w:cstheme="minorHAnsi"/>
          <w:sz w:val="24"/>
          <w:szCs w:val="24"/>
          <w:lang w:val="en-US"/>
        </w:rPr>
        <w:t xml:space="preserve"> and </w:t>
      </w:r>
      <w:r w:rsidRPr="00EE6064">
        <w:rPr>
          <w:rFonts w:cstheme="minorHAnsi"/>
          <w:i/>
          <w:iCs/>
          <w:sz w:val="24"/>
          <w:szCs w:val="24"/>
          <w:lang w:val="en-US"/>
        </w:rPr>
        <w:t>p</w:t>
      </w:r>
      <w:r>
        <w:rPr>
          <w:rFonts w:cstheme="minorHAnsi"/>
          <w:sz w:val="24"/>
          <w:szCs w:val="24"/>
          <w:lang w:val="en-US"/>
        </w:rPr>
        <w:t>-</w:t>
      </w:r>
      <w:r w:rsidRPr="00EE6064">
        <w:rPr>
          <w:rFonts w:cstheme="minorHAnsi"/>
          <w:sz w:val="24"/>
          <w:szCs w:val="24"/>
          <w:lang w:val="en-US"/>
        </w:rPr>
        <w:t>values &lt;0.05 were considered statistically significant.</w:t>
      </w:r>
    </w:p>
    <w:p w14:paraId="3F1D58B1" w14:textId="77777777" w:rsidR="00334B2A" w:rsidRDefault="00334B2A" w:rsidP="00334B2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</w:p>
    <w:p w14:paraId="63E05DD5" w14:textId="77777777" w:rsidR="00334B2A" w:rsidRDefault="00334B2A" w:rsidP="00334B2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  <w:r w:rsidRPr="001C6583">
        <w:rPr>
          <w:rFonts w:cstheme="minorHAnsi"/>
          <w:b/>
          <w:bCs/>
          <w:sz w:val="24"/>
          <w:szCs w:val="24"/>
          <w:lang w:val="en-US"/>
        </w:rPr>
        <w:t>References</w:t>
      </w:r>
    </w:p>
    <w:p w14:paraId="317CA4EC" w14:textId="77777777" w:rsidR="00334B2A" w:rsidRDefault="00334B2A" w:rsidP="00334B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Cs/>
          <w:noProof/>
          <w:sz w:val="24"/>
          <w:szCs w:val="24"/>
          <w:lang w:val="en-US"/>
        </w:rPr>
      </w:pPr>
      <w:r>
        <w:rPr>
          <w:rFonts w:cstheme="minorHAnsi"/>
          <w:bCs/>
          <w:noProof/>
          <w:sz w:val="24"/>
          <w:szCs w:val="24"/>
          <w:lang w:val="en-US"/>
        </w:rPr>
        <w:t>Ishwaran H, Kogalur UB. Random Forests for Survival, Regression, and Classification (RF-SRC), R package version 2.6. 1. (2018).</w:t>
      </w:r>
      <w:r w:rsidRPr="00562BC9">
        <w:t xml:space="preserve"> </w:t>
      </w:r>
      <w:r w:rsidRPr="00562BC9">
        <w:rPr>
          <w:rFonts w:cstheme="minorHAnsi"/>
          <w:bCs/>
          <w:noProof/>
          <w:sz w:val="24"/>
          <w:szCs w:val="24"/>
          <w:lang w:val="en-US"/>
        </w:rPr>
        <w:t>https://cran.r-project.org/web/packages/randomForestSRC/randomForestSRC.pdf</w:t>
      </w:r>
    </w:p>
    <w:p w14:paraId="15CFC4D5" w14:textId="77777777" w:rsidR="00334B2A" w:rsidRDefault="00334B2A" w:rsidP="00334B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Cs/>
          <w:noProof/>
          <w:sz w:val="24"/>
          <w:szCs w:val="24"/>
          <w:lang w:val="en-US"/>
        </w:rPr>
      </w:pPr>
      <w:r>
        <w:rPr>
          <w:rFonts w:cstheme="minorHAnsi"/>
          <w:bCs/>
          <w:noProof/>
          <w:sz w:val="24"/>
          <w:szCs w:val="24"/>
          <w:lang w:val="en-US"/>
        </w:rPr>
        <w:t>Ishwaran H, Kogalur UB. Random Survival Forests for R. R News. (2007).</w:t>
      </w:r>
      <w:r w:rsidRPr="00562BC9">
        <w:t xml:space="preserve"> </w:t>
      </w:r>
      <w:r w:rsidRPr="00562BC9">
        <w:rPr>
          <w:rFonts w:cstheme="minorHAnsi"/>
          <w:bCs/>
          <w:noProof/>
          <w:sz w:val="24"/>
          <w:szCs w:val="24"/>
          <w:lang w:val="en-US"/>
        </w:rPr>
        <w:t>https://arxiv.org/pdf/0811.1645.pdf</w:t>
      </w:r>
    </w:p>
    <w:p w14:paraId="5EBEE3B6" w14:textId="77777777" w:rsidR="00334B2A" w:rsidRDefault="00334B2A" w:rsidP="00334B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Cs/>
          <w:noProof/>
          <w:sz w:val="24"/>
          <w:szCs w:val="24"/>
          <w:lang w:val="en-US"/>
        </w:rPr>
      </w:pPr>
      <w:r>
        <w:rPr>
          <w:rFonts w:cstheme="minorHAnsi"/>
          <w:bCs/>
          <w:noProof/>
          <w:sz w:val="24"/>
          <w:szCs w:val="24"/>
          <w:lang w:val="en-US"/>
        </w:rPr>
        <w:t>Ishwaran H, Kogalur UB, Blackstone EH et al. Random survival forests. Ann Appl Stat 2008;2:841–860.</w:t>
      </w:r>
    </w:p>
    <w:p w14:paraId="5C32B021" w14:textId="77777777" w:rsidR="00334B2A" w:rsidRDefault="00334B2A" w:rsidP="00334B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Cs/>
          <w:noProof/>
          <w:sz w:val="24"/>
          <w:szCs w:val="24"/>
          <w:lang w:val="en-US"/>
        </w:rPr>
      </w:pPr>
      <w:r>
        <w:rPr>
          <w:rFonts w:cstheme="minorHAnsi"/>
          <w:bCs/>
          <w:noProof/>
          <w:sz w:val="24"/>
          <w:szCs w:val="24"/>
          <w:lang w:val="en-US"/>
        </w:rPr>
        <w:t>Breiman L. Out-of-bag estimation. (1996).</w:t>
      </w:r>
      <w:r w:rsidRPr="00A74AD4">
        <w:rPr>
          <w:lang w:val="en-US"/>
        </w:rPr>
        <w:t xml:space="preserve"> </w:t>
      </w:r>
      <w:r w:rsidRPr="00562BC9">
        <w:rPr>
          <w:rFonts w:cstheme="minorHAnsi"/>
          <w:bCs/>
          <w:noProof/>
          <w:sz w:val="24"/>
          <w:szCs w:val="24"/>
          <w:lang w:val="en-US"/>
        </w:rPr>
        <w:t>https://www.stat.berkeley.edu/~breiman/OOBestimation.pdf</w:t>
      </w:r>
    </w:p>
    <w:p w14:paraId="1F9BDB39" w14:textId="77777777" w:rsidR="00334B2A" w:rsidRDefault="00334B2A" w:rsidP="00334B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noProof/>
          <w:sz w:val="24"/>
          <w:szCs w:val="24"/>
          <w:u w:val="single"/>
          <w:lang w:val="en-US"/>
        </w:rPr>
      </w:pPr>
      <w:r>
        <w:rPr>
          <w:rFonts w:cstheme="minorHAnsi"/>
          <w:bCs/>
          <w:noProof/>
          <w:sz w:val="24"/>
          <w:szCs w:val="24"/>
          <w:lang w:val="en-US"/>
        </w:rPr>
        <w:t>Ishwaran H, Kogalur UB, Gorodeski E et al. High-dimensional variable selection for survival data. J Am Stat Assoc 2010;105(489):205-217.</w:t>
      </w:r>
    </w:p>
    <w:p w14:paraId="3935EF80" w14:textId="77777777" w:rsidR="00334B2A" w:rsidRPr="007038E9" w:rsidRDefault="00334B2A">
      <w:pPr>
        <w:rPr>
          <w:b/>
          <w:sz w:val="24"/>
          <w:szCs w:val="24"/>
        </w:rPr>
      </w:pPr>
    </w:p>
    <w:p w14:paraId="6531DA83" w14:textId="77777777" w:rsidR="007038E9" w:rsidRPr="007038E9" w:rsidRDefault="007038E9">
      <w:pPr>
        <w:rPr>
          <w:b/>
          <w:sz w:val="24"/>
          <w:szCs w:val="24"/>
        </w:rPr>
      </w:pPr>
    </w:p>
    <w:p w14:paraId="4498CBB3" w14:textId="77777777" w:rsidR="00334B2A" w:rsidRDefault="00334B2A" w:rsidP="007038E9">
      <w:pPr>
        <w:spacing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34CB7263" w14:textId="77777777" w:rsidR="00334B2A" w:rsidRDefault="00334B2A" w:rsidP="007038E9">
      <w:pPr>
        <w:spacing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7BF00A11" w14:textId="77777777" w:rsidR="00334B2A" w:rsidRDefault="00334B2A" w:rsidP="007038E9">
      <w:pPr>
        <w:spacing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42BF20AB" w14:textId="77777777" w:rsidR="007038E9" w:rsidRPr="001139E2" w:rsidRDefault="007038E9" w:rsidP="007038E9">
      <w:pPr>
        <w:spacing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1139E2">
        <w:rPr>
          <w:rFonts w:cstheme="minorHAnsi"/>
          <w:b/>
          <w:bCs/>
          <w:sz w:val="24"/>
          <w:szCs w:val="24"/>
          <w:lang w:val="en-US"/>
        </w:rPr>
        <w:lastRenderedPageBreak/>
        <w:t>Supplementary Figure 1: Overall survival of 422 poorly differentiated neuroendocrine carcinomas. Source: original.</w:t>
      </w:r>
    </w:p>
    <w:p w14:paraId="39550894" w14:textId="77777777" w:rsidR="007038E9" w:rsidRDefault="0063124E">
      <w:pPr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EAD4666" wp14:editId="08729E3C">
            <wp:extent cx="8197565" cy="4489812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527" cy="449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6E20C" w14:textId="77777777" w:rsidR="0063124E" w:rsidRDefault="0063124E">
      <w:pPr>
        <w:rPr>
          <w:b/>
          <w:sz w:val="24"/>
          <w:szCs w:val="24"/>
        </w:rPr>
      </w:pPr>
    </w:p>
    <w:p w14:paraId="6A8A9663" w14:textId="77777777" w:rsidR="0063124E" w:rsidRDefault="0063124E">
      <w:pPr>
        <w:rPr>
          <w:b/>
          <w:sz w:val="24"/>
          <w:szCs w:val="24"/>
        </w:rPr>
      </w:pPr>
    </w:p>
    <w:p w14:paraId="61B83E5C" w14:textId="77777777" w:rsidR="0063124E" w:rsidRDefault="0063124E" w:rsidP="0063124E">
      <w:pPr>
        <w:spacing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743D4CED" w14:textId="77777777" w:rsidR="0063124E" w:rsidRPr="001139E2" w:rsidRDefault="0063124E" w:rsidP="0063124E">
      <w:pPr>
        <w:spacing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1139E2">
        <w:rPr>
          <w:rFonts w:cstheme="minorHAnsi"/>
          <w:b/>
          <w:bCs/>
          <w:sz w:val="24"/>
          <w:szCs w:val="24"/>
          <w:lang w:val="en-US"/>
        </w:rPr>
        <w:t>Supplementary Figure 2: Overall survival of 422 poorly differentiated neuroendocrine carcinoma according to morphology. Source: original.</w:t>
      </w:r>
    </w:p>
    <w:p w14:paraId="6EBD0373" w14:textId="77777777" w:rsidR="0063124E" w:rsidRPr="007038E9" w:rsidRDefault="0063124E">
      <w:pPr>
        <w:rPr>
          <w:b/>
          <w:sz w:val="24"/>
          <w:szCs w:val="24"/>
        </w:rPr>
      </w:pPr>
    </w:p>
    <w:p w14:paraId="643A4D95" w14:textId="77777777" w:rsidR="00927E80" w:rsidRDefault="007038E9">
      <w:r>
        <w:rPr>
          <w:noProof/>
          <w:lang w:eastAsia="it-IT"/>
        </w:rPr>
        <w:drawing>
          <wp:inline distT="0" distB="0" distL="0" distR="0" wp14:anchorId="302D1BEB" wp14:editId="4D94E215">
            <wp:extent cx="6997785" cy="433228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772" cy="43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CDCC" w14:textId="11D9A54D" w:rsidR="0063124E" w:rsidRDefault="0063124E" w:rsidP="0063124E">
      <w:pPr>
        <w:spacing w:line="48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 xml:space="preserve">Supplementary Figure 3: </w:t>
      </w:r>
      <w:r w:rsidRPr="001139E2">
        <w:rPr>
          <w:rFonts w:eastAsia="Times New Roman" w:cstheme="minorHAnsi"/>
          <w:b/>
          <w:bCs/>
          <w:sz w:val="24"/>
          <w:szCs w:val="24"/>
          <w:lang w:val="en-US"/>
        </w:rPr>
        <w:t xml:space="preserve">Variable dependence of predicted survival of the forest at 1, 2 and 3 years on </w:t>
      </w:r>
      <w:r w:rsidRPr="001139E2">
        <w:rPr>
          <w:rFonts w:eastAsia="Times New Roman" w:cstheme="minorHAnsi"/>
          <w:b/>
          <w:bCs/>
          <w:iCs/>
          <w:sz w:val="24"/>
          <w:szCs w:val="24"/>
          <w:lang w:val="en-US"/>
        </w:rPr>
        <w:t>Ki-67 (A), morphology (B)</w:t>
      </w:r>
      <w:r w:rsidR="001139E2" w:rsidRPr="001139E2">
        <w:rPr>
          <w:rFonts w:eastAsia="Times New Roman" w:cstheme="minorHAnsi"/>
          <w:b/>
          <w:bCs/>
          <w:iCs/>
          <w:sz w:val="24"/>
          <w:szCs w:val="24"/>
          <w:lang w:val="en-US"/>
        </w:rPr>
        <w:t>,</w:t>
      </w:r>
      <w:r w:rsidRPr="001139E2">
        <w:rPr>
          <w:rFonts w:eastAsia="Times New Roman" w:cstheme="minorHAnsi"/>
          <w:b/>
          <w:bCs/>
          <w:iCs/>
          <w:sz w:val="24"/>
          <w:szCs w:val="24"/>
          <w:lang w:val="en-US"/>
        </w:rPr>
        <w:t xml:space="preserve"> site (C) and stage (D</w:t>
      </w:r>
      <w:r w:rsidRPr="001139E2">
        <w:rPr>
          <w:rFonts w:eastAsia="Times New Roman" w:cstheme="minorHAnsi"/>
          <w:b/>
          <w:bCs/>
          <w:sz w:val="24"/>
          <w:szCs w:val="24"/>
          <w:lang w:val="en-US"/>
        </w:rPr>
        <w:t>).</w:t>
      </w:r>
      <w:r>
        <w:rPr>
          <w:rFonts w:eastAsia="Times New Roman" w:cstheme="minorHAnsi"/>
          <w:sz w:val="24"/>
          <w:szCs w:val="24"/>
          <w:lang w:val="en-US"/>
        </w:rPr>
        <w:t xml:space="preserve"> Each predicted point is dependent on the full combination of all risk factors, not only on the feature displayed in the dependence plot. Symbols with red circles indicate censored cases</w:t>
      </w:r>
      <w:r w:rsidR="001139E2">
        <w:rPr>
          <w:rFonts w:eastAsia="Times New Roman" w:cstheme="minorHAnsi"/>
          <w:sz w:val="24"/>
          <w:szCs w:val="24"/>
          <w:lang w:val="en-US"/>
        </w:rPr>
        <w:t>,</w:t>
      </w:r>
      <w:r>
        <w:rPr>
          <w:rFonts w:eastAsia="Times New Roman" w:cstheme="minorHAnsi"/>
          <w:sz w:val="24"/>
          <w:szCs w:val="24"/>
          <w:lang w:val="en-US"/>
        </w:rPr>
        <w:t xml:space="preserve"> and blue triangle</w:t>
      </w:r>
      <w:r w:rsidR="001139E2">
        <w:rPr>
          <w:rFonts w:eastAsia="Times New Roman" w:cstheme="minorHAnsi"/>
          <w:sz w:val="24"/>
          <w:szCs w:val="24"/>
          <w:lang w:val="en-US"/>
        </w:rPr>
        <w:t>s</w:t>
      </w:r>
      <w:r>
        <w:rPr>
          <w:rFonts w:eastAsia="Times New Roman" w:cstheme="minorHAnsi"/>
          <w:sz w:val="24"/>
          <w:szCs w:val="24"/>
          <w:lang w:val="en-US"/>
        </w:rPr>
        <w:t xml:space="preserve"> indicate death events.</w:t>
      </w:r>
      <w:r>
        <w:rPr>
          <w:rFonts w:cstheme="minorHAnsi"/>
          <w:sz w:val="24"/>
          <w:szCs w:val="24"/>
          <w:lang w:val="en-US"/>
        </w:rPr>
        <w:t xml:space="preserve"> Source: original.</w:t>
      </w:r>
    </w:p>
    <w:p w14:paraId="23E84A9F" w14:textId="77777777" w:rsidR="007038E9" w:rsidRDefault="00927E80">
      <w:r>
        <w:rPr>
          <w:noProof/>
          <w:lang w:eastAsia="it-IT"/>
        </w:rPr>
        <w:lastRenderedPageBreak/>
        <w:drawing>
          <wp:inline distT="0" distB="0" distL="0" distR="0" wp14:anchorId="63B2260E" wp14:editId="446ACC8A">
            <wp:extent cx="4168775" cy="6120130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36E8F" w14:textId="77777777" w:rsidR="007038E9" w:rsidRPr="00A74AD4" w:rsidRDefault="00927E80">
      <w:r>
        <w:rPr>
          <w:noProof/>
          <w:lang w:eastAsia="it-IT"/>
        </w:rPr>
        <w:lastRenderedPageBreak/>
        <w:drawing>
          <wp:inline distT="0" distB="0" distL="0" distR="0" wp14:anchorId="5035A1B9" wp14:editId="348A1D02">
            <wp:extent cx="4068445" cy="612013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531A6" w14:textId="397A9A50" w:rsidR="00AC1FBE" w:rsidRPr="001139E2" w:rsidRDefault="00AC1FBE">
      <w:pPr>
        <w:spacing w:after="160" w:line="259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 xml:space="preserve">Supplementary Figure 4: </w:t>
      </w:r>
      <w:r w:rsidR="003F3751" w:rsidRPr="001139E2">
        <w:rPr>
          <w:rFonts w:cstheme="minorHAnsi"/>
          <w:b/>
          <w:sz w:val="24"/>
          <w:szCs w:val="24"/>
          <w:lang w:val="en-US"/>
        </w:rPr>
        <w:t xml:space="preserve">Overall survival according to Ki-67 55% cut-off in </w:t>
      </w:r>
      <w:r w:rsidR="001139E2" w:rsidRPr="001139E2">
        <w:rPr>
          <w:rFonts w:cstheme="minorHAnsi"/>
          <w:b/>
          <w:sz w:val="24"/>
          <w:szCs w:val="24"/>
          <w:lang w:val="en-US"/>
        </w:rPr>
        <w:t xml:space="preserve">stage </w:t>
      </w:r>
      <w:r w:rsidR="003F3751" w:rsidRPr="001139E2">
        <w:rPr>
          <w:rFonts w:cstheme="minorHAnsi"/>
          <w:b/>
          <w:sz w:val="24"/>
          <w:szCs w:val="24"/>
          <w:lang w:val="en-US"/>
        </w:rPr>
        <w:t xml:space="preserve">IV treated patients. </w:t>
      </w:r>
    </w:p>
    <w:p w14:paraId="75BE9501" w14:textId="77777777" w:rsidR="00CE635C" w:rsidRDefault="001139E2">
      <w:pPr>
        <w:spacing w:after="160" w:line="259" w:lineRule="auto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noProof/>
          <w:sz w:val="24"/>
          <w:szCs w:val="24"/>
          <w:lang w:val="en-US"/>
        </w:rPr>
        <w:pict w14:anchorId="3187B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9.55pt;height:302.5pt;mso-width-percent:0;mso-height-percent:0;mso-width-percent:0;mso-height-percent:0">
            <v:imagedata r:id="rId11" o:title="Supplementary Figure 5_ALL STAGE IV Treated"/>
          </v:shape>
        </w:pict>
      </w:r>
    </w:p>
    <w:p w14:paraId="2B673031" w14:textId="77777777" w:rsidR="00D60EAC" w:rsidRDefault="00D60EAC">
      <w:pPr>
        <w:spacing w:after="160" w:line="259" w:lineRule="auto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br w:type="page"/>
      </w:r>
    </w:p>
    <w:p w14:paraId="30B07FC6" w14:textId="1A5127E3" w:rsidR="00D60EAC" w:rsidRPr="001139E2" w:rsidRDefault="00D60EAC" w:rsidP="00D60EAC">
      <w:pPr>
        <w:spacing w:after="160" w:line="259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 xml:space="preserve">Supplementary Figure 5: </w:t>
      </w:r>
      <w:r w:rsidRPr="001139E2">
        <w:rPr>
          <w:rFonts w:cstheme="minorHAnsi"/>
          <w:b/>
          <w:sz w:val="24"/>
          <w:szCs w:val="24"/>
          <w:lang w:val="en-US"/>
        </w:rPr>
        <w:t>Overall survival according to Ki-67 55% cu</w:t>
      </w:r>
      <w:r w:rsidR="001139E2">
        <w:rPr>
          <w:rFonts w:cstheme="minorHAnsi"/>
          <w:b/>
          <w:sz w:val="24"/>
          <w:szCs w:val="24"/>
          <w:lang w:val="en-US"/>
        </w:rPr>
        <w:t>t</w:t>
      </w:r>
      <w:r w:rsidRPr="001139E2">
        <w:rPr>
          <w:rFonts w:cstheme="minorHAnsi"/>
          <w:b/>
          <w:sz w:val="24"/>
          <w:szCs w:val="24"/>
          <w:lang w:val="en-US"/>
        </w:rPr>
        <w:t>-off in Stage IV patients who received platinum-based chemotherapies as first</w:t>
      </w:r>
      <w:r w:rsidR="001139E2">
        <w:rPr>
          <w:rFonts w:cstheme="minorHAnsi"/>
          <w:b/>
          <w:sz w:val="24"/>
          <w:szCs w:val="24"/>
          <w:lang w:val="en-US"/>
        </w:rPr>
        <w:t>-</w:t>
      </w:r>
      <w:r w:rsidRPr="001139E2">
        <w:rPr>
          <w:rFonts w:cstheme="minorHAnsi"/>
          <w:b/>
          <w:sz w:val="24"/>
          <w:szCs w:val="24"/>
          <w:lang w:val="en-US"/>
        </w:rPr>
        <w:t xml:space="preserve">line treatment. </w:t>
      </w:r>
    </w:p>
    <w:p w14:paraId="7E229CB4" w14:textId="77777777" w:rsidR="00D60EAC" w:rsidRDefault="00D60EAC" w:rsidP="00D60EAC">
      <w:pPr>
        <w:spacing w:after="160" w:line="259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Cs/>
          <w:noProof/>
          <w:sz w:val="24"/>
          <w:szCs w:val="24"/>
          <w:lang w:eastAsia="it-IT"/>
        </w:rPr>
        <w:drawing>
          <wp:inline distT="0" distB="0" distL="0" distR="0" wp14:anchorId="3E9D9161" wp14:editId="3DDF1EEA">
            <wp:extent cx="5424805" cy="4141470"/>
            <wp:effectExtent l="19050" t="0" r="4445" b="0"/>
            <wp:docPr id="5" name="Immagine 2" descr="Supplementary 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lementary Fig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29410" w14:textId="77777777" w:rsidR="00AC1FBE" w:rsidRDefault="00AC1FBE">
      <w:pPr>
        <w:spacing w:after="160" w:line="259" w:lineRule="auto"/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>
        <w:rPr>
          <w:rFonts w:eastAsia="Times New Roman" w:cstheme="minorHAnsi"/>
          <w:color w:val="000000"/>
          <w:sz w:val="24"/>
          <w:szCs w:val="24"/>
          <w:lang w:val="en-US" w:eastAsia="it-IT"/>
        </w:rPr>
        <w:br w:type="page"/>
      </w:r>
    </w:p>
    <w:p w14:paraId="5F56E83A" w14:textId="77777777" w:rsidR="00A74AD4" w:rsidRPr="001139E2" w:rsidRDefault="00A74AD4">
      <w:pPr>
        <w:rPr>
          <w:rFonts w:eastAsia="Times New Roman" w:cstheme="minorHAnsi"/>
          <w:b/>
          <w:color w:val="000000"/>
          <w:sz w:val="24"/>
          <w:szCs w:val="24"/>
          <w:lang w:val="en-US" w:eastAsia="it-IT"/>
        </w:rPr>
      </w:pPr>
      <w:r w:rsidRPr="001139E2">
        <w:rPr>
          <w:rFonts w:eastAsia="Times New Roman" w:cstheme="minorHAnsi"/>
          <w:b/>
          <w:color w:val="000000"/>
          <w:sz w:val="24"/>
          <w:szCs w:val="24"/>
          <w:lang w:val="en-US" w:eastAsia="it-IT"/>
        </w:rPr>
        <w:lastRenderedPageBreak/>
        <w:t>Supplementary Table 1. Univariable* and multivariable* analysis of overall survival of 169 patients with molecular data</w:t>
      </w:r>
    </w:p>
    <w:tbl>
      <w:tblPr>
        <w:tblW w:w="1036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6"/>
        <w:gridCol w:w="1377"/>
        <w:gridCol w:w="927"/>
        <w:gridCol w:w="1738"/>
        <w:gridCol w:w="927"/>
        <w:gridCol w:w="1666"/>
        <w:gridCol w:w="927"/>
      </w:tblGrid>
      <w:tr w:rsidR="001139E2" w:rsidRPr="00A74AD4" w14:paraId="1B718D5F" w14:textId="77777777" w:rsidTr="001139E2">
        <w:trPr>
          <w:trHeight w:val="618"/>
        </w:trPr>
        <w:tc>
          <w:tcPr>
            <w:tcW w:w="2806" w:type="dxa"/>
            <w:shd w:val="clear" w:color="000000" w:fill="FFFFFF"/>
            <w:vAlign w:val="center"/>
            <w:hideMark/>
          </w:tcPr>
          <w:p w14:paraId="4D451BA6" w14:textId="77777777" w:rsidR="001139E2" w:rsidRPr="00A74AD4" w:rsidRDefault="001139E2" w:rsidP="00A7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Variable</w:t>
            </w:r>
          </w:p>
        </w:tc>
        <w:tc>
          <w:tcPr>
            <w:tcW w:w="1377" w:type="dxa"/>
            <w:shd w:val="clear" w:color="000000" w:fill="FFFFFF"/>
            <w:vAlign w:val="center"/>
            <w:hideMark/>
          </w:tcPr>
          <w:p w14:paraId="6F4291FC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Univariate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67E752DA" w14:textId="1153251F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</w:t>
            </w: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-value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14:paraId="484AC940" w14:textId="58751AC5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Multivariable model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,</w:t>
            </w: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(95% CI)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78176E71" w14:textId="18DD34DE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</w:t>
            </w: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-value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14:paraId="35F4EF38" w14:textId="62DBCC44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Multivariable model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, </w:t>
            </w: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(95% CI)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108A0F17" w14:textId="000910A1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</w:t>
            </w: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-value</w:t>
            </w:r>
          </w:p>
        </w:tc>
      </w:tr>
      <w:tr w:rsidR="001139E2" w:rsidRPr="00A74AD4" w14:paraId="36DE37F1" w14:textId="77777777" w:rsidTr="00520AC9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6E4928D6" w14:textId="3576B2CE" w:rsidR="001139E2" w:rsidRPr="001139E2" w:rsidRDefault="001139E2" w:rsidP="0011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Sex (male vs female)</w:t>
            </w:r>
          </w:p>
        </w:tc>
        <w:tc>
          <w:tcPr>
            <w:tcW w:w="1377" w:type="dxa"/>
            <w:shd w:val="clear" w:color="000000" w:fill="FFFFFF"/>
            <w:vAlign w:val="center"/>
            <w:hideMark/>
          </w:tcPr>
          <w:p w14:paraId="07B083D8" w14:textId="7B081C2B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1.02 (0.71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1.47)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19BEB0BD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0.93</w:t>
            </w:r>
          </w:p>
        </w:tc>
        <w:tc>
          <w:tcPr>
            <w:tcW w:w="1738" w:type="dxa"/>
            <w:shd w:val="clear" w:color="000000" w:fill="FFFFFF"/>
            <w:noWrap/>
            <w:hideMark/>
          </w:tcPr>
          <w:p w14:paraId="626AE182" w14:textId="340B9BCF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96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14:paraId="395A2D6A" w14:textId="56E0F023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96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14:paraId="538D18A5" w14:textId="00E0897A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96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66F74350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1139E2" w:rsidRPr="00A74AD4" w14:paraId="0EE273FD" w14:textId="77777777" w:rsidTr="00520AC9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0614F744" w14:textId="0AD99C5F" w:rsidR="001139E2" w:rsidRPr="001139E2" w:rsidRDefault="001139E2" w:rsidP="0011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Age (increase of 10 years)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6D5E8F97" w14:textId="5DA3C16C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0.99 (0.85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1.17)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5FB79448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0.95</w:t>
            </w:r>
          </w:p>
        </w:tc>
        <w:tc>
          <w:tcPr>
            <w:tcW w:w="1738" w:type="dxa"/>
            <w:shd w:val="clear" w:color="000000" w:fill="FFFFFF"/>
            <w:noWrap/>
            <w:hideMark/>
          </w:tcPr>
          <w:p w14:paraId="1250DD11" w14:textId="0EC6DCC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96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14:paraId="433D9C48" w14:textId="77594988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96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14:paraId="2DA15E75" w14:textId="39561859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96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22B1825A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1139E2" w:rsidRPr="00A74AD4" w14:paraId="3813EE97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20887AB7" w14:textId="26302395" w:rsidR="001139E2" w:rsidRPr="001139E2" w:rsidRDefault="001139E2" w:rsidP="00A7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Site: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2ED89519" w14:textId="4265363E" w:rsidR="001139E2" w:rsidRPr="00A74AD4" w:rsidRDefault="001139E2" w:rsidP="00A74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45DCB906" w14:textId="3FDEB8C6" w:rsidR="001139E2" w:rsidRPr="00A74AD4" w:rsidRDefault="001139E2" w:rsidP="00A74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4D2CCC7B" w14:textId="5E634C02" w:rsidR="001139E2" w:rsidRPr="00A74AD4" w:rsidRDefault="001139E2" w:rsidP="00A74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4AAD7AC7" w14:textId="2267DEE4" w:rsidR="001139E2" w:rsidRPr="00A74AD4" w:rsidRDefault="001139E2" w:rsidP="00A74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7C4BF3F0" w14:textId="05DE9577" w:rsidR="001139E2" w:rsidRPr="00A74AD4" w:rsidRDefault="001139E2" w:rsidP="00113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08DA419E" w14:textId="4718B864" w:rsidR="001139E2" w:rsidRPr="00A74AD4" w:rsidRDefault="001139E2" w:rsidP="00A74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139E2" w:rsidRPr="00A74AD4" w14:paraId="072C1A3A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6FB4E66D" w14:textId="77777777" w:rsidR="001139E2" w:rsidRPr="001139E2" w:rsidRDefault="001139E2" w:rsidP="00113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Colorectal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09F8E00F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2BB847B0" w14:textId="4A0AC932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2157965C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14:paraId="383003D1" w14:textId="53D4913A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85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14:paraId="250F2BD7" w14:textId="16C79C6B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85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52119273" w14:textId="1A66BD15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139E2" w:rsidRPr="00A74AD4" w14:paraId="15DAF9FC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41F6CB62" w14:textId="77777777" w:rsidR="001139E2" w:rsidRPr="001139E2" w:rsidRDefault="001139E2" w:rsidP="00113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Gallbladder/Biliary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33E53DCD" w14:textId="2ED06F44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0.86 (0.21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3.57)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7C80BB15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270E7117" w14:textId="0A21225D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0.54 (0.05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5.35)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7015537F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14:paraId="7D312EA9" w14:textId="18983BDA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3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62D80F97" w14:textId="72707F8E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139E2" w:rsidRPr="00A74AD4" w14:paraId="718D8ADA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0CB50221" w14:textId="77777777" w:rsidR="001139E2" w:rsidRPr="001139E2" w:rsidRDefault="001139E2" w:rsidP="00113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Gastroesophageal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171F6DB4" w14:textId="4E522050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0.76 (0.47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1.21)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2BC05155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02179774" w14:textId="318C5412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0.72 (0.41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1.25)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5E19F7F5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14:paraId="254A6267" w14:textId="6E40B5F0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3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31ADBF38" w14:textId="60DA5BE0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139E2" w:rsidRPr="00A74AD4" w14:paraId="4803C252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5E14C049" w14:textId="77777777" w:rsidR="001139E2" w:rsidRPr="001139E2" w:rsidRDefault="001139E2" w:rsidP="00113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Lung LCNEC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5D218A5B" w14:textId="21FA9A44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0.41 (0.24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0.69)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6AC5BD17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35C0CF79" w14:textId="6B3F9078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0.74 (0.38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1.45)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40E427AE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0.38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14:paraId="0BD30612" w14:textId="21C80876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3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399C9B6F" w14:textId="340392CB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139E2" w:rsidRPr="00A74AD4" w14:paraId="05973817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5342AB30" w14:textId="77777777" w:rsidR="001139E2" w:rsidRPr="001139E2" w:rsidRDefault="001139E2" w:rsidP="00113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Pancreas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3FAE43C1" w14:textId="72A8523D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0.44 (0.22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0.90)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1B6A0B7F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337B0BEE" w14:textId="1EA7BCB9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0.67 (0.30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1.47)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12856D20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14:paraId="23B818ED" w14:textId="23D101B4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3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68A10DB1" w14:textId="0823373D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139E2" w:rsidRPr="00A74AD4" w14:paraId="6CF7DB99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154F7657" w14:textId="6C0137DA" w:rsidR="001139E2" w:rsidRPr="001139E2" w:rsidRDefault="001139E2" w:rsidP="00A7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Stage (III–IV vs I–II)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247BB2FC" w14:textId="320E101B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1.81 (1.05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3.10)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388E3D0C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08269BB2" w14:textId="281FE36D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1.71 (0.92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3.17)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4C2FBC8D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5E615299" w14:textId="6EBF77D6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1.65 (0.94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2.90)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56AAAE91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</w:tr>
      <w:tr w:rsidR="001139E2" w:rsidRPr="00A74AD4" w14:paraId="02491DBB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7BB05E23" w14:textId="70A516FC" w:rsidR="001139E2" w:rsidRPr="001139E2" w:rsidRDefault="001139E2" w:rsidP="00A7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Morphology (pure vs combined)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381851BC" w14:textId="0EB76EC9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1.88 (1.22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2.91)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18047E3A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5126022C" w14:textId="2EC7012A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1.74 (1.07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2.83)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3A2E315E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1928C5C2" w14:textId="1C2CFA64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1.70 (1.07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2.70)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4C375873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0.02</w:t>
            </w:r>
          </w:p>
        </w:tc>
      </w:tr>
      <w:tr w:rsidR="001139E2" w:rsidRPr="00A74AD4" w14:paraId="6E717A44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4A063C44" w14:textId="77777777" w:rsidR="001139E2" w:rsidRPr="001139E2" w:rsidRDefault="001139E2" w:rsidP="00A7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Ki-67 (≥55 vs &lt;55)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6C42D26C" w14:textId="61911C3F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6.53 (3.88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11.00)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5A8F6248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&lt;0.0001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0CBA8557" w14:textId="29F093C0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6.19 (3.10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12.35)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6A9A1FE9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&lt;0.0001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35C72E86" w14:textId="06B7802E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6.87 (3.87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12.18)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35508E57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&lt;0.0001</w:t>
            </w:r>
          </w:p>
        </w:tc>
      </w:tr>
      <w:tr w:rsidR="001139E2" w:rsidRPr="00A74AD4" w14:paraId="0089C792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126C7AAB" w14:textId="2D4E94E8" w:rsidR="001139E2" w:rsidRPr="001139E2" w:rsidRDefault="001139E2" w:rsidP="0011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SSTR2A (2–3 vs 0–1)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66AA9E40" w14:textId="63F7D6CC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0.79 (0.55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1.14)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3A85FCEE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1738" w:type="dxa"/>
            <w:shd w:val="clear" w:color="000000" w:fill="FFFFFF"/>
            <w:noWrap/>
            <w:hideMark/>
          </w:tcPr>
          <w:p w14:paraId="0EC64BB8" w14:textId="092C8611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E2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14:paraId="68539D72" w14:textId="61505234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E2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14:paraId="6ACC02D1" w14:textId="3CD0F863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E2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2F94F50D" w14:textId="4785BBB2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139E2" w:rsidRPr="00A74AD4" w14:paraId="32A875CB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40B9E955" w14:textId="16EA60A0" w:rsidR="001139E2" w:rsidRPr="001139E2" w:rsidRDefault="001139E2" w:rsidP="0011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p53 IHC (present vs absent)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37392BAF" w14:textId="105F138F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1.12 (0.75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1.66)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274DBAA8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0.58</w:t>
            </w:r>
          </w:p>
        </w:tc>
        <w:tc>
          <w:tcPr>
            <w:tcW w:w="1738" w:type="dxa"/>
            <w:shd w:val="clear" w:color="000000" w:fill="FFFFFF"/>
            <w:noWrap/>
            <w:hideMark/>
          </w:tcPr>
          <w:p w14:paraId="1FE56413" w14:textId="407F8ABF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E2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14:paraId="3E3CFE0D" w14:textId="6455D0B5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E2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14:paraId="44EB07B2" w14:textId="1E6D8660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E2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079322BE" w14:textId="707E76B3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139E2" w:rsidRPr="00A74AD4" w14:paraId="654CE328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03BBAB04" w14:textId="67548919" w:rsidR="001139E2" w:rsidRPr="001139E2" w:rsidRDefault="001139E2" w:rsidP="00A7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rb1 IHC (present vs absent)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519C69C1" w14:textId="41B6DC84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0.63 (0.44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0.91)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7891FEE1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0.01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6012315E" w14:textId="5E82FDCF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1.55 (0.95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2.51)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34FCC84D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609D140D" w14:textId="430B6FD5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1.27 (0.84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1.93)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05172E03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</w:p>
        </w:tc>
      </w:tr>
      <w:tr w:rsidR="001139E2" w:rsidRPr="00A74AD4" w14:paraId="51C3C975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51B36CF7" w14:textId="43E51F35" w:rsidR="001139E2" w:rsidRPr="001139E2" w:rsidRDefault="001139E2" w:rsidP="00A7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TP53</w:t>
            </w: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(mutation vs wild-type) 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6B682E19" w14:textId="0D48FB22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2.61 (1.70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4.00)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16BD6447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&lt;0.0001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3633A303" w14:textId="2DEFE8CF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1.54 (0.91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2.61)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76017025" w14:textId="77777777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30383547" w14:textId="128B9539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7760A5C1" w14:textId="1AD5592F" w:rsidR="001139E2" w:rsidRPr="00A74AD4" w:rsidRDefault="001139E2" w:rsidP="00A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139E2" w:rsidRPr="00A74AD4" w14:paraId="5D27527D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5F148084" w14:textId="7ABCCF14" w:rsidR="001139E2" w:rsidRPr="001139E2" w:rsidRDefault="001139E2" w:rsidP="0011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KRAS</w:t>
            </w: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(mutation vs wild-type)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30934130" w14:textId="2B3BB35A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1.27 (0.79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2.02)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1C38A43C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7FABC185" w14:textId="011780FC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14:paraId="7B2C1209" w14:textId="4C9E1FC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82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14:paraId="64BCD3E3" w14:textId="5423E888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82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3B19859B" w14:textId="05CB27A2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139E2" w:rsidRPr="00A74AD4" w14:paraId="4BA3AC22" w14:textId="77777777" w:rsidTr="001139E2">
        <w:trPr>
          <w:trHeight w:val="288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489474AE" w14:textId="05556646" w:rsidR="001139E2" w:rsidRPr="001139E2" w:rsidRDefault="001139E2" w:rsidP="0011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RB1</w:t>
            </w: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(mutation vs wild-type)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024D06F0" w14:textId="6A417332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1.18 (0.60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2.28)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600FE2DA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1738" w:type="dxa"/>
            <w:shd w:val="clear" w:color="000000" w:fill="FFFFFF"/>
            <w:noWrap/>
            <w:hideMark/>
          </w:tcPr>
          <w:p w14:paraId="0379847D" w14:textId="6C97EDF5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82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14:paraId="67DC5ACB" w14:textId="19BDE773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82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14:paraId="0B93FE1B" w14:textId="46581586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82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47881BEA" w14:textId="5DBC373C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139E2" w:rsidRPr="00A74AD4" w14:paraId="615CC0A2" w14:textId="77777777" w:rsidTr="001139E2">
        <w:trPr>
          <w:trHeight w:val="294"/>
        </w:trPr>
        <w:tc>
          <w:tcPr>
            <w:tcW w:w="2806" w:type="dxa"/>
            <w:shd w:val="clear" w:color="000000" w:fill="FFFFFF"/>
            <w:noWrap/>
            <w:vAlign w:val="center"/>
            <w:hideMark/>
          </w:tcPr>
          <w:p w14:paraId="610F832B" w14:textId="3A08BC9A" w:rsidR="001139E2" w:rsidRPr="001139E2" w:rsidRDefault="001139E2" w:rsidP="0011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BRAF</w:t>
            </w: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(mutation vs wild-type)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2B27FB43" w14:textId="0596FAD6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1.89 (0.69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5.21)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37DF0FBC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1738" w:type="dxa"/>
            <w:shd w:val="clear" w:color="000000" w:fill="FFFFFF"/>
            <w:noWrap/>
            <w:hideMark/>
          </w:tcPr>
          <w:p w14:paraId="49CE8B05" w14:textId="1E0ECD50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82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14:paraId="13B8222D" w14:textId="2C8DF953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82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14:paraId="1A03C648" w14:textId="489E8145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82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–</w:t>
            </w: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1DDA78E6" w14:textId="189FDA48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139E2" w:rsidRPr="00A74AD4" w14:paraId="34F4ADCC" w14:textId="77777777" w:rsidTr="001139E2">
        <w:trPr>
          <w:trHeight w:val="294"/>
        </w:trPr>
        <w:tc>
          <w:tcPr>
            <w:tcW w:w="2806" w:type="dxa"/>
            <w:shd w:val="clear" w:color="000000" w:fill="FFFFFF"/>
            <w:noWrap/>
            <w:vAlign w:val="bottom"/>
          </w:tcPr>
          <w:p w14:paraId="2C360289" w14:textId="3507D1AC" w:rsidR="001139E2" w:rsidRPr="001139E2" w:rsidRDefault="001139E2" w:rsidP="00113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74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*Stratified for Center; Multivariable model 2 includes all factors associated (P≤0.05); §Multivariable model 3 retains only variables showing an association (P≤0.10) with overall survival. </w:t>
            </w:r>
          </w:p>
        </w:tc>
        <w:tc>
          <w:tcPr>
            <w:tcW w:w="1377" w:type="dxa"/>
            <w:shd w:val="clear" w:color="000000" w:fill="FFFFFF"/>
            <w:noWrap/>
            <w:vAlign w:val="center"/>
          </w:tcPr>
          <w:p w14:paraId="2F0C0CC6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7C52DAF2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14:paraId="3B899D93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296EE9DE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14:paraId="1F0EBED8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7" w:type="dxa"/>
            <w:shd w:val="clear" w:color="000000" w:fill="FFFFFF"/>
            <w:noWrap/>
            <w:vAlign w:val="center"/>
          </w:tcPr>
          <w:p w14:paraId="13BC2C1A" w14:textId="77777777" w:rsidR="001139E2" w:rsidRPr="00A74AD4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6B694444" w14:textId="77777777" w:rsidR="00645FD1" w:rsidRDefault="00645FD1">
      <w:pPr>
        <w:rPr>
          <w:lang w:val="en-US"/>
        </w:rPr>
      </w:pPr>
    </w:p>
    <w:p w14:paraId="406CD46C" w14:textId="77777777" w:rsidR="00645FD1" w:rsidRDefault="00645FD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2A1E067B" w14:textId="34C95CF2" w:rsidR="00A74AD4" w:rsidRDefault="00645FD1">
      <w:pPr>
        <w:rPr>
          <w:rFonts w:eastAsia="Times New Roman" w:cstheme="minorHAnsi"/>
          <w:b/>
          <w:color w:val="000000"/>
          <w:sz w:val="24"/>
          <w:szCs w:val="24"/>
          <w:lang w:val="en-US" w:eastAsia="it-IT"/>
        </w:rPr>
      </w:pPr>
      <w:r w:rsidRPr="00645FD1">
        <w:rPr>
          <w:rFonts w:eastAsia="Times New Roman" w:cstheme="minorHAnsi"/>
          <w:b/>
          <w:color w:val="000000"/>
          <w:sz w:val="24"/>
          <w:szCs w:val="24"/>
          <w:lang w:val="en-US" w:eastAsia="it-IT"/>
        </w:rPr>
        <w:lastRenderedPageBreak/>
        <w:t xml:space="preserve">Supplementary Table </w:t>
      </w:r>
      <w:r>
        <w:rPr>
          <w:rFonts w:eastAsia="Times New Roman" w:cstheme="minorHAnsi"/>
          <w:b/>
          <w:color w:val="000000"/>
          <w:sz w:val="24"/>
          <w:szCs w:val="24"/>
          <w:lang w:val="en-US" w:eastAsia="it-IT"/>
        </w:rPr>
        <w:t xml:space="preserve">2. </w:t>
      </w:r>
      <w:r w:rsidR="00E04F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Number</w:t>
      </w:r>
      <w:r w:rsidR="00E04F86" w:rsidRPr="00197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of patients with </w:t>
      </w:r>
      <w:r w:rsidR="00E04F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NEC according to stage, diagnosis and </w:t>
      </w:r>
      <w:r w:rsidR="00E771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</w:t>
      </w:r>
      <w:r w:rsidR="00E04F86" w:rsidRPr="00645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herapy</w:t>
      </w:r>
    </w:p>
    <w:tbl>
      <w:tblPr>
        <w:tblW w:w="1138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4678"/>
        <w:gridCol w:w="2976"/>
      </w:tblGrid>
      <w:tr w:rsidR="001139E2" w:rsidRPr="004A4CAA" w14:paraId="08011818" w14:textId="77777777" w:rsidTr="001139E2">
        <w:trPr>
          <w:trHeight w:val="246"/>
        </w:trPr>
        <w:tc>
          <w:tcPr>
            <w:tcW w:w="3731" w:type="dxa"/>
            <w:vAlign w:val="center"/>
          </w:tcPr>
          <w:p w14:paraId="31CAF5C0" w14:textId="102EF35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Patients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, n (%)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EA5072A" w14:textId="1C849A10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Diagnosis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C10B51E" w14:textId="77777777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Therapy</w:t>
            </w:r>
          </w:p>
        </w:tc>
      </w:tr>
      <w:tr w:rsidR="001139E2" w:rsidRPr="004A4CAA" w14:paraId="2DDA56A4" w14:textId="77777777" w:rsidTr="001139E2">
        <w:trPr>
          <w:trHeight w:val="246"/>
        </w:trPr>
        <w:tc>
          <w:tcPr>
            <w:tcW w:w="11385" w:type="dxa"/>
            <w:gridSpan w:val="3"/>
            <w:vAlign w:val="center"/>
          </w:tcPr>
          <w:p w14:paraId="253CF045" w14:textId="4B8E1F41" w:rsidR="001139E2" w:rsidRPr="004A4CAA" w:rsidRDefault="001139E2" w:rsidP="0011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Stage I</w:t>
            </w:r>
          </w:p>
        </w:tc>
      </w:tr>
      <w:tr w:rsidR="001139E2" w:rsidRPr="004A4CAA" w14:paraId="57F3D509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5E48F2DB" w14:textId="743A670F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 (0.8)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4867FD5" w14:textId="60C1FD6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6E2DAE1" w14:textId="77777777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35539A39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36DF03DC" w14:textId="7F90A07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 (0.4)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2CACBD" w14:textId="0E9E6627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6EB8B81" w14:textId="74654C4E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6BE000F8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3CBE2E30" w14:textId="6A68AC00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 (5.4)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25ECB67" w14:textId="3580F403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9ADCEB7" w14:textId="76DBB8F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4FFB44C3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56271404" w14:textId="4C9B73CF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 (1.3)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4225A2E" w14:textId="2B46256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Combined 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4EA6A43" w14:textId="215A3940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75852F5B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5A17B78D" w14:textId="02B6B70D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EE07023" w14:textId="0DA72ACC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Combined 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33AE58D" w14:textId="176AEEBE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710DA01A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4D9BE4DB" w14:textId="369921F3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 (2.5)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E872093" w14:textId="5D8C607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Combined 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0F98FC7" w14:textId="7B566508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036EF579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683ED627" w14:textId="2BB831E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BACD9C6" w14:textId="48ED82EE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MINEN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2B4124" w14:textId="3064A18D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09722089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1F4446A4" w14:textId="545F7ED3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E7EF456" w14:textId="4A29D19C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MINEN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7704774" w14:textId="6872278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1F6D9220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318BC7CE" w14:textId="6E9153EB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4634BCD" w14:textId="5F1EF43F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MINEN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05F9F42" w14:textId="51A7CE33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60EBC09E" w14:textId="77777777" w:rsidTr="001139E2">
        <w:trPr>
          <w:trHeight w:val="241"/>
        </w:trPr>
        <w:tc>
          <w:tcPr>
            <w:tcW w:w="3731" w:type="dxa"/>
            <w:vAlign w:val="bottom"/>
          </w:tcPr>
          <w:p w14:paraId="09BACD3F" w14:textId="584D547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 (0.4)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EA03A4D" w14:textId="581F16B0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3E986F8" w14:textId="39AA69F3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4299444C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3C2882F5" w14:textId="29ADF08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E7B3EE7" w14:textId="59E54F30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928F058" w14:textId="3A2C8C64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7D49149D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77F2222D" w14:textId="10F17E0E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FADF107" w14:textId="3BB3033A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F04915A" w14:textId="169DF796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458F12B7" w14:textId="77777777" w:rsidTr="001139E2">
        <w:trPr>
          <w:trHeight w:val="241"/>
        </w:trPr>
        <w:tc>
          <w:tcPr>
            <w:tcW w:w="11385" w:type="dxa"/>
            <w:gridSpan w:val="3"/>
            <w:vAlign w:val="center"/>
          </w:tcPr>
          <w:p w14:paraId="4D04A086" w14:textId="44D05066" w:rsidR="001139E2" w:rsidRDefault="001139E2" w:rsidP="0011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Stage I</w:t>
            </w:r>
            <w:r w:rsidRPr="0011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</w:t>
            </w:r>
          </w:p>
        </w:tc>
      </w:tr>
      <w:tr w:rsidR="001139E2" w:rsidRPr="004A4CAA" w14:paraId="189D77CE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29C4D87E" w14:textId="1B7DA11A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 (2.1)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9458353" w14:textId="67019ED2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ACBD455" w14:textId="19EE2E1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6A13F0D6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725900DE" w14:textId="3D9A16E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6DF02C8" w14:textId="0311925A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47A7CD7" w14:textId="505FAC36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63FC105D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55B5F3C9" w14:textId="5B6D2EB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 (3.8)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4F84742" w14:textId="27C22AD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3D2AB23" w14:textId="212675D2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0E43DB45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4AED694A" w14:textId="06A65FC1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 (0.8)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AA36755" w14:textId="1ADFF11E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Combined 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9BFCDB8" w14:textId="5BF6C3A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2B4FC806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7075E240" w14:textId="37B41BD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1BEE3D5" w14:textId="3FAC47D3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Combined 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3374B47" w14:textId="03553818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60292021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3CAFFD23" w14:textId="139D182B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 (0.4)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F368379" w14:textId="3DC8934C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Combined 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95EAD40" w14:textId="28DCC29F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08EE14B2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74729654" w14:textId="0CB4F647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 (0.8)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6E33480" w14:textId="4E9B115B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MINEN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561EDD7" w14:textId="7F17CEFD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2D3BCFFB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2E4B812A" w14:textId="1558AE4E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E4E161A" w14:textId="45ABC0E8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MINEN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4B2DFAE" w14:textId="1A972456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2D00E129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1CA1266F" w14:textId="062395C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F03FD11" w14:textId="4CFB81FA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MINEN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7107261" w14:textId="13477763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605A8B72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1CE3C2B3" w14:textId="1E355938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2C8D355" w14:textId="5408124C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D603EEB" w14:textId="3BD5F8EB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2E4291B0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6B0B13E9" w14:textId="7FAC8B16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1C92FD3" w14:textId="6AD3AA5A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E3C66DA" w14:textId="188AB568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36EBBBC3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7B472364" w14:textId="1960D1B7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 (3.3)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1667F21" w14:textId="58C41F1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427D38D" w14:textId="5E23FE80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468ACCBA" w14:textId="77777777" w:rsidTr="001139E2">
        <w:trPr>
          <w:trHeight w:val="241"/>
        </w:trPr>
        <w:tc>
          <w:tcPr>
            <w:tcW w:w="11385" w:type="dxa"/>
            <w:gridSpan w:val="3"/>
            <w:vAlign w:val="center"/>
          </w:tcPr>
          <w:p w14:paraId="206E67A4" w14:textId="01745428" w:rsidR="001139E2" w:rsidRDefault="001139E2" w:rsidP="0011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Stage I</w:t>
            </w:r>
            <w:r w:rsidRPr="0011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II</w:t>
            </w:r>
          </w:p>
        </w:tc>
      </w:tr>
      <w:tr w:rsidR="001139E2" w:rsidRPr="004A4CAA" w14:paraId="05AA1178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061234DA" w14:textId="325A23BC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 (0.4)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A602F3F" w14:textId="04985F0F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7013DBA" w14:textId="39A0642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0BC2A4D4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38920328" w14:textId="4719BD5C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966D8E1" w14:textId="1F983612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99B095A" w14:textId="6DA41210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3C64F73C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2E27407B" w14:textId="41825900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 (3.8)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15F266B" w14:textId="3112E02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A51BA4D" w14:textId="5B9295E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2E521DBD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11284F64" w14:textId="409D2207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 (1.3)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D4A7C83" w14:textId="5914EE0E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Combined 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D97A999" w14:textId="45F531B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472B2B54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3B4D1499" w14:textId="672F35E4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71311F8" w14:textId="20CB857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Combined 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A5228C" w14:textId="6735FF13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6D51E1ED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264BA9CF" w14:textId="19335362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 (1.3)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39FE3F9" w14:textId="327B565A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Combined 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7F9983A" w14:textId="6C6146A6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44351FDE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00145304" w14:textId="61128B20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22 (9.2)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080C62C" w14:textId="343346D4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MINEN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73F588F" w14:textId="39089038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48A104DE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68B12A4D" w14:textId="1F703121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 (2.5)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38DD42B" w14:textId="271DE964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MINEN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311456C" w14:textId="2358EF21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61094452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6AF7BEA4" w14:textId="2E19850C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 (5.4)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D7064E2" w14:textId="388071C7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MINEN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BDB2438" w14:textId="492F8032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046614B3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2E540319" w14:textId="2411F0D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 (2.1)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2279902" w14:textId="4BD67C40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425ACE2" w14:textId="2A3270D4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0E5A0B23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08E96E70" w14:textId="5F50DC31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 (3.8)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114E2C2" w14:textId="31779B71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94BDC95" w14:textId="06BC894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6AC18343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3C8EE85A" w14:textId="3C1C2236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30 (12.5)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BD3F384" w14:textId="267C005E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D31CE3B" w14:textId="11F4C47B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35A51107" w14:textId="77777777" w:rsidTr="001139E2">
        <w:trPr>
          <w:trHeight w:val="241"/>
        </w:trPr>
        <w:tc>
          <w:tcPr>
            <w:tcW w:w="11385" w:type="dxa"/>
            <w:gridSpan w:val="3"/>
            <w:vAlign w:val="center"/>
          </w:tcPr>
          <w:p w14:paraId="3A10E81A" w14:textId="212F1D7A" w:rsidR="001139E2" w:rsidRDefault="001139E2" w:rsidP="0011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Stage I</w:t>
            </w:r>
            <w:r w:rsidRPr="0011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</w:t>
            </w:r>
          </w:p>
        </w:tc>
      </w:tr>
      <w:tr w:rsidR="001139E2" w:rsidRPr="004A4CAA" w14:paraId="29B8C591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02EFB411" w14:textId="1E59465D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3E43D0D" w14:textId="366FD2FB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6071B8E" w14:textId="1D2B01C3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20BB176F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4275EE1F" w14:textId="61ED21F8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9F2E1C0" w14:textId="71D1ECA5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5CB3B9F" w14:textId="178BFDB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1AB27F08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5B76CDE6" w14:textId="613D0C2C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 (2.5)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F897C9F" w14:textId="7D0CCB3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87E91F7" w14:textId="128B2C82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66214D94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7CD51520" w14:textId="7E08CF18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A59C139" w14:textId="377B033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Combined 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0569F13" w14:textId="6098FF9C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2BD5680D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10077BA2" w14:textId="32FDC720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4A30BA2" w14:textId="390AA3E2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Combined 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E01F308" w14:textId="69FA5496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37AF4337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55FC658E" w14:textId="4CCCF6C2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 (0.4)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F87D110" w14:textId="282A4613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Combined LCNEC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86C240A" w14:textId="6C7D46EC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5F1BC2CA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3FE2A634" w14:textId="6E234C0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 (1.7)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CBB349B" w14:textId="38FA9ACE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MINEN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4DDE15E" w14:textId="09A4011A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5A38F500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5AC1D340" w14:textId="5B28F41F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 (0.8)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1236F8D" w14:textId="1D8883A0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MINEN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77B24A0" w14:textId="4A46A78E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3AE84A00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0F54B7A2" w14:textId="4D2A3708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 (0.4)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90B87F9" w14:textId="224C3F9E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MINEN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A6C6194" w14:textId="1C6F34CA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  <w:tr w:rsidR="001139E2" w:rsidRPr="004A4CAA" w14:paraId="402887A8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143152F2" w14:textId="678E0BB7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 (1.3)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F87394E" w14:textId="18463BA1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1AE20AD" w14:textId="130E7871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 Performed</w:t>
            </w:r>
          </w:p>
        </w:tc>
      </w:tr>
      <w:tr w:rsidR="001139E2" w:rsidRPr="004A4CAA" w14:paraId="3CBCEFED" w14:textId="77777777" w:rsidTr="001139E2">
        <w:trPr>
          <w:trHeight w:val="241"/>
        </w:trPr>
        <w:tc>
          <w:tcPr>
            <w:tcW w:w="3731" w:type="dxa"/>
            <w:vAlign w:val="center"/>
          </w:tcPr>
          <w:p w14:paraId="35C4091E" w14:textId="4F645534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 (2.9)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3B1004C" w14:textId="5F860DA6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8652EB0" w14:textId="09EA8771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</w:tr>
      <w:tr w:rsidR="001139E2" w:rsidRPr="004A4CAA" w14:paraId="696A9A0C" w14:textId="77777777" w:rsidTr="001139E2">
        <w:trPr>
          <w:trHeight w:val="246"/>
        </w:trPr>
        <w:tc>
          <w:tcPr>
            <w:tcW w:w="3731" w:type="dxa"/>
            <w:vAlign w:val="center"/>
          </w:tcPr>
          <w:p w14:paraId="2B3037AE" w14:textId="5725910B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62 (25.8)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CCF02E5" w14:textId="3BF44759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CAECFE6" w14:textId="00C03CBD" w:rsidR="001139E2" w:rsidRPr="004A4CAA" w:rsidRDefault="001139E2" w:rsidP="001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Pr="004A4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(platinum)</w:t>
            </w:r>
          </w:p>
        </w:tc>
      </w:tr>
    </w:tbl>
    <w:p w14:paraId="39A4A2FD" w14:textId="77777777" w:rsidR="00645FD1" w:rsidRDefault="00645FD1">
      <w:pPr>
        <w:rPr>
          <w:lang w:val="en-US"/>
        </w:rPr>
      </w:pPr>
    </w:p>
    <w:p w14:paraId="7C0D9B93" w14:textId="77777777" w:rsidR="00645FD1" w:rsidRDefault="00645FD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3116442C" w14:textId="77777777" w:rsidR="00645FD1" w:rsidRPr="001139E2" w:rsidRDefault="00645FD1" w:rsidP="00645F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</w:pPr>
      <w:r w:rsidRPr="001139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3. </w:t>
      </w:r>
      <w:r w:rsidRPr="0011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Tumor site of stage IV NEC according to therapy</w:t>
      </w:r>
    </w:p>
    <w:tbl>
      <w:tblPr>
        <w:tblW w:w="1436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1102"/>
        <w:gridCol w:w="1613"/>
        <w:gridCol w:w="1984"/>
        <w:gridCol w:w="1843"/>
        <w:gridCol w:w="2410"/>
        <w:gridCol w:w="1701"/>
        <w:gridCol w:w="1457"/>
      </w:tblGrid>
      <w:tr w:rsidR="001139E2" w:rsidRPr="00645FD1" w14:paraId="6724312C" w14:textId="77777777" w:rsidTr="001139E2">
        <w:trPr>
          <w:trHeight w:val="305"/>
        </w:trPr>
        <w:tc>
          <w:tcPr>
            <w:tcW w:w="2252" w:type="dxa"/>
            <w:shd w:val="clear" w:color="000000" w:fill="FFFFFF"/>
            <w:noWrap/>
            <w:vAlign w:val="bottom"/>
            <w:hideMark/>
          </w:tcPr>
          <w:p w14:paraId="63FD5869" w14:textId="2B45420F" w:rsidR="00645FD1" w:rsidRPr="001139E2" w:rsidRDefault="001139E2" w:rsidP="00645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139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Therapy</w:t>
            </w:r>
          </w:p>
        </w:tc>
        <w:tc>
          <w:tcPr>
            <w:tcW w:w="1102" w:type="dxa"/>
            <w:shd w:val="clear" w:color="000000" w:fill="FFFFFF"/>
            <w:noWrap/>
            <w:vAlign w:val="center"/>
            <w:hideMark/>
          </w:tcPr>
          <w:p w14:paraId="09359748" w14:textId="61FAC917" w:rsidR="00645FD1" w:rsidRPr="00645FD1" w:rsidRDefault="001139E2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n</w:t>
            </w:r>
            <w:r w:rsidR="00645FD1"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(%)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67F949A5" w14:textId="7F642DC0" w:rsidR="00645FD1" w:rsidRPr="00645FD1" w:rsidRDefault="001139E2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Colorectal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, n</w:t>
            </w:r>
            <w:r w:rsidR="00645FD1"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18B2A63" w14:textId="0D75E8BA" w:rsidR="00645FD1" w:rsidRPr="00645FD1" w:rsidRDefault="001139E2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Gallbladder/</w:t>
            </w: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biliary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,</w:t>
            </w: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  <w:r w:rsidR="00645FD1"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2E603F0" w14:textId="57ACDB08" w:rsidR="00645FD1" w:rsidRPr="00645FD1" w:rsidRDefault="001139E2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Gastroesophageal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,</w:t>
            </w: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n </w:t>
            </w:r>
            <w:r w:rsidR="00645FD1"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(%)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D31DE36" w14:textId="40068B78" w:rsidR="00645FD1" w:rsidRPr="00645FD1" w:rsidRDefault="001139E2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Ileum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–</w:t>
            </w: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cecum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–</w:t>
            </w: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duodenum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,</w:t>
            </w: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  <w:r w:rsidR="00645FD1"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269728" w14:textId="2025186F" w:rsidR="00645FD1" w:rsidRPr="00645FD1" w:rsidRDefault="001139E2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Lung LCNEC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,</w:t>
            </w: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  <w:r w:rsidR="00645FD1"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(%)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14:paraId="0C81B5B2" w14:textId="332A7725" w:rsidR="00645FD1" w:rsidRPr="00645FD1" w:rsidRDefault="001139E2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Pancreas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,</w:t>
            </w:r>
            <w:r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  <w:r w:rsidR="00645FD1" w:rsidRPr="0064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(%)</w:t>
            </w:r>
          </w:p>
        </w:tc>
      </w:tr>
      <w:tr w:rsidR="001139E2" w:rsidRPr="00645FD1" w14:paraId="4441C885" w14:textId="77777777" w:rsidTr="001139E2">
        <w:trPr>
          <w:trHeight w:val="299"/>
        </w:trPr>
        <w:tc>
          <w:tcPr>
            <w:tcW w:w="2252" w:type="dxa"/>
            <w:shd w:val="clear" w:color="000000" w:fill="FFFFFF"/>
            <w:vAlign w:val="center"/>
            <w:hideMark/>
          </w:tcPr>
          <w:p w14:paraId="727F5812" w14:textId="77777777" w:rsidR="00645FD1" w:rsidRPr="001139E2" w:rsidRDefault="00645FD1" w:rsidP="0064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Total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1A62AABE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86 (100)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563D0CC5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37 (100)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F1FC1EC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 (100)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5F6B35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 (100)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7A07617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 (100)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1DF4626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 (100)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14:paraId="3D92CFFC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 (100)</w:t>
            </w:r>
          </w:p>
        </w:tc>
      </w:tr>
      <w:tr w:rsidR="001139E2" w:rsidRPr="00645FD1" w14:paraId="5CB58CE3" w14:textId="77777777" w:rsidTr="001139E2">
        <w:trPr>
          <w:trHeight w:val="299"/>
        </w:trPr>
        <w:tc>
          <w:tcPr>
            <w:tcW w:w="2252" w:type="dxa"/>
            <w:shd w:val="clear" w:color="000000" w:fill="FFFFFF"/>
            <w:noWrap/>
            <w:vAlign w:val="bottom"/>
            <w:hideMark/>
          </w:tcPr>
          <w:p w14:paraId="2E6EA4B0" w14:textId="125BB1E2" w:rsidR="00645FD1" w:rsidRPr="001139E2" w:rsidRDefault="001139E2" w:rsidP="0064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Chemotherapy</w:t>
            </w:r>
            <w:r w:rsidR="00645FD1"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</w:t>
            </w: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platinum</w:t>
            </w:r>
            <w:r w:rsidR="00645FD1"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102" w:type="dxa"/>
            <w:shd w:val="clear" w:color="000000" w:fill="FFFFFF"/>
            <w:noWrap/>
            <w:vAlign w:val="center"/>
            <w:hideMark/>
          </w:tcPr>
          <w:p w14:paraId="65B0D08C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70 (81.4)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4B3D782E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30 (81.1)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0385714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 (100)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714FFD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 (73.3)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2167FD2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 (87.5)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43245C6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 (100)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14:paraId="07AB9666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 (77.8)</w:t>
            </w:r>
          </w:p>
        </w:tc>
      </w:tr>
      <w:tr w:rsidR="001139E2" w:rsidRPr="00645FD1" w14:paraId="351FA175" w14:textId="77777777" w:rsidTr="001139E2">
        <w:trPr>
          <w:trHeight w:val="299"/>
        </w:trPr>
        <w:tc>
          <w:tcPr>
            <w:tcW w:w="2252" w:type="dxa"/>
            <w:shd w:val="clear" w:color="000000" w:fill="FFFFFF"/>
            <w:noWrap/>
            <w:vAlign w:val="bottom"/>
            <w:hideMark/>
          </w:tcPr>
          <w:p w14:paraId="3BEAC565" w14:textId="77777777" w:rsidR="00645FD1" w:rsidRPr="001139E2" w:rsidRDefault="00645FD1" w:rsidP="0064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  <w:tc>
          <w:tcPr>
            <w:tcW w:w="1102" w:type="dxa"/>
            <w:shd w:val="clear" w:color="000000" w:fill="FFFFFF"/>
            <w:noWrap/>
            <w:vAlign w:val="center"/>
            <w:hideMark/>
          </w:tcPr>
          <w:p w14:paraId="38A380DE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 (10.5)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7393A1EE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 (5.4)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1B82D23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A84CFE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 (13.3)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09E6560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 (12.5)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A3C7B9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14:paraId="4131F8B9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 (22.2)</w:t>
            </w:r>
          </w:p>
        </w:tc>
      </w:tr>
      <w:tr w:rsidR="001139E2" w:rsidRPr="00645FD1" w14:paraId="44923B22" w14:textId="77777777" w:rsidTr="001139E2">
        <w:trPr>
          <w:trHeight w:val="305"/>
        </w:trPr>
        <w:tc>
          <w:tcPr>
            <w:tcW w:w="2252" w:type="dxa"/>
            <w:shd w:val="clear" w:color="000000" w:fill="FFFFFF"/>
            <w:noWrap/>
            <w:vAlign w:val="bottom"/>
            <w:hideMark/>
          </w:tcPr>
          <w:p w14:paraId="1981CD96" w14:textId="1B2B8A6E" w:rsidR="00645FD1" w:rsidRPr="001139E2" w:rsidRDefault="00645FD1" w:rsidP="0064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Not </w:t>
            </w:r>
            <w:r w:rsidR="001139E2" w:rsidRPr="00113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performed</w:t>
            </w:r>
          </w:p>
        </w:tc>
        <w:tc>
          <w:tcPr>
            <w:tcW w:w="1102" w:type="dxa"/>
            <w:shd w:val="clear" w:color="000000" w:fill="FFFFFF"/>
            <w:noWrap/>
            <w:vAlign w:val="center"/>
            <w:hideMark/>
          </w:tcPr>
          <w:p w14:paraId="23B8C34B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 (8.1)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0228D8E2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 (13.5)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4151843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850AB17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 (13.3)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9C07FB9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8F0CB66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14:paraId="78B7F72C" w14:textId="77777777" w:rsidR="00645FD1" w:rsidRPr="00645FD1" w:rsidRDefault="00645FD1" w:rsidP="0064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 (0.0)</w:t>
            </w:r>
          </w:p>
        </w:tc>
      </w:tr>
    </w:tbl>
    <w:p w14:paraId="38F373C6" w14:textId="77777777" w:rsidR="00645FD1" w:rsidRPr="00A74AD4" w:rsidRDefault="00645FD1">
      <w:pPr>
        <w:rPr>
          <w:lang w:val="en-US"/>
        </w:rPr>
      </w:pPr>
    </w:p>
    <w:sectPr w:rsidR="00645FD1" w:rsidRPr="00A74AD4" w:rsidSect="00E93934">
      <w:headerReference w:type="default" r:id="rId13"/>
      <w:footerReference w:type="defaul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36F6" w14:textId="77777777" w:rsidR="001F58D3" w:rsidRDefault="001F58D3" w:rsidP="007038E9">
      <w:pPr>
        <w:spacing w:after="0" w:line="240" w:lineRule="auto"/>
      </w:pPr>
      <w:r>
        <w:separator/>
      </w:r>
    </w:p>
  </w:endnote>
  <w:endnote w:type="continuationSeparator" w:id="0">
    <w:p w14:paraId="5468038B" w14:textId="77777777" w:rsidR="001F58D3" w:rsidRDefault="001F58D3" w:rsidP="007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668659"/>
      <w:docPartObj>
        <w:docPartGallery w:val="Page Numbers (Bottom of Page)"/>
        <w:docPartUnique/>
      </w:docPartObj>
    </w:sdtPr>
    <w:sdtEndPr/>
    <w:sdtContent>
      <w:p w14:paraId="1921E052" w14:textId="77777777" w:rsidR="00AC1FBE" w:rsidRDefault="00390B6A">
        <w:pPr>
          <w:pStyle w:val="Footer"/>
          <w:jc w:val="center"/>
        </w:pPr>
        <w:r>
          <w:fldChar w:fldCharType="begin"/>
        </w:r>
        <w:r w:rsidR="004D4F6A">
          <w:instrText>PAGE   \* MERGEFORMAT</w:instrText>
        </w:r>
        <w:r>
          <w:fldChar w:fldCharType="separate"/>
        </w:r>
        <w:r w:rsidR="00A13B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A773BE" w14:textId="77777777" w:rsidR="00AC1FBE" w:rsidRDefault="00AC1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255B" w14:textId="77777777" w:rsidR="001F58D3" w:rsidRDefault="001F58D3" w:rsidP="007038E9">
      <w:pPr>
        <w:spacing w:after="0" w:line="240" w:lineRule="auto"/>
      </w:pPr>
      <w:r>
        <w:separator/>
      </w:r>
    </w:p>
  </w:footnote>
  <w:footnote w:type="continuationSeparator" w:id="0">
    <w:p w14:paraId="6AC61074" w14:textId="77777777" w:rsidR="001F58D3" w:rsidRDefault="001F58D3" w:rsidP="007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7E56" w14:textId="77777777" w:rsidR="00AC1FBE" w:rsidRDefault="00AC1FBE">
    <w:pPr>
      <w:pStyle w:val="Header"/>
    </w:pPr>
  </w:p>
  <w:p w14:paraId="148D705A" w14:textId="77777777" w:rsidR="00AC1FBE" w:rsidRDefault="00AC1FBE">
    <w:pPr>
      <w:pStyle w:val="Header"/>
    </w:pPr>
  </w:p>
  <w:p w14:paraId="111BEEA3" w14:textId="77777777" w:rsidR="00AC1FBE" w:rsidRDefault="00AC1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6A6D"/>
    <w:multiLevelType w:val="hybridMultilevel"/>
    <w:tmpl w:val="770A54C6"/>
    <w:lvl w:ilvl="0" w:tplc="9CB675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555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jY0MjMzMTcytDRW0lEKTi0uzszPAykwrAUAo7hW5CwAAAA="/>
  </w:docVars>
  <w:rsids>
    <w:rsidRoot w:val="00F33F03"/>
    <w:rsid w:val="00082822"/>
    <w:rsid w:val="000A2647"/>
    <w:rsid w:val="000C4B57"/>
    <w:rsid w:val="001139E2"/>
    <w:rsid w:val="001573D0"/>
    <w:rsid w:val="001F1BE1"/>
    <w:rsid w:val="001F58D3"/>
    <w:rsid w:val="002974FD"/>
    <w:rsid w:val="00307B9B"/>
    <w:rsid w:val="00334B2A"/>
    <w:rsid w:val="00390B6A"/>
    <w:rsid w:val="003E0BF4"/>
    <w:rsid w:val="003F3751"/>
    <w:rsid w:val="004371F6"/>
    <w:rsid w:val="004D4F6A"/>
    <w:rsid w:val="0059459A"/>
    <w:rsid w:val="0063124E"/>
    <w:rsid w:val="00645FD1"/>
    <w:rsid w:val="00676B80"/>
    <w:rsid w:val="007038E9"/>
    <w:rsid w:val="007726DA"/>
    <w:rsid w:val="00927E80"/>
    <w:rsid w:val="009B4778"/>
    <w:rsid w:val="00A13B2D"/>
    <w:rsid w:val="00A74AD4"/>
    <w:rsid w:val="00AC1FBE"/>
    <w:rsid w:val="00BC4189"/>
    <w:rsid w:val="00CE635C"/>
    <w:rsid w:val="00D60EAC"/>
    <w:rsid w:val="00E04F86"/>
    <w:rsid w:val="00E132E9"/>
    <w:rsid w:val="00E7710A"/>
    <w:rsid w:val="00E86E12"/>
    <w:rsid w:val="00E93934"/>
    <w:rsid w:val="00EF361F"/>
    <w:rsid w:val="00F33F03"/>
    <w:rsid w:val="00F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31EA"/>
  <w15:docId w15:val="{3A40AECC-289F-4587-9698-6046E2C4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E9"/>
  </w:style>
  <w:style w:type="paragraph" w:styleId="Footer">
    <w:name w:val="footer"/>
    <w:basedOn w:val="Normal"/>
    <w:link w:val="FooterChar"/>
    <w:uiPriority w:val="99"/>
    <w:unhideWhenUsed/>
    <w:rsid w:val="00703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E9"/>
  </w:style>
  <w:style w:type="paragraph" w:styleId="ListParagraph">
    <w:name w:val="List Paragraph"/>
    <w:basedOn w:val="Normal"/>
    <w:uiPriority w:val="34"/>
    <w:qFormat/>
    <w:rsid w:val="00334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6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Gattinoni</dc:creator>
  <cp:lastModifiedBy>Aashni Shah</cp:lastModifiedBy>
  <cp:revision>4</cp:revision>
  <dcterms:created xsi:type="dcterms:W3CDTF">2022-04-28T10:27:00Z</dcterms:created>
  <dcterms:modified xsi:type="dcterms:W3CDTF">2022-05-05T11:31:00Z</dcterms:modified>
</cp:coreProperties>
</file>