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2591" w14:textId="77777777" w:rsidR="00A47441" w:rsidRPr="00E8065C" w:rsidRDefault="00A47441" w:rsidP="00A47441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E8065C">
        <w:rPr>
          <w:rFonts w:asciiTheme="minorHAnsi" w:hAnsiTheme="minorHAnsi" w:cstheme="minorHAnsi"/>
          <w:b/>
          <w:szCs w:val="24"/>
        </w:rPr>
        <w:t>Materials and Methods</w:t>
      </w:r>
    </w:p>
    <w:p w14:paraId="27D32B4A" w14:textId="602E7139" w:rsidR="00A47441" w:rsidRPr="00E8065C" w:rsidRDefault="009B492D" w:rsidP="00A47441">
      <w:pPr>
        <w:spacing w:line="360" w:lineRule="auto"/>
        <w:ind w:firstLineChars="200" w:firstLine="480"/>
        <w:rPr>
          <w:rFonts w:asciiTheme="minorHAnsi" w:hAnsiTheme="minorHAnsi" w:cstheme="minorHAnsi"/>
          <w:b/>
          <w:color w:val="000000" w:themeColor="text1"/>
          <w:szCs w:val="24"/>
        </w:rPr>
      </w:pPr>
      <w:r w:rsidRPr="00E8065C">
        <w:rPr>
          <w:rFonts w:asciiTheme="minorHAnsi" w:hAnsiTheme="minorHAnsi" w:cstheme="minorHAnsi"/>
          <w:color w:val="000000" w:themeColor="text1"/>
          <w:szCs w:val="24"/>
        </w:rPr>
        <w:t>Eleven patients diagnosed with AITL at Kaohsiung Chang Gung Memorial Hospital were identified between July 1</w:t>
      </w:r>
      <w:r w:rsidRPr="00E8065C">
        <w:rPr>
          <w:rFonts w:asciiTheme="minorHAnsi" w:eastAsia="PMingLiU" w:hAnsiTheme="minorHAnsi" w:cstheme="minorHAnsi"/>
          <w:color w:val="000000" w:themeColor="text1"/>
          <w:szCs w:val="24"/>
        </w:rPr>
        <w:t xml:space="preserve">, 2019, </w:t>
      </w:r>
      <w:r w:rsidRPr="00E8065C">
        <w:rPr>
          <w:rFonts w:asciiTheme="minorHAnsi" w:hAnsiTheme="minorHAnsi" w:cstheme="minorHAnsi"/>
          <w:color w:val="000000" w:themeColor="text1"/>
          <w:szCs w:val="24"/>
        </w:rPr>
        <w:t>and December 31</w:t>
      </w:r>
      <w:r w:rsidRPr="00E8065C">
        <w:rPr>
          <w:rFonts w:asciiTheme="minorHAnsi" w:eastAsia="PMingLiU" w:hAnsiTheme="minorHAnsi" w:cstheme="minorHAnsi"/>
          <w:color w:val="000000" w:themeColor="text1"/>
          <w:szCs w:val="24"/>
        </w:rPr>
        <w:t>,</w:t>
      </w:r>
      <w:r w:rsidRPr="00E8065C">
        <w:rPr>
          <w:rFonts w:asciiTheme="minorHAnsi" w:hAnsiTheme="minorHAnsi" w:cstheme="minorHAnsi"/>
          <w:color w:val="000000" w:themeColor="text1"/>
          <w:szCs w:val="24"/>
        </w:rPr>
        <w:t xml:space="preserve"> 2020. </w:t>
      </w:r>
      <w:r w:rsidR="00483B15" w:rsidRPr="00E8065C">
        <w:rPr>
          <w:rFonts w:asciiTheme="minorHAnsi" w:hAnsiTheme="minorHAnsi" w:cstheme="minorHAnsi"/>
          <w:color w:val="000000" w:themeColor="text1"/>
          <w:szCs w:val="24"/>
        </w:rPr>
        <w:t>We coll</w:t>
      </w:r>
      <w:r w:rsidR="00483B15" w:rsidRPr="00E8065C">
        <w:rPr>
          <w:rFonts w:asciiTheme="minorHAnsi" w:hAnsiTheme="minorHAnsi" w:cstheme="minorHAnsi"/>
          <w:szCs w:val="24"/>
        </w:rPr>
        <w:t xml:space="preserve">ected baseline data and follow-up information, including age, gender, B symptoms, survival, alive/dead endpoint status, </w:t>
      </w:r>
      <w:proofErr w:type="spellStart"/>
      <w:r w:rsidR="00483B15" w:rsidRPr="00E8065C">
        <w:rPr>
          <w:rFonts w:asciiTheme="minorHAnsi" w:hAnsiTheme="minorHAnsi" w:cstheme="minorHAnsi"/>
          <w:szCs w:val="24"/>
        </w:rPr>
        <w:t>extranodal</w:t>
      </w:r>
      <w:proofErr w:type="spellEnd"/>
      <w:r w:rsidR="00483B15" w:rsidRPr="00E8065C">
        <w:rPr>
          <w:rFonts w:asciiTheme="minorHAnsi" w:hAnsiTheme="minorHAnsi" w:cstheme="minorHAnsi"/>
          <w:szCs w:val="24"/>
        </w:rPr>
        <w:t xml:space="preserve"> involvement, Ann Arbor stage, laboratory examination of lactate dehydrogenase (LDH) levels, plasma EBV DNA, Ig levels</w:t>
      </w:r>
      <w:r w:rsidR="00483B15" w:rsidRPr="00E8065C">
        <w:rPr>
          <w:rFonts w:asciiTheme="minorHAnsi" w:eastAsia="PMingLiU" w:hAnsiTheme="minorHAnsi" w:cstheme="minorHAnsi"/>
          <w:szCs w:val="24"/>
        </w:rPr>
        <w:t>,</w:t>
      </w:r>
      <w:r w:rsidR="00483B15" w:rsidRPr="00E8065C">
        <w:rPr>
          <w:rFonts w:asciiTheme="minorHAnsi" w:hAnsiTheme="minorHAnsi" w:cstheme="minorHAnsi"/>
          <w:szCs w:val="24"/>
        </w:rPr>
        <w:t xml:space="preserve"> and immunofixation results.</w:t>
      </w:r>
      <w:r w:rsidR="00483B15" w:rsidRPr="00E8065C">
        <w:rPr>
          <w:rFonts w:asciiTheme="minorHAnsi" w:eastAsiaTheme="minorEastAsia" w:hAnsiTheme="minorHAnsi" w:cstheme="minorHAnsi"/>
          <w:szCs w:val="24"/>
          <w:lang w:eastAsia="zh-TW"/>
        </w:rPr>
        <w:t xml:space="preserve"> </w:t>
      </w:r>
      <w:r w:rsidR="00A47441" w:rsidRPr="00E8065C">
        <w:rPr>
          <w:rFonts w:asciiTheme="minorHAnsi" w:hAnsiTheme="minorHAnsi" w:cstheme="minorHAnsi"/>
          <w:color w:val="000000" w:themeColor="text1"/>
          <w:szCs w:val="24"/>
        </w:rPr>
        <w:t xml:space="preserve">In situ hybridization was performed to detect EBV-encoded small RNAs (EBER) using an EBER DNA probe (PB0589, Leica Biosystems, </w:t>
      </w:r>
      <w:proofErr w:type="spellStart"/>
      <w:r w:rsidR="00A47441" w:rsidRPr="00E8065C">
        <w:rPr>
          <w:rFonts w:asciiTheme="minorHAnsi" w:hAnsiTheme="minorHAnsi" w:cstheme="minorHAnsi"/>
          <w:color w:val="000000" w:themeColor="text1"/>
          <w:szCs w:val="24"/>
        </w:rPr>
        <w:t>Novocastra</w:t>
      </w:r>
      <w:proofErr w:type="spellEnd"/>
      <w:r w:rsidR="00A47441" w:rsidRPr="00E8065C">
        <w:rPr>
          <w:rFonts w:asciiTheme="minorHAnsi" w:hAnsiTheme="minorHAnsi" w:cstheme="minorHAnsi"/>
          <w:color w:val="000000" w:themeColor="text1"/>
          <w:szCs w:val="24"/>
        </w:rPr>
        <w:t xml:space="preserve">, Newcastle-upon-Tyne, United Kingdom) on a Bond III </w:t>
      </w:r>
      <w:proofErr w:type="spellStart"/>
      <w:r w:rsidR="00A47441" w:rsidRPr="00E8065C">
        <w:rPr>
          <w:rFonts w:asciiTheme="minorHAnsi" w:hAnsiTheme="minorHAnsi" w:cstheme="minorHAnsi"/>
          <w:color w:val="000000" w:themeColor="text1"/>
          <w:szCs w:val="24"/>
        </w:rPr>
        <w:t>autostainer</w:t>
      </w:r>
      <w:proofErr w:type="spellEnd"/>
      <w:r w:rsidR="00A47441" w:rsidRPr="00E8065C">
        <w:rPr>
          <w:rFonts w:asciiTheme="minorHAnsi" w:hAnsiTheme="minorHAnsi" w:cstheme="minorHAnsi"/>
          <w:color w:val="000000" w:themeColor="text1"/>
          <w:szCs w:val="24"/>
        </w:rPr>
        <w:t xml:space="preserve"> (Leica Biosystems). A panel of antibodies was used to define FDCs (CD21 and CD23), </w:t>
      </w:r>
      <w:proofErr w:type="spellStart"/>
      <w:r w:rsidR="00A47441" w:rsidRPr="00E8065C">
        <w:rPr>
          <w:rFonts w:asciiTheme="minorHAnsi" w:hAnsiTheme="minorHAnsi" w:cstheme="minorHAnsi"/>
          <w:color w:val="000000" w:themeColor="text1"/>
          <w:szCs w:val="24"/>
        </w:rPr>
        <w:t>Tfhs</w:t>
      </w:r>
      <w:proofErr w:type="spellEnd"/>
      <w:r w:rsidR="00A47441" w:rsidRPr="00E8065C">
        <w:rPr>
          <w:rFonts w:asciiTheme="minorHAnsi" w:hAnsiTheme="minorHAnsi" w:cstheme="minorHAnsi"/>
          <w:color w:val="000000" w:themeColor="text1"/>
          <w:szCs w:val="24"/>
        </w:rPr>
        <w:t xml:space="preserve"> (PD-1, ICOS, CD10, and BCL-6), T-cells (CD2, CD3, CD5, CD4, and CD8), B-cells (CD20 and CD79a), and HRS-like cells (CD30).</w:t>
      </w:r>
      <w:r w:rsidR="00135BCE" w:rsidRPr="00E8065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80B65" w:rsidRPr="00E8065C">
        <w:rPr>
          <w:rFonts w:asciiTheme="minorHAnsi" w:hAnsiTheme="minorHAnsi" w:cstheme="minorHAnsi"/>
          <w:color w:val="000000" w:themeColor="text1"/>
          <w:szCs w:val="24"/>
        </w:rPr>
        <w:t xml:space="preserve">We stimulated </w:t>
      </w:r>
      <w:r w:rsidR="00A80B65" w:rsidRPr="00E8065C">
        <w:rPr>
          <w:rFonts w:asciiTheme="minorHAnsi" w:eastAsia="PMingLiU" w:hAnsiTheme="minorHAnsi" w:cstheme="minorHAnsi"/>
          <w:color w:val="000000" w:themeColor="text1"/>
          <w:szCs w:val="24"/>
        </w:rPr>
        <w:t>PB mononuclear cells</w:t>
      </w:r>
      <w:r w:rsidR="00A80B65" w:rsidRPr="00E8065C">
        <w:rPr>
          <w:rFonts w:asciiTheme="minorHAnsi" w:hAnsiTheme="minorHAnsi" w:cstheme="minorHAnsi"/>
          <w:color w:val="000000" w:themeColor="text1"/>
          <w:szCs w:val="24"/>
        </w:rPr>
        <w:t xml:space="preserve"> with or without a leukocyte activation cocktail (BD </w:t>
      </w:r>
      <w:proofErr w:type="spellStart"/>
      <w:r w:rsidR="00A80B65" w:rsidRPr="00E8065C">
        <w:rPr>
          <w:rFonts w:asciiTheme="minorHAnsi" w:hAnsiTheme="minorHAnsi" w:cstheme="minorHAnsi"/>
          <w:color w:val="000000" w:themeColor="text1"/>
          <w:szCs w:val="24"/>
        </w:rPr>
        <w:t>GolgiPlug</w:t>
      </w:r>
      <w:proofErr w:type="spellEnd"/>
      <w:r w:rsidR="00A80B65" w:rsidRPr="00E8065C">
        <w:rPr>
          <w:rFonts w:asciiTheme="minorHAnsi" w:hAnsiTheme="minorHAnsi" w:cstheme="minorHAnsi"/>
          <w:color w:val="000000" w:themeColor="text1"/>
          <w:szCs w:val="24"/>
        </w:rPr>
        <w:t xml:space="preserve">™, Heidelberg, Germany), followed by incubation with fluorochrome-conjugated lineage and IL-21 cytokine antibodies. Gated lymphocyte populations were assessed for </w:t>
      </w:r>
      <w:r w:rsidR="00A80B65" w:rsidRPr="00E8065C">
        <w:rPr>
          <w:rFonts w:asciiTheme="minorHAnsi" w:eastAsia="PMingLiU" w:hAnsiTheme="minorHAnsi" w:cstheme="minorHAnsi"/>
          <w:color w:val="000000" w:themeColor="text1"/>
          <w:szCs w:val="24"/>
        </w:rPr>
        <w:t>the presence of intracellular cytokine-producing cells.</w:t>
      </w:r>
    </w:p>
    <w:p w14:paraId="6B30842E" w14:textId="77777777" w:rsidR="00A47441" w:rsidRPr="00E8065C" w:rsidRDefault="00A47441" w:rsidP="00A47441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2E1168D4" w14:textId="716FD2CB" w:rsidR="00873913" w:rsidRPr="00E8065C" w:rsidRDefault="00186313" w:rsidP="00873913">
      <w:pPr>
        <w:spacing w:line="360" w:lineRule="auto"/>
        <w:rPr>
          <w:rFonts w:asciiTheme="minorHAnsi" w:hAnsiTheme="minorHAnsi" w:cstheme="minorHAnsi"/>
          <w:szCs w:val="24"/>
        </w:rPr>
      </w:pPr>
      <w:r w:rsidRPr="00E8065C">
        <w:rPr>
          <w:rFonts w:asciiTheme="minorHAnsi" w:hAnsiTheme="minorHAnsi" w:cstheme="minorHAnsi"/>
          <w:b/>
          <w:szCs w:val="24"/>
        </w:rPr>
        <w:t>Clinicopathologic Features</w:t>
      </w:r>
      <w:r w:rsidRPr="00E8065C">
        <w:rPr>
          <w:rFonts w:asciiTheme="minorHAnsi" w:hAnsiTheme="minorHAnsi" w:cstheme="minorHAnsi"/>
          <w:szCs w:val="24"/>
        </w:rPr>
        <w:t xml:space="preserve"> </w:t>
      </w:r>
      <w:r w:rsidR="00873913" w:rsidRPr="00E8065C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p w14:paraId="6CEF61E8" w14:textId="63CB6024" w:rsidR="00873913" w:rsidRPr="00E8065C" w:rsidRDefault="00245182" w:rsidP="00873913">
      <w:pPr>
        <w:spacing w:line="360" w:lineRule="auto"/>
        <w:ind w:firstLineChars="200" w:firstLine="480"/>
        <w:rPr>
          <w:rFonts w:asciiTheme="minorHAnsi" w:hAnsiTheme="minorHAnsi" w:cstheme="minorHAnsi"/>
          <w:color w:val="000000" w:themeColor="text1"/>
          <w:szCs w:val="24"/>
        </w:rPr>
      </w:pPr>
      <w:r w:rsidRPr="00E8065C">
        <w:rPr>
          <w:rFonts w:asciiTheme="minorHAnsi" w:hAnsiTheme="minorHAnsi" w:cstheme="minorHAnsi"/>
          <w:szCs w:val="24"/>
        </w:rPr>
        <w:t xml:space="preserve">For the 11 patients enrolled, the male-to-female </w:t>
      </w:r>
      <w:r w:rsidRPr="00E8065C">
        <w:rPr>
          <w:rFonts w:asciiTheme="minorHAnsi" w:eastAsia="PMingLiU" w:hAnsiTheme="minorHAnsi" w:cstheme="minorHAnsi"/>
          <w:szCs w:val="24"/>
        </w:rPr>
        <w:t>ratio was</w:t>
      </w:r>
      <w:r w:rsidRPr="00E8065C">
        <w:rPr>
          <w:rFonts w:asciiTheme="minorHAnsi" w:hAnsiTheme="minorHAnsi" w:cstheme="minorHAnsi"/>
          <w:szCs w:val="24"/>
        </w:rPr>
        <w:t xml:space="preserve"> 4.5</w:t>
      </w:r>
      <w:r w:rsidRPr="00E8065C">
        <w:rPr>
          <w:rFonts w:asciiTheme="minorHAnsi" w:eastAsia="PMingLiU" w:hAnsiTheme="minorHAnsi" w:cstheme="minorHAnsi"/>
          <w:szCs w:val="24"/>
        </w:rPr>
        <w:t>,</w:t>
      </w:r>
      <w:r w:rsidRPr="00E8065C">
        <w:rPr>
          <w:rFonts w:asciiTheme="minorHAnsi" w:hAnsiTheme="minorHAnsi" w:cstheme="minorHAnsi"/>
          <w:szCs w:val="24"/>
        </w:rPr>
        <w:t xml:space="preserve"> and the </w:t>
      </w:r>
      <w:r w:rsidR="00873913" w:rsidRPr="00E8065C">
        <w:rPr>
          <w:rFonts w:asciiTheme="minorHAnsi" w:hAnsiTheme="minorHAnsi" w:cstheme="minorHAnsi"/>
          <w:color w:val="000000" w:themeColor="text1"/>
          <w:szCs w:val="24"/>
        </w:rPr>
        <w:t xml:space="preserve">median age was 68.7 years (range: 48–81.4 years). Most patients presented with high-stage disease at diagnosis (stages III–IV, 90.9%), B symptoms (72.7%) and high PIT scores (Group 4, 54.5%). PIT score was estimated with (1) age &gt; 60 years, (2) LDH levels &gt; normal, (3) performance status &gt; 1, </w:t>
      </w:r>
      <w:r w:rsidR="00873913" w:rsidRPr="00E8065C">
        <w:rPr>
          <w:rFonts w:asciiTheme="minorHAnsi" w:eastAsia="PMingLiU" w:hAnsiTheme="minorHAnsi" w:cstheme="minorHAnsi"/>
          <w:color w:val="000000"/>
          <w:szCs w:val="24"/>
        </w:rPr>
        <w:t xml:space="preserve">and (4) </w:t>
      </w:r>
      <w:r w:rsidR="00873913" w:rsidRPr="00E8065C">
        <w:rPr>
          <w:rFonts w:asciiTheme="minorHAnsi" w:hAnsiTheme="minorHAnsi" w:cstheme="minorHAnsi"/>
          <w:color w:val="000000" w:themeColor="text1"/>
          <w:szCs w:val="24"/>
        </w:rPr>
        <w:t>bone marrow involvement, and each item scored 1. According to the scoring system, patients were stratified into four groups</w:t>
      </w:r>
      <w:r w:rsidR="00873913" w:rsidRPr="00E8065C">
        <w:rPr>
          <w:rFonts w:asciiTheme="minorHAnsi" w:eastAsia="PMingLiU" w:hAnsiTheme="minorHAnsi" w:cstheme="minorHAnsi"/>
          <w:color w:val="000000"/>
          <w:szCs w:val="24"/>
        </w:rPr>
        <w:t xml:space="preserve">, and those with a PIT score </w:t>
      </w:r>
      <w:r w:rsidR="00873913" w:rsidRPr="00E8065C">
        <w:rPr>
          <w:rFonts w:asciiTheme="minorHAnsi" w:hAnsiTheme="minorHAnsi" w:cstheme="minorHAnsi"/>
          <w:color w:val="000000" w:themeColor="text1"/>
          <w:szCs w:val="24"/>
        </w:rPr>
        <w:t>&gt; 2 were classified into group 4. Four patients (36.3%</w:t>
      </w:r>
      <w:r w:rsidR="00873913" w:rsidRPr="00E8065C">
        <w:rPr>
          <w:rFonts w:asciiTheme="minorHAnsi" w:eastAsia="PMingLiU" w:hAnsiTheme="minorHAnsi" w:cstheme="minorHAnsi"/>
          <w:color w:val="000000" w:themeColor="text1"/>
          <w:szCs w:val="24"/>
        </w:rPr>
        <w:t xml:space="preserve">; </w:t>
      </w:r>
      <w:r w:rsidR="00873913" w:rsidRPr="00E8065C">
        <w:rPr>
          <w:rFonts w:asciiTheme="minorHAnsi" w:hAnsiTheme="minorHAnsi" w:cstheme="minorHAnsi"/>
          <w:color w:val="000000" w:themeColor="text1"/>
          <w:szCs w:val="24"/>
        </w:rPr>
        <w:t>cases 7, 8, 9</w:t>
      </w:r>
      <w:r w:rsidR="00873913" w:rsidRPr="00E8065C">
        <w:rPr>
          <w:rFonts w:asciiTheme="minorHAnsi" w:eastAsia="PMingLiU" w:hAnsiTheme="minorHAnsi" w:cstheme="minorHAnsi"/>
          <w:color w:val="000000"/>
          <w:szCs w:val="24"/>
        </w:rPr>
        <w:t xml:space="preserve">, and </w:t>
      </w:r>
      <w:r w:rsidR="00846DA3" w:rsidRPr="00E8065C">
        <w:rPr>
          <w:rFonts w:asciiTheme="minorHAnsi" w:eastAsia="PMingLiU" w:hAnsiTheme="minorHAnsi" w:cstheme="minorHAnsi"/>
          <w:color w:val="000000"/>
          <w:szCs w:val="24"/>
        </w:rPr>
        <w:t>11</w:t>
      </w:r>
      <w:r w:rsidR="00873913" w:rsidRPr="00E8065C">
        <w:rPr>
          <w:rFonts w:asciiTheme="minorHAnsi" w:eastAsia="PMingLiU" w:hAnsiTheme="minorHAnsi" w:cstheme="minorHAnsi"/>
          <w:color w:val="000000"/>
          <w:szCs w:val="24"/>
        </w:rPr>
        <w:t xml:space="preserve">) had skin lesions. </w:t>
      </w:r>
      <w:r w:rsidR="005E346A" w:rsidRPr="00E8065C">
        <w:rPr>
          <w:rFonts w:asciiTheme="minorHAnsi" w:hAnsiTheme="minorHAnsi" w:cstheme="minorHAnsi"/>
          <w:szCs w:val="24"/>
        </w:rPr>
        <w:t xml:space="preserve">Eight (72.7%) patients exhibited </w:t>
      </w:r>
      <w:r w:rsidR="005E346A" w:rsidRPr="00E8065C">
        <w:rPr>
          <w:rFonts w:asciiTheme="minorHAnsi" w:hAnsiTheme="minorHAnsi" w:cstheme="minorHAnsi"/>
          <w:szCs w:val="24"/>
        </w:rPr>
        <w:lastRenderedPageBreak/>
        <w:t>elevated levels of plasma EBV DNA (median: 1,877.5 copies/mL; range: 28-2,032,000 copies/mL).</w:t>
      </w:r>
      <w:r w:rsidR="005E346A" w:rsidRPr="00E8065C">
        <w:rPr>
          <w:rFonts w:asciiTheme="minorHAnsi" w:eastAsiaTheme="minorEastAsia" w:hAnsiTheme="minorHAnsi" w:cstheme="minorHAnsi"/>
          <w:szCs w:val="24"/>
          <w:lang w:eastAsia="zh-TW"/>
        </w:rPr>
        <w:t xml:space="preserve"> </w:t>
      </w:r>
      <w:r w:rsidR="00873913" w:rsidRPr="00E8065C">
        <w:rPr>
          <w:rFonts w:asciiTheme="minorHAnsi" w:eastAsia="PMingLiU" w:hAnsiTheme="minorHAnsi" w:cstheme="minorHAnsi"/>
          <w:szCs w:val="24"/>
        </w:rPr>
        <w:t xml:space="preserve">Cases 2 and 4 had elevated antibody levels of viral capsid </w:t>
      </w:r>
      <w:r w:rsidR="00873913" w:rsidRPr="00E8065C">
        <w:rPr>
          <w:rFonts w:asciiTheme="minorHAnsi" w:eastAsia="PMingLiU" w:hAnsiTheme="minorHAnsi" w:cstheme="minorHAnsi"/>
          <w:color w:val="000000"/>
          <w:szCs w:val="24"/>
        </w:rPr>
        <w:t xml:space="preserve">antigen (VCA) IgM </w:t>
      </w:r>
      <w:r w:rsidR="00EA2C1B" w:rsidRPr="00E8065C">
        <w:rPr>
          <w:rFonts w:asciiTheme="minorHAnsi" w:eastAsia="PMingLiU" w:hAnsiTheme="minorHAnsi" w:cstheme="minorHAnsi"/>
          <w:color w:val="000000"/>
          <w:szCs w:val="24"/>
        </w:rPr>
        <w:t>(</w:t>
      </w:r>
      <w:r w:rsidR="00D6697C" w:rsidRPr="00E8065C">
        <w:rPr>
          <w:rFonts w:asciiTheme="minorHAnsi" w:eastAsia="PMingLiU" w:hAnsiTheme="minorHAnsi" w:cstheme="minorHAnsi"/>
          <w:color w:val="000000"/>
          <w:szCs w:val="24"/>
        </w:rPr>
        <w:t>68.7 U/mL and 51.8U/</w:t>
      </w:r>
      <w:r w:rsidR="00D6697C" w:rsidRPr="00E8065C">
        <w:rPr>
          <w:rFonts w:asciiTheme="minorHAnsi" w:eastAsia="PMingLiU" w:hAnsiTheme="minorHAnsi" w:cstheme="minorHAnsi" w:hint="eastAsia"/>
          <w:color w:val="000000"/>
          <w:szCs w:val="24"/>
          <w:lang w:eastAsia="zh-TW"/>
        </w:rPr>
        <w:t>mL</w:t>
      </w:r>
      <w:r w:rsidR="00EA2C1B" w:rsidRPr="00E8065C">
        <w:rPr>
          <w:rFonts w:asciiTheme="minorHAnsi" w:eastAsia="PMingLiU" w:hAnsiTheme="minorHAnsi" w:cstheme="minorHAnsi"/>
          <w:color w:val="000000"/>
          <w:szCs w:val="24"/>
        </w:rPr>
        <w:t xml:space="preserve">) </w:t>
      </w:r>
      <w:r w:rsidR="00873913" w:rsidRPr="00E8065C">
        <w:rPr>
          <w:rFonts w:asciiTheme="minorHAnsi" w:eastAsia="PMingLiU" w:hAnsiTheme="minorHAnsi" w:cstheme="minorHAnsi"/>
          <w:color w:val="000000"/>
          <w:szCs w:val="24"/>
        </w:rPr>
        <w:t>and</w:t>
      </w:r>
      <w:r w:rsidR="00EA2C1B" w:rsidRPr="00E8065C">
        <w:rPr>
          <w:rFonts w:asciiTheme="minorHAnsi" w:eastAsia="PMingLiU" w:hAnsiTheme="minorHAnsi" w:cstheme="minorHAnsi"/>
          <w:color w:val="000000"/>
          <w:szCs w:val="24"/>
        </w:rPr>
        <w:t xml:space="preserve"> EBV DNA</w:t>
      </w:r>
      <w:r w:rsidR="00873913" w:rsidRPr="00E8065C">
        <w:rPr>
          <w:rFonts w:asciiTheme="minorHAnsi" w:eastAsia="PMingLiU" w:hAnsiTheme="minorHAnsi" w:cstheme="minorHAnsi"/>
          <w:color w:val="000000"/>
          <w:szCs w:val="24"/>
        </w:rPr>
        <w:t xml:space="preserve"> (2,677 copies/mL and 3,508 copies/mL, respectively)</w:t>
      </w:r>
      <w:r w:rsidR="00EA2C1B" w:rsidRPr="00E8065C">
        <w:rPr>
          <w:rFonts w:asciiTheme="minorHAnsi" w:eastAsia="PMingLiU" w:hAnsiTheme="minorHAnsi" w:cstheme="minorHAnsi"/>
          <w:color w:val="000000"/>
          <w:szCs w:val="24"/>
        </w:rPr>
        <w:t xml:space="preserve"> in the blood</w:t>
      </w:r>
      <w:r w:rsidR="00873913" w:rsidRPr="00E8065C">
        <w:rPr>
          <w:rFonts w:asciiTheme="minorHAnsi" w:eastAsia="PMingLiU" w:hAnsiTheme="minorHAnsi" w:cstheme="minorHAnsi"/>
          <w:color w:val="000000"/>
          <w:szCs w:val="24"/>
        </w:rPr>
        <w:t>. Case 2 was diagnosed with cold agglutinin disease</w:t>
      </w:r>
      <w:r w:rsidR="00873913" w:rsidRPr="00E8065C">
        <w:rPr>
          <w:rFonts w:asciiTheme="minorHAnsi" w:hAnsiTheme="minorHAnsi" w:cstheme="minorHAnsi"/>
          <w:color w:val="000000" w:themeColor="text1"/>
          <w:szCs w:val="24"/>
        </w:rPr>
        <w:t xml:space="preserve">, which causes autoimmune hemolytic anemia during initial and relapsed episodes. Case 3 had multicentric Castleman’s disease with elevated serum IgG4 </w:t>
      </w:r>
      <w:r w:rsidR="00873913" w:rsidRPr="00E8065C">
        <w:rPr>
          <w:rFonts w:asciiTheme="minorHAnsi" w:eastAsia="PMingLiU" w:hAnsiTheme="minorHAnsi" w:cstheme="minorHAnsi"/>
          <w:color w:val="000000"/>
          <w:szCs w:val="24"/>
        </w:rPr>
        <w:t>levels (814 mg/dL)</w:t>
      </w:r>
      <w:r w:rsidR="00873913" w:rsidRPr="00E8065C">
        <w:rPr>
          <w:rFonts w:asciiTheme="minorHAnsi" w:hAnsiTheme="minorHAnsi" w:cstheme="minorHAnsi"/>
          <w:color w:val="000000" w:themeColor="text1"/>
          <w:szCs w:val="24"/>
        </w:rPr>
        <w:t xml:space="preserve"> two years before the diagnosis of AITL. Human herpes virus type 8 (HHV-8) was tested but was not detected in this case. All patients</w:t>
      </w:r>
      <w:r w:rsidR="009B7CC2" w:rsidRPr="00E8065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73913" w:rsidRPr="00E8065C">
        <w:rPr>
          <w:rFonts w:asciiTheme="minorHAnsi" w:hAnsiTheme="minorHAnsi" w:cstheme="minorHAnsi"/>
          <w:color w:val="000000" w:themeColor="text1"/>
          <w:szCs w:val="24"/>
        </w:rPr>
        <w:t>received chemotherapy with cyclophosphamide, doxorubicin, vincristine, and prednisolone (CHO</w:t>
      </w:r>
      <w:r w:rsidR="00873913" w:rsidRPr="006B511D">
        <w:rPr>
          <w:rFonts w:asciiTheme="minorHAnsi" w:hAnsiTheme="minorHAnsi" w:cstheme="minorHAnsi"/>
          <w:szCs w:val="24"/>
        </w:rPr>
        <w:t>P</w:t>
      </w:r>
      <w:r w:rsidR="009B7CC2" w:rsidRPr="006B511D">
        <w:rPr>
          <w:rFonts w:asciiTheme="minorHAnsi" w:hAnsiTheme="minorHAnsi" w:cstheme="minorHAnsi"/>
          <w:szCs w:val="24"/>
        </w:rPr>
        <w:t>)</w:t>
      </w:r>
      <w:r w:rsidR="00873913" w:rsidRPr="006B511D">
        <w:rPr>
          <w:rFonts w:asciiTheme="minorHAnsi" w:hAnsiTheme="minorHAnsi" w:cstheme="minorHAnsi"/>
          <w:szCs w:val="24"/>
        </w:rPr>
        <w:t xml:space="preserve">. </w:t>
      </w:r>
      <w:r w:rsidR="00285BFA" w:rsidRPr="006B511D">
        <w:rPr>
          <w:rFonts w:asciiTheme="minorHAnsi" w:hAnsiTheme="minorHAnsi" w:cstheme="minorHAnsi"/>
          <w:szCs w:val="24"/>
        </w:rPr>
        <w:t xml:space="preserve">Case 6 was treated with Rituximab in addition to CHOP. </w:t>
      </w:r>
      <w:r w:rsidR="00873913" w:rsidRPr="006B511D">
        <w:rPr>
          <w:rFonts w:asciiTheme="minorHAnsi" w:hAnsiTheme="minorHAnsi" w:cstheme="minorHAnsi"/>
          <w:szCs w:val="24"/>
        </w:rPr>
        <w:t xml:space="preserve">The 1-year, 2-year, and 5-year OS rates of the 11 patients were </w:t>
      </w:r>
      <w:r w:rsidR="00D6697C" w:rsidRPr="006B511D">
        <w:rPr>
          <w:rFonts w:asciiTheme="minorHAnsi" w:hAnsiTheme="minorHAnsi" w:cstheme="minorHAnsi"/>
          <w:szCs w:val="24"/>
        </w:rPr>
        <w:t>60%, 37.5%, and 16.7%</w:t>
      </w:r>
      <w:r w:rsidR="00873913" w:rsidRPr="006B511D">
        <w:rPr>
          <w:rFonts w:asciiTheme="minorHAnsi" w:hAnsiTheme="minorHAnsi" w:cstheme="minorHAnsi"/>
          <w:szCs w:val="24"/>
        </w:rPr>
        <w:t>, respecti</w:t>
      </w:r>
      <w:r w:rsidR="00873913" w:rsidRPr="00E8065C">
        <w:rPr>
          <w:rFonts w:asciiTheme="minorHAnsi" w:hAnsiTheme="minorHAnsi" w:cstheme="minorHAnsi"/>
          <w:color w:val="000000" w:themeColor="text1"/>
          <w:szCs w:val="24"/>
        </w:rPr>
        <w:t xml:space="preserve">vely. </w:t>
      </w:r>
    </w:p>
    <w:p w14:paraId="3F2AA3CE" w14:textId="77777777" w:rsidR="00186313" w:rsidRPr="00E8065C" w:rsidRDefault="00186313" w:rsidP="00873913">
      <w:pPr>
        <w:spacing w:line="360" w:lineRule="auto"/>
        <w:ind w:firstLineChars="200" w:firstLine="480"/>
        <w:rPr>
          <w:rFonts w:asciiTheme="minorHAnsi" w:hAnsiTheme="minorHAnsi" w:cstheme="minorHAnsi"/>
          <w:color w:val="000000" w:themeColor="text1"/>
          <w:szCs w:val="24"/>
        </w:rPr>
      </w:pPr>
    </w:p>
    <w:p w14:paraId="53DE2AFE" w14:textId="77777777" w:rsidR="00186313" w:rsidRPr="00E8065C" w:rsidRDefault="00186313" w:rsidP="00873913">
      <w:pPr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18755417" w14:textId="51D4C4DA" w:rsidR="0097062E" w:rsidRPr="00E8065C" w:rsidRDefault="00433635" w:rsidP="00E65286">
      <w:pPr>
        <w:spacing w:line="360" w:lineRule="auto"/>
        <w:rPr>
          <w:szCs w:val="24"/>
        </w:rPr>
      </w:pPr>
      <w:r w:rsidRPr="00E8065C">
        <w:rPr>
          <w:szCs w:val="24"/>
        </w:rPr>
        <w:t xml:space="preserve"> </w:t>
      </w:r>
    </w:p>
    <w:sectPr w:rsidR="0097062E" w:rsidRPr="00E806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9A23" w14:textId="77777777" w:rsidR="00113306" w:rsidRDefault="00113306" w:rsidP="003162D9">
      <w:r>
        <w:separator/>
      </w:r>
    </w:p>
  </w:endnote>
  <w:endnote w:type="continuationSeparator" w:id="0">
    <w:p w14:paraId="3CB65E08" w14:textId="77777777" w:rsidR="00113306" w:rsidRDefault="00113306" w:rsidP="0031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0A1D" w14:textId="77777777" w:rsidR="00113306" w:rsidRDefault="00113306" w:rsidP="003162D9">
      <w:r>
        <w:separator/>
      </w:r>
    </w:p>
  </w:footnote>
  <w:footnote w:type="continuationSeparator" w:id="0">
    <w:p w14:paraId="273091A3" w14:textId="77777777" w:rsidR="00113306" w:rsidRDefault="00113306" w:rsidP="0031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5"/>
    <w:rsid w:val="00000C63"/>
    <w:rsid w:val="00006BBF"/>
    <w:rsid w:val="00022687"/>
    <w:rsid w:val="00063D92"/>
    <w:rsid w:val="000E391E"/>
    <w:rsid w:val="00113306"/>
    <w:rsid w:val="00134F22"/>
    <w:rsid w:val="00135BCE"/>
    <w:rsid w:val="00170D9B"/>
    <w:rsid w:val="00186313"/>
    <w:rsid w:val="00204126"/>
    <w:rsid w:val="002150D2"/>
    <w:rsid w:val="00245182"/>
    <w:rsid w:val="00267E7D"/>
    <w:rsid w:val="00285BFA"/>
    <w:rsid w:val="002868B9"/>
    <w:rsid w:val="00314674"/>
    <w:rsid w:val="003162D9"/>
    <w:rsid w:val="00341ED5"/>
    <w:rsid w:val="003608C1"/>
    <w:rsid w:val="0036171A"/>
    <w:rsid w:val="003B6AA6"/>
    <w:rsid w:val="00433635"/>
    <w:rsid w:val="00483B15"/>
    <w:rsid w:val="004D0853"/>
    <w:rsid w:val="004F6B94"/>
    <w:rsid w:val="005C02B5"/>
    <w:rsid w:val="005C1348"/>
    <w:rsid w:val="005E346A"/>
    <w:rsid w:val="005F24DA"/>
    <w:rsid w:val="00624B62"/>
    <w:rsid w:val="00637C49"/>
    <w:rsid w:val="006533E2"/>
    <w:rsid w:val="00655C82"/>
    <w:rsid w:val="006761D7"/>
    <w:rsid w:val="006B511D"/>
    <w:rsid w:val="007407F7"/>
    <w:rsid w:val="0077427C"/>
    <w:rsid w:val="00846DA3"/>
    <w:rsid w:val="00873913"/>
    <w:rsid w:val="00894E15"/>
    <w:rsid w:val="008D550A"/>
    <w:rsid w:val="0093078D"/>
    <w:rsid w:val="0097062E"/>
    <w:rsid w:val="009B492D"/>
    <w:rsid w:val="009B7CC2"/>
    <w:rsid w:val="009F75F6"/>
    <w:rsid w:val="00A47441"/>
    <w:rsid w:val="00A5444C"/>
    <w:rsid w:val="00A57C58"/>
    <w:rsid w:val="00A80B65"/>
    <w:rsid w:val="00AA4E85"/>
    <w:rsid w:val="00AD09DB"/>
    <w:rsid w:val="00B71527"/>
    <w:rsid w:val="00B736AD"/>
    <w:rsid w:val="00C718E9"/>
    <w:rsid w:val="00CE0E3B"/>
    <w:rsid w:val="00CE6047"/>
    <w:rsid w:val="00CF7A2F"/>
    <w:rsid w:val="00D6697C"/>
    <w:rsid w:val="00D96F6F"/>
    <w:rsid w:val="00DD7004"/>
    <w:rsid w:val="00DE31FB"/>
    <w:rsid w:val="00E06E6E"/>
    <w:rsid w:val="00E65286"/>
    <w:rsid w:val="00E8065C"/>
    <w:rsid w:val="00E84E79"/>
    <w:rsid w:val="00EA2C1B"/>
    <w:rsid w:val="00F84DAB"/>
    <w:rsid w:val="00FA643B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AE874"/>
  <w15:chartTrackingRefBased/>
  <w15:docId w15:val="{AC9581CA-2E45-468F-867A-453833A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D9"/>
    <w:rPr>
      <w:rFonts w:ascii="Times New Roman" w:eastAsia="Times New Roman" w:hAnsi="Times New Roman" w:cs="Times New Roman"/>
      <w:kern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2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162D9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62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162D9"/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>CGMH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SOAuser</dc:creator>
  <cp:keywords/>
  <dc:description/>
  <cp:lastModifiedBy>Alison Shearing</cp:lastModifiedBy>
  <cp:revision>2</cp:revision>
  <dcterms:created xsi:type="dcterms:W3CDTF">2022-08-01T14:58:00Z</dcterms:created>
  <dcterms:modified xsi:type="dcterms:W3CDTF">2022-08-01T14:58:00Z</dcterms:modified>
</cp:coreProperties>
</file>