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3035" w14:textId="45337B11" w:rsidR="002F6D8A" w:rsidRPr="00C77D57" w:rsidRDefault="002F6D8A" w:rsidP="002F6D8A">
      <w:pPr>
        <w:pStyle w:val="Titel"/>
        <w:spacing w:line="480" w:lineRule="auto"/>
        <w:rPr>
          <w:rFonts w:ascii="Cambria" w:hAnsi="Cambria" w:cstheme="minorHAnsi"/>
          <w:b/>
          <w:bCs/>
          <w:sz w:val="26"/>
          <w:szCs w:val="26"/>
        </w:rPr>
      </w:pPr>
      <w:r w:rsidRPr="00C77D57">
        <w:rPr>
          <w:rFonts w:ascii="Cambria" w:hAnsi="Cambria" w:cstheme="minorHAnsi"/>
          <w:b/>
          <w:bCs/>
          <w:sz w:val="26"/>
          <w:szCs w:val="26"/>
        </w:rPr>
        <w:t>Supplementary Methods</w:t>
      </w:r>
    </w:p>
    <w:p w14:paraId="3B8A7C05" w14:textId="5BB9AB65" w:rsidR="00942905" w:rsidRPr="00C77D57" w:rsidRDefault="00942905" w:rsidP="00942905">
      <w:pPr>
        <w:pStyle w:val="berschrift2"/>
        <w:spacing w:line="480" w:lineRule="auto"/>
        <w:jc w:val="both"/>
        <w:rPr>
          <w:rFonts w:asciiTheme="minorHAnsi" w:hAnsiTheme="minorHAnsi" w:cstheme="minorHAnsi"/>
          <w:b/>
          <w:bCs/>
          <w:color w:val="000000" w:themeColor="text1"/>
          <w:sz w:val="22"/>
          <w:szCs w:val="22"/>
        </w:rPr>
      </w:pPr>
      <w:r w:rsidRPr="00C77D57">
        <w:rPr>
          <w:rFonts w:asciiTheme="minorHAnsi" w:hAnsiTheme="minorHAnsi" w:cstheme="minorHAnsi"/>
          <w:b/>
          <w:bCs/>
          <w:color w:val="000000" w:themeColor="text1"/>
          <w:sz w:val="22"/>
          <w:szCs w:val="22"/>
        </w:rPr>
        <w:t>NOD mice infection</w:t>
      </w:r>
    </w:p>
    <w:p w14:paraId="4A79E614" w14:textId="79A66550" w:rsidR="00942905" w:rsidRPr="00C77D57" w:rsidRDefault="00942905" w:rsidP="00942905">
      <w:pPr>
        <w:widowControl w:val="0"/>
        <w:spacing w:line="480" w:lineRule="auto"/>
        <w:jc w:val="both"/>
        <w:outlineLvl w:val="3"/>
        <w:rPr>
          <w:rFonts w:cstheme="minorHAnsi"/>
          <w:color w:val="000000" w:themeColor="text1"/>
          <w:sz w:val="22"/>
          <w:szCs w:val="22"/>
        </w:rPr>
      </w:pPr>
      <w:r w:rsidRPr="00C77D57">
        <w:rPr>
          <w:rFonts w:cstheme="minorHAnsi"/>
          <w:color w:val="000000" w:themeColor="text1"/>
          <w:sz w:val="22"/>
          <w:szCs w:val="22"/>
        </w:rPr>
        <w:t xml:space="preserve">NOD and </w:t>
      </w:r>
      <w:r w:rsidR="002F1760" w:rsidRPr="00C77D57">
        <w:rPr>
          <w:rFonts w:cstheme="minorHAnsi"/>
          <w:color w:val="000000" w:themeColor="text1"/>
          <w:sz w:val="22"/>
          <w:szCs w:val="22"/>
        </w:rPr>
        <w:t>NOD.Cg-</w:t>
      </w:r>
      <w:r w:rsidR="002F1760" w:rsidRPr="00C77D57">
        <w:rPr>
          <w:rFonts w:cstheme="minorHAnsi"/>
          <w:i/>
          <w:iCs/>
          <w:color w:val="000000" w:themeColor="text1"/>
          <w:sz w:val="22"/>
          <w:szCs w:val="22"/>
        </w:rPr>
        <w:t>Prkdc</w:t>
      </w:r>
      <w:r w:rsidR="002F1760" w:rsidRPr="00C77D57">
        <w:rPr>
          <w:rFonts w:cstheme="minorHAnsi"/>
          <w:i/>
          <w:iCs/>
          <w:color w:val="000000" w:themeColor="text1"/>
          <w:sz w:val="22"/>
          <w:szCs w:val="22"/>
          <w:vertAlign w:val="superscript"/>
        </w:rPr>
        <w:t>scid</w:t>
      </w:r>
      <w:r w:rsidR="002F1760" w:rsidRPr="00C77D57">
        <w:rPr>
          <w:rFonts w:cstheme="minorHAnsi"/>
          <w:i/>
          <w:iCs/>
          <w:color w:val="000000" w:themeColor="text1"/>
          <w:sz w:val="22"/>
          <w:szCs w:val="22"/>
        </w:rPr>
        <w:t>Il2</w:t>
      </w:r>
      <w:r w:rsidR="002F1760" w:rsidRPr="00C77D57">
        <w:rPr>
          <w:rFonts w:cstheme="minorHAnsi"/>
          <w:i/>
          <w:iCs/>
          <w:color w:val="000000" w:themeColor="text1"/>
          <w:sz w:val="22"/>
          <w:szCs w:val="22"/>
          <w:vertAlign w:val="superscript"/>
        </w:rPr>
        <w:t>rgtm1Sug</w:t>
      </w:r>
      <w:r w:rsidR="002F1760" w:rsidRPr="00C77D57">
        <w:rPr>
          <w:rFonts w:cstheme="minorHAnsi"/>
          <w:color w:val="000000" w:themeColor="text1"/>
          <w:sz w:val="22"/>
          <w:szCs w:val="22"/>
        </w:rPr>
        <w:t>/Shi.Jic (</w:t>
      </w:r>
      <w:r w:rsidRPr="00C77D57">
        <w:rPr>
          <w:rFonts w:cstheme="minorHAnsi"/>
          <w:color w:val="000000" w:themeColor="text1"/>
          <w:sz w:val="22"/>
          <w:szCs w:val="22"/>
        </w:rPr>
        <w:t>NOD/</w:t>
      </w:r>
      <w:r w:rsidRPr="00C77D57">
        <w:rPr>
          <w:rFonts w:cstheme="minorHAnsi"/>
          <w:i/>
          <w:iCs/>
          <w:color w:val="000000" w:themeColor="text1"/>
          <w:sz w:val="22"/>
          <w:szCs w:val="22"/>
        </w:rPr>
        <w:t>scid</w:t>
      </w:r>
      <w:r w:rsidR="002F0CA1" w:rsidRPr="00C77D57">
        <w:rPr>
          <w:rFonts w:cstheme="minorHAnsi"/>
          <w:i/>
          <w:iCs/>
          <w:color w:val="000000" w:themeColor="text1"/>
          <w:sz w:val="22"/>
          <w:szCs w:val="22"/>
        </w:rPr>
        <w:t>-</w:t>
      </w:r>
      <w:r w:rsidRPr="00C77D57">
        <w:rPr>
          <w:rFonts w:cstheme="minorHAnsi"/>
          <w:i/>
          <w:iCs/>
          <w:color w:val="000000" w:themeColor="text1"/>
          <w:sz w:val="22"/>
          <w:szCs w:val="22"/>
        </w:rPr>
        <w:t>IL2</w:t>
      </w:r>
      <w:r w:rsidR="002F0CA1" w:rsidRPr="00C77D57">
        <w:rPr>
          <w:rFonts w:cstheme="minorHAnsi"/>
          <w:i/>
          <w:iCs/>
          <w:color w:val="000000" w:themeColor="text1"/>
          <w:sz w:val="22"/>
          <w:szCs w:val="22"/>
        </w:rPr>
        <w:t>rg</w:t>
      </w:r>
      <w:r w:rsidR="002F1760" w:rsidRPr="00C77D57">
        <w:rPr>
          <w:rFonts w:cstheme="minorHAnsi"/>
          <w:i/>
          <w:iCs/>
          <w:color w:val="000000" w:themeColor="text1"/>
          <w:sz w:val="22"/>
          <w:szCs w:val="22"/>
          <w:vertAlign w:val="superscript"/>
        </w:rPr>
        <w:t>–/–</w:t>
      </w:r>
      <w:r w:rsidR="002F0CA1" w:rsidRPr="00C77D57">
        <w:rPr>
          <w:rFonts w:cstheme="minorHAnsi"/>
          <w:color w:val="000000" w:themeColor="text1"/>
          <w:sz w:val="22"/>
          <w:szCs w:val="22"/>
        </w:rPr>
        <w:t>)</w:t>
      </w:r>
      <w:r w:rsidR="00C10E2D" w:rsidRPr="00C77D57">
        <w:rPr>
          <w:rFonts w:cstheme="minorHAnsi"/>
          <w:color w:val="000000" w:themeColor="text1"/>
          <w:sz w:val="22"/>
          <w:szCs w:val="22"/>
        </w:rPr>
        <w:t>mice</w:t>
      </w:r>
      <w:r w:rsidRPr="00C77D57">
        <w:rPr>
          <w:rFonts w:cstheme="minorHAnsi"/>
          <w:color w:val="000000" w:themeColor="text1"/>
          <w:sz w:val="22"/>
          <w:szCs w:val="22"/>
        </w:rPr>
        <w:t xml:space="preserve"> were purchased from CLEA Japan (Tokyo, Japan). All mice were maintained under specific-pathogen free conditions with gamma ray-sterilized diet and acidified tap water (0.002 N HCl) </w:t>
      </w:r>
      <w:r w:rsidRPr="00C77D57">
        <w:rPr>
          <w:rFonts w:cstheme="minorHAnsi"/>
          <w:i/>
          <w:iCs/>
          <w:color w:val="000000" w:themeColor="text1"/>
          <w:sz w:val="22"/>
          <w:szCs w:val="22"/>
        </w:rPr>
        <w:t>ad libitum</w:t>
      </w:r>
      <w:r w:rsidRPr="00C77D57">
        <w:rPr>
          <w:rFonts w:cstheme="minorHAnsi"/>
          <w:color w:val="000000" w:themeColor="text1"/>
          <w:sz w:val="22"/>
          <w:szCs w:val="22"/>
        </w:rPr>
        <w:t>. Animals were infected intravenously</w:t>
      </w:r>
      <w:r w:rsidR="00C10E2D" w:rsidRPr="00C77D57">
        <w:rPr>
          <w:rFonts w:cstheme="minorHAnsi"/>
          <w:color w:val="000000" w:themeColor="text1"/>
          <w:sz w:val="22"/>
          <w:szCs w:val="22"/>
        </w:rPr>
        <w:t xml:space="preserve"> in</w:t>
      </w:r>
      <w:r w:rsidR="00C10E2D" w:rsidRPr="00C77D57">
        <w:t xml:space="preserve"> </w:t>
      </w:r>
      <w:r w:rsidR="00670813" w:rsidRPr="00C77D57">
        <w:t xml:space="preserve">the </w:t>
      </w:r>
      <w:r w:rsidR="00C10E2D" w:rsidRPr="00C77D57">
        <w:rPr>
          <w:rFonts w:cstheme="minorHAnsi"/>
          <w:color w:val="000000" w:themeColor="text1"/>
          <w:sz w:val="22"/>
          <w:szCs w:val="22"/>
        </w:rPr>
        <w:t>lateral caudal vein</w:t>
      </w:r>
      <w:r w:rsidRPr="00C77D57">
        <w:rPr>
          <w:rFonts w:cstheme="minorHAnsi"/>
          <w:color w:val="000000" w:themeColor="text1"/>
          <w:sz w:val="22"/>
          <w:szCs w:val="22"/>
        </w:rPr>
        <w:t xml:space="preserve"> with 5 x10</w:t>
      </w:r>
      <w:r w:rsidRPr="00C77D57">
        <w:rPr>
          <w:rFonts w:cstheme="minorHAnsi"/>
          <w:color w:val="000000" w:themeColor="text1"/>
          <w:sz w:val="22"/>
          <w:szCs w:val="22"/>
          <w:vertAlign w:val="superscript"/>
        </w:rPr>
        <w:t xml:space="preserve">5 </w:t>
      </w:r>
      <w:r w:rsidRPr="00C77D57">
        <w:rPr>
          <w:rFonts w:cstheme="minorHAnsi"/>
          <w:i/>
          <w:iCs/>
          <w:color w:val="000000" w:themeColor="text1"/>
          <w:sz w:val="22"/>
          <w:szCs w:val="22"/>
        </w:rPr>
        <w:t xml:space="preserve">A. fumigatus </w:t>
      </w:r>
      <w:r w:rsidRPr="00C77D57">
        <w:rPr>
          <w:rFonts w:cstheme="minorHAnsi"/>
          <w:color w:val="000000" w:themeColor="text1"/>
          <w:sz w:val="22"/>
          <w:szCs w:val="22"/>
        </w:rPr>
        <w:t xml:space="preserve">conidia </w:t>
      </w:r>
      <w:r w:rsidR="00C10E2D" w:rsidRPr="00C77D57">
        <w:rPr>
          <w:rFonts w:cstheme="minorHAnsi"/>
          <w:color w:val="000000" w:themeColor="text1"/>
          <w:sz w:val="22"/>
          <w:szCs w:val="22"/>
        </w:rPr>
        <w:t xml:space="preserve">resuspended in 100 </w:t>
      </w:r>
      <w:r w:rsidR="00C10E2D" w:rsidRPr="00C77D57">
        <w:rPr>
          <w:rFonts w:cstheme="minorHAnsi"/>
          <w:color w:val="000000" w:themeColor="text1"/>
          <w:sz w:val="22"/>
          <w:szCs w:val="22"/>
        </w:rPr>
        <w:sym w:font="Symbol" w:char="F06D"/>
      </w:r>
      <w:r w:rsidR="00C10E2D" w:rsidRPr="00C77D57">
        <w:rPr>
          <w:rFonts w:cstheme="minorHAnsi"/>
          <w:color w:val="000000" w:themeColor="text1"/>
          <w:sz w:val="22"/>
          <w:szCs w:val="22"/>
        </w:rPr>
        <w:t xml:space="preserve">L of PBS. Animals were </w:t>
      </w:r>
      <w:r w:rsidRPr="00C77D57">
        <w:rPr>
          <w:rFonts w:cstheme="minorHAnsi"/>
          <w:color w:val="000000" w:themeColor="text1"/>
          <w:sz w:val="22"/>
          <w:szCs w:val="22"/>
        </w:rPr>
        <w:t>monitored daily</w:t>
      </w:r>
      <w:r w:rsidR="00C10E2D" w:rsidRPr="00C77D57">
        <w:rPr>
          <w:rFonts w:cstheme="minorHAnsi"/>
          <w:color w:val="000000" w:themeColor="text1"/>
          <w:sz w:val="22"/>
          <w:szCs w:val="22"/>
        </w:rPr>
        <w:t xml:space="preserve"> for body weight loss and survival evaluation.</w:t>
      </w:r>
    </w:p>
    <w:p w14:paraId="7F8994A3" w14:textId="6BAD328F" w:rsidR="007320CD" w:rsidRPr="00C77D57" w:rsidRDefault="007320CD" w:rsidP="00942905">
      <w:pPr>
        <w:widowControl w:val="0"/>
        <w:spacing w:line="480" w:lineRule="auto"/>
        <w:jc w:val="both"/>
        <w:outlineLvl w:val="3"/>
        <w:rPr>
          <w:rFonts w:cstheme="minorHAnsi"/>
          <w:b/>
          <w:bCs/>
          <w:color w:val="000000" w:themeColor="text1"/>
          <w:sz w:val="22"/>
          <w:szCs w:val="22"/>
        </w:rPr>
      </w:pPr>
      <w:r w:rsidRPr="00C77D57">
        <w:rPr>
          <w:rFonts w:cstheme="minorHAnsi"/>
          <w:b/>
          <w:bCs/>
          <w:color w:val="000000" w:themeColor="text1"/>
          <w:sz w:val="22"/>
          <w:szCs w:val="22"/>
        </w:rPr>
        <w:t>Neutrophil depletion</w:t>
      </w:r>
    </w:p>
    <w:p w14:paraId="632511BB" w14:textId="4D785F3F" w:rsidR="00942905" w:rsidRPr="00C77D57" w:rsidRDefault="007320CD" w:rsidP="00F9684E">
      <w:pPr>
        <w:widowControl w:val="0"/>
        <w:spacing w:line="480" w:lineRule="auto"/>
        <w:jc w:val="both"/>
        <w:outlineLvl w:val="3"/>
        <w:rPr>
          <w:rFonts w:eastAsia="Times New Roman" w:cstheme="minorHAnsi"/>
          <w:lang w:eastAsia="de-CH"/>
        </w:rPr>
      </w:pPr>
      <w:r w:rsidRPr="00C77D57">
        <w:rPr>
          <w:rFonts w:eastAsia="Times New Roman" w:cstheme="minorHAnsi"/>
          <w:lang w:eastAsia="de-CH"/>
        </w:rPr>
        <w:t xml:space="preserve">For assays with neutrophil depletion, wt or </w:t>
      </w:r>
      <w:r w:rsidRPr="00C77D57">
        <w:rPr>
          <w:rFonts w:eastAsia="Times New Roman" w:cstheme="minorHAnsi"/>
          <w:i/>
          <w:iCs/>
          <w:lang w:eastAsia="de-CH"/>
        </w:rPr>
        <w:t>Clec7a</w:t>
      </w:r>
      <w:r w:rsidRPr="00C77D57">
        <w:rPr>
          <w:rFonts w:eastAsia="Times New Roman" w:cstheme="minorHAnsi"/>
          <w:vertAlign w:val="superscript"/>
          <w:lang w:eastAsia="de-CH"/>
        </w:rPr>
        <w:t>–/–</w:t>
      </w:r>
      <w:r w:rsidRPr="00C77D57">
        <w:rPr>
          <w:rFonts w:eastAsia="Times New Roman" w:cstheme="minorHAnsi"/>
          <w:lang w:eastAsia="de-CH"/>
        </w:rPr>
        <w:t xml:space="preserve"> mice were treated intraperitoneally with </w:t>
      </w:r>
      <w:r w:rsidRPr="00C77D57">
        <w:rPr>
          <w:rFonts w:eastAsia="Times New Roman" w:cstheme="minorHAnsi"/>
          <w:i/>
          <w:iCs/>
          <w:lang w:eastAsia="de-CH"/>
        </w:rPr>
        <w:t>InVivo</w:t>
      </w:r>
      <w:r w:rsidRPr="00C77D57">
        <w:rPr>
          <w:rFonts w:eastAsia="Times New Roman" w:cstheme="minorHAnsi"/>
          <w:lang w:eastAsia="de-CH"/>
        </w:rPr>
        <w:t xml:space="preserve">Plus anti-mouse Ly6G antibody (clone 1A8) or </w:t>
      </w:r>
      <w:r w:rsidRPr="00C77D57">
        <w:rPr>
          <w:rFonts w:eastAsia="Times New Roman" w:cstheme="minorHAnsi"/>
          <w:i/>
          <w:iCs/>
          <w:lang w:eastAsia="de-CH"/>
        </w:rPr>
        <w:t>InVivo</w:t>
      </w:r>
      <w:r w:rsidRPr="00C77D57">
        <w:rPr>
          <w:rFonts w:eastAsia="Times New Roman" w:cstheme="minorHAnsi"/>
          <w:lang w:eastAsia="de-CH"/>
        </w:rPr>
        <w:t>Mab rat IgG2a isotype control (clone 2A3) (Bio X Cell, Vermont, USA) as described</w:t>
      </w:r>
      <w:r w:rsidR="00F9684E" w:rsidRPr="00C77D57">
        <w:rPr>
          <w:rFonts w:eastAsia="Times New Roman" w:cstheme="minorHAnsi"/>
          <w:lang w:eastAsia="de-CH"/>
        </w:rPr>
        <w:t xml:space="preserve"> in</w:t>
      </w:r>
      <w:r w:rsidRPr="00C77D57">
        <w:rPr>
          <w:rFonts w:eastAsia="Times New Roman" w:cstheme="minorHAnsi"/>
          <w:lang w:eastAsia="de-CH"/>
        </w:rPr>
        <w:t xml:space="preserve"> </w:t>
      </w:r>
      <w:r w:rsidR="00F9684E" w:rsidRPr="00C77D57">
        <w:rPr>
          <w:rFonts w:cstheme="minorHAnsi"/>
        </w:rPr>
        <w:t>online suppl. Figure 7</w:t>
      </w:r>
      <w:r w:rsidR="00F9684E" w:rsidRPr="00C77D57">
        <w:rPr>
          <w:rFonts w:eastAsia="Times New Roman" w:cstheme="minorHAnsi"/>
          <w:lang w:eastAsia="de-CH"/>
        </w:rPr>
        <w:t>.</w:t>
      </w:r>
    </w:p>
    <w:p w14:paraId="444AE72C" w14:textId="29B5FA6F" w:rsidR="003A65E8" w:rsidRPr="00C77D57" w:rsidRDefault="003A65E8" w:rsidP="002F6D8A">
      <w:pPr>
        <w:pStyle w:val="berschrift2"/>
        <w:spacing w:line="480" w:lineRule="auto"/>
        <w:jc w:val="both"/>
        <w:rPr>
          <w:rFonts w:asciiTheme="minorHAnsi" w:hAnsiTheme="minorHAnsi" w:cstheme="minorHAnsi"/>
          <w:b/>
          <w:bCs/>
          <w:color w:val="000000" w:themeColor="text1"/>
          <w:sz w:val="22"/>
          <w:szCs w:val="22"/>
        </w:rPr>
      </w:pPr>
      <w:r w:rsidRPr="00C77D57">
        <w:rPr>
          <w:rFonts w:asciiTheme="minorHAnsi" w:hAnsiTheme="minorHAnsi" w:cstheme="minorHAnsi"/>
          <w:b/>
          <w:bCs/>
          <w:color w:val="000000" w:themeColor="text1"/>
          <w:sz w:val="22"/>
          <w:szCs w:val="22"/>
        </w:rPr>
        <w:t>Intratracheal infection</w:t>
      </w:r>
    </w:p>
    <w:p w14:paraId="1667547B" w14:textId="3619F9EE" w:rsidR="003A65E8" w:rsidRPr="00C77D57" w:rsidRDefault="003A65E8" w:rsidP="003A65E8">
      <w:pPr>
        <w:spacing w:line="480" w:lineRule="auto"/>
        <w:jc w:val="both"/>
        <w:rPr>
          <w:rFonts w:cstheme="minorHAnsi"/>
          <w:color w:val="000000" w:themeColor="text1"/>
          <w:sz w:val="22"/>
          <w:szCs w:val="22"/>
        </w:rPr>
      </w:pPr>
      <w:r w:rsidRPr="00C77D57">
        <w:rPr>
          <w:rFonts w:cstheme="minorHAnsi"/>
          <w:color w:val="000000" w:themeColor="text1"/>
          <w:sz w:val="22"/>
          <w:szCs w:val="22"/>
        </w:rPr>
        <w:t>Animals were sedated and the trachea was accessed through the mouth opening with the help of a 20Gx 1 1/4” indwelling needle intravenous cannula (Terumo, Tokyo, Japan). 1 x10</w:t>
      </w:r>
      <w:r w:rsidRPr="00C77D57">
        <w:rPr>
          <w:rFonts w:cstheme="minorHAnsi"/>
          <w:color w:val="000000" w:themeColor="text1"/>
          <w:sz w:val="22"/>
          <w:szCs w:val="22"/>
          <w:vertAlign w:val="superscript"/>
        </w:rPr>
        <w:t>7</w:t>
      </w:r>
      <w:r w:rsidRPr="00C77D57">
        <w:rPr>
          <w:rFonts w:cstheme="minorHAnsi"/>
          <w:color w:val="000000" w:themeColor="text1"/>
          <w:sz w:val="22"/>
          <w:szCs w:val="22"/>
        </w:rPr>
        <w:t xml:space="preserve"> conidia cells </w:t>
      </w:r>
      <w:r w:rsidR="00670813" w:rsidRPr="00C77D57">
        <w:rPr>
          <w:rFonts w:cstheme="minorHAnsi"/>
          <w:color w:val="000000" w:themeColor="text1"/>
          <w:sz w:val="22"/>
          <w:szCs w:val="22"/>
        </w:rPr>
        <w:t xml:space="preserve">were </w:t>
      </w:r>
      <w:r w:rsidRPr="00C77D57">
        <w:rPr>
          <w:rFonts w:cstheme="minorHAnsi"/>
          <w:color w:val="000000" w:themeColor="text1"/>
          <w:sz w:val="22"/>
          <w:szCs w:val="22"/>
        </w:rPr>
        <w:t xml:space="preserve">resuspended in 30 </w:t>
      </w:r>
      <w:r w:rsidRPr="00C77D57">
        <w:rPr>
          <w:rFonts w:cstheme="minorHAnsi"/>
          <w:color w:val="000000" w:themeColor="text1"/>
          <w:sz w:val="22"/>
          <w:szCs w:val="22"/>
        </w:rPr>
        <w:sym w:font="Symbol" w:char="F06D"/>
      </w:r>
      <w:r w:rsidRPr="00C77D57">
        <w:rPr>
          <w:rFonts w:cstheme="minorHAnsi"/>
          <w:color w:val="000000" w:themeColor="text1"/>
          <w:sz w:val="22"/>
          <w:szCs w:val="22"/>
        </w:rPr>
        <w:t xml:space="preserve">L of PBS and animals passively inhaled the fungal inoculum. </w:t>
      </w:r>
      <w:r w:rsidR="00670813" w:rsidRPr="00C77D57">
        <w:rPr>
          <w:rFonts w:cstheme="minorHAnsi"/>
          <w:color w:val="000000" w:themeColor="text1"/>
          <w:sz w:val="22"/>
          <w:szCs w:val="22"/>
        </w:rPr>
        <w:t xml:space="preserve">The residual </w:t>
      </w:r>
      <w:r w:rsidRPr="00C77D57">
        <w:rPr>
          <w:rFonts w:cstheme="minorHAnsi"/>
          <w:color w:val="000000" w:themeColor="text1"/>
          <w:sz w:val="22"/>
          <w:szCs w:val="22"/>
        </w:rPr>
        <w:t xml:space="preserve">liquid inside the needle was flushed </w:t>
      </w:r>
      <w:r w:rsidR="00674641" w:rsidRPr="00C77D57">
        <w:rPr>
          <w:rFonts w:cstheme="minorHAnsi"/>
          <w:color w:val="000000" w:themeColor="text1"/>
          <w:sz w:val="22"/>
          <w:szCs w:val="22"/>
        </w:rPr>
        <w:t xml:space="preserve">into the trachea </w:t>
      </w:r>
      <w:r w:rsidRPr="00C77D57">
        <w:rPr>
          <w:rFonts w:cstheme="minorHAnsi"/>
          <w:color w:val="000000" w:themeColor="text1"/>
          <w:sz w:val="22"/>
          <w:szCs w:val="22"/>
        </w:rPr>
        <w:t xml:space="preserve">by </w:t>
      </w:r>
      <w:r w:rsidR="00670813" w:rsidRPr="00C77D57">
        <w:rPr>
          <w:rFonts w:cstheme="minorHAnsi"/>
          <w:color w:val="000000" w:themeColor="text1"/>
          <w:sz w:val="22"/>
          <w:szCs w:val="22"/>
        </w:rPr>
        <w:t xml:space="preserve">the </w:t>
      </w:r>
      <w:r w:rsidRPr="00C77D57">
        <w:rPr>
          <w:rFonts w:cstheme="minorHAnsi"/>
          <w:color w:val="000000" w:themeColor="text1"/>
          <w:sz w:val="22"/>
          <w:szCs w:val="22"/>
        </w:rPr>
        <w:t>application of 1mL of air</w:t>
      </w:r>
      <w:r w:rsidR="00674641" w:rsidRPr="00C77D57">
        <w:rPr>
          <w:rFonts w:cstheme="minorHAnsi"/>
          <w:color w:val="000000" w:themeColor="text1"/>
          <w:sz w:val="22"/>
          <w:szCs w:val="22"/>
        </w:rPr>
        <w:t>.</w:t>
      </w:r>
      <w:r w:rsidRPr="00C77D57">
        <w:rPr>
          <w:rFonts w:cstheme="minorHAnsi"/>
          <w:color w:val="000000" w:themeColor="text1"/>
          <w:sz w:val="22"/>
          <w:szCs w:val="22"/>
        </w:rPr>
        <w:t xml:space="preserve"> Animal weight and survival was monitored daily.</w:t>
      </w:r>
    </w:p>
    <w:p w14:paraId="78B9E349" w14:textId="71C182FF" w:rsidR="003A65E8" w:rsidRPr="00C77D57" w:rsidRDefault="003A65E8" w:rsidP="003A65E8">
      <w:pPr>
        <w:spacing w:line="480" w:lineRule="auto"/>
        <w:jc w:val="both"/>
        <w:rPr>
          <w:rFonts w:cstheme="minorHAnsi"/>
          <w:color w:val="000000" w:themeColor="text1"/>
          <w:sz w:val="22"/>
          <w:szCs w:val="22"/>
        </w:rPr>
      </w:pPr>
      <w:r w:rsidRPr="00C77D57">
        <w:rPr>
          <w:rFonts w:cstheme="minorHAnsi"/>
          <w:color w:val="000000" w:themeColor="text1"/>
          <w:sz w:val="22"/>
          <w:szCs w:val="22"/>
        </w:rPr>
        <w:tab/>
      </w:r>
      <w:r w:rsidR="00DC74E8" w:rsidRPr="00C77D57">
        <w:rPr>
          <w:rFonts w:cstheme="minorHAnsi"/>
          <w:color w:val="000000" w:themeColor="text1"/>
          <w:sz w:val="22"/>
          <w:szCs w:val="22"/>
        </w:rPr>
        <w:t xml:space="preserve">For BALF collection, animals were euthanized by sedation and injected with 1 mL of ice-cold PBS through the trachea. Recovered fluid was centrifuged at 14 000xg / 5minutes  and supernatants were used for measurements. </w:t>
      </w:r>
      <w:r w:rsidRPr="00C77D57">
        <w:rPr>
          <w:rFonts w:cstheme="minorHAnsi"/>
          <w:color w:val="000000" w:themeColor="text1"/>
          <w:sz w:val="22"/>
          <w:szCs w:val="22"/>
        </w:rPr>
        <w:t>For organ analysis, mice were euthanized by cervical dislocation</w:t>
      </w:r>
      <w:r w:rsidR="00F94B41" w:rsidRPr="00C77D57">
        <w:rPr>
          <w:rFonts w:cstheme="minorHAnsi"/>
          <w:color w:val="000000" w:themeColor="text1"/>
          <w:sz w:val="22"/>
          <w:szCs w:val="22"/>
        </w:rPr>
        <w:t xml:space="preserve"> </w:t>
      </w:r>
      <w:r w:rsidRPr="00C77D57">
        <w:rPr>
          <w:rFonts w:cstheme="minorHAnsi"/>
          <w:color w:val="000000" w:themeColor="text1"/>
          <w:sz w:val="22"/>
          <w:szCs w:val="22"/>
        </w:rPr>
        <w:t xml:space="preserve">and tissues were </w:t>
      </w:r>
      <w:r w:rsidR="00F94B41" w:rsidRPr="00C77D57">
        <w:rPr>
          <w:rFonts w:cstheme="minorHAnsi"/>
          <w:color w:val="000000" w:themeColor="text1"/>
          <w:sz w:val="22"/>
          <w:szCs w:val="22"/>
        </w:rPr>
        <w:t xml:space="preserve">also </w:t>
      </w:r>
      <w:r w:rsidRPr="00C77D57">
        <w:rPr>
          <w:rFonts w:cstheme="minorHAnsi"/>
          <w:color w:val="000000" w:themeColor="text1"/>
          <w:sz w:val="22"/>
          <w:szCs w:val="22"/>
        </w:rPr>
        <w:t>perfused with ice-cold PBS. Organs were harvested, weighted, and macerated in PBS through mesh sieves. Dilutions of the macerates were plated on PDA plates (Eiken Chemical, Tokyo, Japan), incubated at 30°C for two days and recovered colonies-forming units (CFU) were counted. Fungal burden was expressed as CFU per gram of organ.</w:t>
      </w:r>
      <w:r w:rsidR="00DC74E8" w:rsidRPr="00C77D57">
        <w:rPr>
          <w:rFonts w:cstheme="minorHAnsi"/>
          <w:color w:val="000000" w:themeColor="text1"/>
          <w:sz w:val="22"/>
          <w:szCs w:val="22"/>
        </w:rPr>
        <w:t xml:space="preserve"> Lung macerates were centrifuged at 14 000xg / 5</w:t>
      </w:r>
      <w:r w:rsidR="00670813" w:rsidRPr="00C77D57">
        <w:rPr>
          <w:rFonts w:cstheme="minorHAnsi"/>
          <w:color w:val="000000" w:themeColor="text1"/>
          <w:sz w:val="22"/>
          <w:szCs w:val="22"/>
        </w:rPr>
        <w:t xml:space="preserve"> </w:t>
      </w:r>
      <w:r w:rsidR="00DC74E8" w:rsidRPr="00C77D57">
        <w:rPr>
          <w:rFonts w:cstheme="minorHAnsi"/>
          <w:color w:val="000000" w:themeColor="text1"/>
          <w:sz w:val="22"/>
          <w:szCs w:val="22"/>
        </w:rPr>
        <w:t>minutes and supernatants were used for cytokine analysis.</w:t>
      </w:r>
    </w:p>
    <w:p w14:paraId="161608FC" w14:textId="4DCCC914" w:rsidR="00694706" w:rsidRPr="00C77D57" w:rsidRDefault="00694706" w:rsidP="002F6D8A">
      <w:pPr>
        <w:pStyle w:val="berschrift2"/>
        <w:spacing w:line="480" w:lineRule="auto"/>
        <w:jc w:val="both"/>
        <w:rPr>
          <w:rFonts w:asciiTheme="minorHAnsi" w:hAnsiTheme="minorHAnsi" w:cstheme="minorHAnsi"/>
          <w:b/>
          <w:bCs/>
          <w:color w:val="000000" w:themeColor="text1"/>
          <w:sz w:val="22"/>
          <w:szCs w:val="22"/>
        </w:rPr>
      </w:pPr>
      <w:r w:rsidRPr="00C77D57">
        <w:rPr>
          <w:rFonts w:asciiTheme="minorHAnsi" w:hAnsiTheme="minorHAnsi" w:cstheme="minorHAnsi"/>
          <w:b/>
          <w:bCs/>
          <w:color w:val="000000" w:themeColor="text1"/>
          <w:sz w:val="22"/>
          <w:szCs w:val="22"/>
        </w:rPr>
        <w:lastRenderedPageBreak/>
        <w:t>Fc chimeras and binding assay</w:t>
      </w:r>
    </w:p>
    <w:p w14:paraId="66636A72" w14:textId="1F8CE2BE" w:rsidR="00694706" w:rsidRPr="00C77D57" w:rsidRDefault="00694706" w:rsidP="002F6D8A">
      <w:pPr>
        <w:spacing w:line="480" w:lineRule="auto"/>
        <w:jc w:val="both"/>
        <w:rPr>
          <w:rFonts w:cstheme="minorHAnsi"/>
          <w:color w:val="000000" w:themeColor="text1"/>
          <w:sz w:val="22"/>
          <w:szCs w:val="22"/>
        </w:rPr>
      </w:pPr>
      <w:r w:rsidRPr="00C77D57">
        <w:rPr>
          <w:rFonts w:cstheme="minorHAnsi"/>
          <w:color w:val="000000" w:themeColor="text1"/>
          <w:sz w:val="22"/>
          <w:szCs w:val="22"/>
        </w:rPr>
        <w:t xml:space="preserve">The extracellular domain of murine dectin-1 and dectin-2 were cloned into a pIRES bleo3 vector containing the Fc portion of human IgG2 and constructs were expanded by transforming into </w:t>
      </w:r>
      <w:r w:rsidRPr="00C77D57">
        <w:rPr>
          <w:rFonts w:cstheme="minorHAnsi"/>
          <w:i/>
          <w:iCs/>
          <w:color w:val="000000" w:themeColor="text1"/>
          <w:sz w:val="22"/>
          <w:szCs w:val="22"/>
        </w:rPr>
        <w:t>E. coli</w:t>
      </w:r>
      <w:r w:rsidRPr="00C77D57">
        <w:rPr>
          <w:rFonts w:cstheme="minorHAnsi"/>
          <w:color w:val="000000" w:themeColor="text1"/>
          <w:sz w:val="22"/>
          <w:szCs w:val="22"/>
        </w:rPr>
        <w:t xml:space="preserve"> JM109 competent cells. The plasmids were transfected into HEK293 </w:t>
      </w:r>
      <w:r w:rsidR="00C10E2D" w:rsidRPr="00C77D57">
        <w:rPr>
          <w:rFonts w:cstheme="minorHAnsi"/>
          <w:color w:val="000000" w:themeColor="text1"/>
          <w:sz w:val="22"/>
          <w:szCs w:val="22"/>
        </w:rPr>
        <w:t>cells,</w:t>
      </w:r>
      <w:r w:rsidRPr="00C77D57">
        <w:rPr>
          <w:rFonts w:cstheme="minorHAnsi"/>
          <w:color w:val="000000" w:themeColor="text1"/>
          <w:sz w:val="22"/>
          <w:szCs w:val="22"/>
        </w:rPr>
        <w:t xml:space="preserve"> and the Fc chimeras were purified from culture supernatants by affinity chromatography on Protein A Sepharose columns (GE Healthcare, Uppsala, Sweden). As </w:t>
      </w:r>
      <w:r w:rsidR="00670813" w:rsidRPr="00C77D57">
        <w:rPr>
          <w:rFonts w:cstheme="minorHAnsi"/>
          <w:color w:val="000000" w:themeColor="text1"/>
          <w:sz w:val="22"/>
          <w:szCs w:val="22"/>
        </w:rPr>
        <w:t xml:space="preserve">a </w:t>
      </w:r>
      <w:r w:rsidRPr="00C77D57">
        <w:rPr>
          <w:rFonts w:cstheme="minorHAnsi"/>
          <w:color w:val="000000" w:themeColor="text1"/>
          <w:sz w:val="22"/>
          <w:szCs w:val="22"/>
        </w:rPr>
        <w:t>control for binding assays, “empty” Fc proteins (without insertion of CLR domains) were expressed and used in parallel.</w:t>
      </w:r>
    </w:p>
    <w:p w14:paraId="0C5599C0" w14:textId="152574F7" w:rsidR="009D36AD" w:rsidRPr="00C77D57" w:rsidRDefault="00694706" w:rsidP="002F6D8A">
      <w:pPr>
        <w:spacing w:line="480" w:lineRule="auto"/>
        <w:jc w:val="both"/>
        <w:rPr>
          <w:rFonts w:cstheme="minorHAnsi"/>
          <w:color w:val="000000" w:themeColor="text1"/>
          <w:sz w:val="22"/>
          <w:szCs w:val="22"/>
        </w:rPr>
      </w:pPr>
      <w:r w:rsidRPr="00C77D57">
        <w:rPr>
          <w:rFonts w:cstheme="minorHAnsi"/>
          <w:color w:val="000000" w:themeColor="text1"/>
          <w:sz w:val="22"/>
          <w:szCs w:val="22"/>
        </w:rPr>
        <w:tab/>
        <w:t xml:space="preserve">For binding assessment, 100 </w:t>
      </w:r>
      <w:r w:rsidRPr="00C77D57">
        <w:rPr>
          <w:rFonts w:cstheme="minorHAnsi"/>
          <w:color w:val="000000" w:themeColor="text1"/>
          <w:sz w:val="22"/>
          <w:szCs w:val="22"/>
        </w:rPr>
        <w:sym w:font="Symbol" w:char="F06D"/>
      </w:r>
      <w:r w:rsidRPr="00C77D57">
        <w:rPr>
          <w:rFonts w:cstheme="minorHAnsi"/>
          <w:color w:val="000000" w:themeColor="text1"/>
          <w:sz w:val="22"/>
          <w:szCs w:val="22"/>
        </w:rPr>
        <w:t xml:space="preserve">g of swollen conidia was coated on a 96 well-plate. Wells were blocked with BSA and incubated with Fc chimeras (dilution range: 10~0.005 </w:t>
      </w:r>
      <w:r w:rsidRPr="00C77D57">
        <w:rPr>
          <w:rFonts w:cstheme="minorHAnsi"/>
          <w:color w:val="000000" w:themeColor="text1"/>
          <w:sz w:val="22"/>
          <w:szCs w:val="22"/>
        </w:rPr>
        <w:sym w:font="Symbol" w:char="F06D"/>
      </w:r>
      <w:r w:rsidRPr="00C77D57">
        <w:rPr>
          <w:rFonts w:cstheme="minorHAnsi"/>
          <w:color w:val="000000" w:themeColor="text1"/>
          <w:sz w:val="22"/>
          <w:szCs w:val="22"/>
        </w:rPr>
        <w:t>g/mL) in 1 mM CaCl</w:t>
      </w:r>
      <w:r w:rsidRPr="00C77D57">
        <w:rPr>
          <w:rFonts w:cstheme="minorHAnsi"/>
          <w:color w:val="000000" w:themeColor="text1"/>
          <w:sz w:val="22"/>
          <w:szCs w:val="22"/>
          <w:vertAlign w:val="subscript"/>
        </w:rPr>
        <w:t>2</w:t>
      </w:r>
      <w:r w:rsidRPr="00C77D57">
        <w:rPr>
          <w:rFonts w:cstheme="minorHAnsi"/>
          <w:color w:val="000000" w:themeColor="text1"/>
          <w:sz w:val="22"/>
          <w:szCs w:val="22"/>
        </w:rPr>
        <w:t>, 150 mM NaCl, 2 mM MgCl</w:t>
      </w:r>
      <w:r w:rsidRPr="00C77D57">
        <w:rPr>
          <w:rFonts w:cstheme="minorHAnsi"/>
          <w:color w:val="000000" w:themeColor="text1"/>
          <w:sz w:val="22"/>
          <w:szCs w:val="22"/>
          <w:vertAlign w:val="subscript"/>
        </w:rPr>
        <w:t xml:space="preserve">2 </w:t>
      </w:r>
      <w:r w:rsidR="00670813" w:rsidRPr="00C77D57">
        <w:rPr>
          <w:rFonts w:cstheme="minorHAnsi"/>
          <w:color w:val="000000" w:themeColor="text1"/>
          <w:sz w:val="22"/>
          <w:szCs w:val="22"/>
        </w:rPr>
        <w:t>Tris-</w:t>
      </w:r>
      <w:r w:rsidRPr="00C77D57">
        <w:rPr>
          <w:rFonts w:cstheme="minorHAnsi"/>
          <w:color w:val="000000" w:themeColor="text1"/>
          <w:sz w:val="22"/>
          <w:szCs w:val="22"/>
        </w:rPr>
        <w:t>buffered solution (pH 7.0) overnight at 4°C. Fc proteins were detected by using a peroxidase-conjugated anti-human Fc</w:t>
      </w:r>
      <w:r w:rsidRPr="00C77D57">
        <w:rPr>
          <w:rFonts w:cstheme="minorHAnsi"/>
          <w:color w:val="000000" w:themeColor="text1"/>
          <w:sz w:val="22"/>
          <w:szCs w:val="22"/>
        </w:rPr>
        <w:sym w:font="Symbol" w:char="F067"/>
      </w:r>
      <w:r w:rsidRPr="00C77D57">
        <w:rPr>
          <w:rFonts w:cstheme="minorHAnsi"/>
          <w:color w:val="000000" w:themeColor="text1"/>
          <w:sz w:val="22"/>
          <w:szCs w:val="22"/>
        </w:rPr>
        <w:t xml:space="preserve"> IgG antibody (Jackson ImmunoResearch, Pennsylvania, USA) and TMB colorimetric substrate (SeraCare, Massachusetts, USA). Optical density was measured at 450 nm.</w:t>
      </w:r>
    </w:p>
    <w:p w14:paraId="637AB543" w14:textId="59299C9A" w:rsidR="00694706" w:rsidRPr="00C77D57" w:rsidRDefault="00694706" w:rsidP="002F6D8A">
      <w:pPr>
        <w:spacing w:line="480" w:lineRule="auto"/>
        <w:jc w:val="both"/>
        <w:rPr>
          <w:rFonts w:cstheme="minorHAnsi"/>
          <w:b/>
          <w:bCs/>
          <w:color w:val="000000" w:themeColor="text1"/>
          <w:sz w:val="22"/>
          <w:szCs w:val="22"/>
        </w:rPr>
      </w:pPr>
      <w:r w:rsidRPr="00C77D57">
        <w:rPr>
          <w:rFonts w:cstheme="minorHAnsi"/>
          <w:b/>
          <w:bCs/>
          <w:color w:val="000000" w:themeColor="text1"/>
          <w:sz w:val="22"/>
          <w:szCs w:val="22"/>
        </w:rPr>
        <w:t>Reporter Cells</w:t>
      </w:r>
    </w:p>
    <w:p w14:paraId="4E485BEF" w14:textId="0AF4DF6C" w:rsidR="00DA579D" w:rsidRPr="00C77D57" w:rsidRDefault="004B68E0" w:rsidP="002F6D8A">
      <w:pPr>
        <w:spacing w:line="480" w:lineRule="auto"/>
        <w:jc w:val="both"/>
        <w:rPr>
          <w:rFonts w:cstheme="minorHAnsi"/>
          <w:color w:val="000000" w:themeColor="text1"/>
          <w:sz w:val="22"/>
          <w:szCs w:val="22"/>
        </w:rPr>
      </w:pPr>
      <w:r w:rsidRPr="00C77D57">
        <w:rPr>
          <w:rFonts w:cstheme="minorHAnsi"/>
          <w:color w:val="000000" w:themeColor="text1"/>
          <w:sz w:val="22"/>
          <w:szCs w:val="22"/>
        </w:rPr>
        <w:t>Dectin-1 and dectin-2 reporter</w:t>
      </w:r>
      <w:r w:rsidR="00670813" w:rsidRPr="00C77D57">
        <w:rPr>
          <w:rFonts w:cstheme="minorHAnsi"/>
          <w:color w:val="000000" w:themeColor="text1"/>
          <w:sz w:val="22"/>
          <w:szCs w:val="22"/>
        </w:rPr>
        <w:t>s</w:t>
      </w:r>
      <w:r w:rsidRPr="00C77D57">
        <w:rPr>
          <w:rFonts w:cstheme="minorHAnsi"/>
          <w:color w:val="000000" w:themeColor="text1"/>
          <w:sz w:val="22"/>
          <w:szCs w:val="22"/>
        </w:rPr>
        <w:t xml:space="preserve"> were 43-1 cells (NFAT-GFP reporter gene) engineered to express the murine extracellular portion of the corresponding receptor fused with</w:t>
      </w:r>
      <w:r w:rsidR="00DA579D" w:rsidRPr="00C77D57">
        <w:rPr>
          <w:rFonts w:cstheme="minorHAnsi"/>
          <w:color w:val="000000" w:themeColor="text1"/>
          <w:sz w:val="22"/>
          <w:szCs w:val="22"/>
        </w:rPr>
        <w:t xml:space="preserve"> the </w:t>
      </w:r>
      <w:r w:rsidRPr="00C77D57">
        <w:rPr>
          <w:rFonts w:cstheme="minorHAnsi"/>
          <w:color w:val="000000" w:themeColor="text1"/>
          <w:sz w:val="22"/>
          <w:szCs w:val="22"/>
        </w:rPr>
        <w:t>FcR</w:t>
      </w:r>
      <w:r w:rsidRPr="00C77D57">
        <w:rPr>
          <w:rFonts w:cstheme="minorHAnsi"/>
          <w:color w:val="000000" w:themeColor="text1"/>
          <w:sz w:val="22"/>
          <w:szCs w:val="22"/>
        </w:rPr>
        <w:sym w:font="Symbol" w:char="F067"/>
      </w:r>
      <w:r w:rsidRPr="00C77D57">
        <w:rPr>
          <w:rFonts w:cstheme="minorHAnsi"/>
          <w:color w:val="000000" w:themeColor="text1"/>
          <w:sz w:val="22"/>
          <w:szCs w:val="22"/>
        </w:rPr>
        <w:t xml:space="preserve"> chain. </w:t>
      </w:r>
      <w:r w:rsidR="00512F16" w:rsidRPr="00C77D57">
        <w:rPr>
          <w:rFonts w:cstheme="minorHAnsi"/>
          <w:color w:val="000000" w:themeColor="text1"/>
          <w:sz w:val="22"/>
          <w:szCs w:val="22"/>
        </w:rPr>
        <w:t>Control</w:t>
      </w:r>
      <w:r w:rsidRPr="00C77D57">
        <w:rPr>
          <w:rFonts w:cstheme="minorHAnsi"/>
          <w:color w:val="000000" w:themeColor="text1"/>
          <w:sz w:val="22"/>
          <w:szCs w:val="22"/>
        </w:rPr>
        <w:t xml:space="preserve"> reporter cells (FcR</w:t>
      </w:r>
      <w:r w:rsidRPr="00C77D57">
        <w:rPr>
          <w:rFonts w:cstheme="minorHAnsi"/>
          <w:color w:val="000000" w:themeColor="text1"/>
          <w:sz w:val="22"/>
          <w:szCs w:val="22"/>
        </w:rPr>
        <w:sym w:font="Symbol" w:char="F067"/>
      </w:r>
      <w:r w:rsidRPr="00C77D57">
        <w:rPr>
          <w:rFonts w:cstheme="minorHAnsi"/>
          <w:color w:val="000000" w:themeColor="text1"/>
          <w:sz w:val="22"/>
          <w:szCs w:val="22"/>
        </w:rPr>
        <w:t xml:space="preserve"> chain without fusion) were run in parallel. Until use</w:t>
      </w:r>
      <w:r w:rsidR="00670813" w:rsidRPr="00C77D57">
        <w:rPr>
          <w:rFonts w:cstheme="minorHAnsi"/>
          <w:color w:val="000000" w:themeColor="text1"/>
          <w:sz w:val="22"/>
          <w:szCs w:val="22"/>
        </w:rPr>
        <w:t>d</w:t>
      </w:r>
      <w:r w:rsidRPr="00C77D57">
        <w:rPr>
          <w:rFonts w:cstheme="minorHAnsi"/>
          <w:color w:val="000000" w:themeColor="text1"/>
          <w:sz w:val="22"/>
          <w:szCs w:val="22"/>
        </w:rPr>
        <w:t xml:space="preserve">, cells were maintained in 10% inactivated Fetal Bovine Serum (Biosera, Nuaillé, France) / RPMI-1640 medium (Fujifilm Wako, Osaka, Japan). For the assay, cells were plated in a 96 well-plate at </w:t>
      </w:r>
      <w:r w:rsidR="00670813" w:rsidRPr="00C77D57">
        <w:rPr>
          <w:rFonts w:cstheme="minorHAnsi"/>
          <w:color w:val="000000" w:themeColor="text1"/>
          <w:sz w:val="22"/>
          <w:szCs w:val="22"/>
        </w:rPr>
        <w:t xml:space="preserve">a </w:t>
      </w:r>
      <w:r w:rsidRPr="00C77D57">
        <w:rPr>
          <w:rFonts w:cstheme="minorHAnsi"/>
          <w:color w:val="000000" w:themeColor="text1"/>
          <w:sz w:val="22"/>
          <w:szCs w:val="22"/>
        </w:rPr>
        <w:t>density of 3 x10</w:t>
      </w:r>
      <w:r w:rsidRPr="00C77D57">
        <w:rPr>
          <w:rFonts w:cstheme="minorHAnsi"/>
          <w:color w:val="000000" w:themeColor="text1"/>
          <w:sz w:val="22"/>
          <w:szCs w:val="22"/>
          <w:vertAlign w:val="superscript"/>
        </w:rPr>
        <w:t>4</w:t>
      </w:r>
      <w:r w:rsidRPr="00C77D57">
        <w:rPr>
          <w:rFonts w:cstheme="minorHAnsi"/>
          <w:color w:val="000000" w:themeColor="text1"/>
          <w:sz w:val="22"/>
          <w:szCs w:val="22"/>
        </w:rPr>
        <w:t xml:space="preserve">/100 </w:t>
      </w:r>
      <w:r w:rsidRPr="00C77D57">
        <w:rPr>
          <w:rFonts w:cstheme="minorHAnsi"/>
          <w:color w:val="000000" w:themeColor="text1"/>
          <w:sz w:val="22"/>
          <w:szCs w:val="22"/>
        </w:rPr>
        <w:sym w:font="Symbol" w:char="F06D"/>
      </w:r>
      <w:r w:rsidRPr="00C77D57">
        <w:rPr>
          <w:rFonts w:cstheme="minorHAnsi"/>
          <w:color w:val="000000" w:themeColor="text1"/>
          <w:sz w:val="22"/>
          <w:szCs w:val="22"/>
        </w:rPr>
        <w:t>L medium per well</w:t>
      </w:r>
      <w:r w:rsidR="00606A80" w:rsidRPr="00C77D57">
        <w:rPr>
          <w:rFonts w:cstheme="minorHAnsi"/>
          <w:color w:val="000000" w:themeColor="text1"/>
          <w:sz w:val="22"/>
          <w:szCs w:val="22"/>
        </w:rPr>
        <w:t xml:space="preserve"> and </w:t>
      </w:r>
      <w:r w:rsidR="00C12B19" w:rsidRPr="00C77D57">
        <w:rPr>
          <w:rFonts w:cstheme="minorHAnsi"/>
          <w:color w:val="000000" w:themeColor="text1"/>
          <w:sz w:val="22"/>
          <w:szCs w:val="22"/>
        </w:rPr>
        <w:t xml:space="preserve">stimulated </w:t>
      </w:r>
      <w:r w:rsidR="00606A80" w:rsidRPr="00C77D57">
        <w:rPr>
          <w:rFonts w:cstheme="minorHAnsi"/>
          <w:color w:val="000000" w:themeColor="text1"/>
          <w:sz w:val="22"/>
          <w:szCs w:val="22"/>
        </w:rPr>
        <w:t>with formalin-fixed swollen conidia. After overnight incubation, GFP expression was assessed by flow cytometry.</w:t>
      </w:r>
    </w:p>
    <w:p w14:paraId="3A0F721E" w14:textId="77777777" w:rsidR="00694706" w:rsidRPr="00C77D57" w:rsidRDefault="00694706" w:rsidP="002F6D8A">
      <w:pPr>
        <w:pStyle w:val="berschrift2"/>
        <w:spacing w:line="480" w:lineRule="auto"/>
        <w:jc w:val="both"/>
        <w:rPr>
          <w:rFonts w:asciiTheme="minorHAnsi" w:hAnsiTheme="minorHAnsi" w:cstheme="minorHAnsi"/>
          <w:b/>
          <w:bCs/>
          <w:color w:val="000000" w:themeColor="text1"/>
          <w:sz w:val="22"/>
          <w:szCs w:val="22"/>
        </w:rPr>
      </w:pPr>
      <w:r w:rsidRPr="00C77D57">
        <w:rPr>
          <w:rFonts w:asciiTheme="minorHAnsi" w:hAnsiTheme="minorHAnsi" w:cstheme="minorHAnsi"/>
          <w:b/>
          <w:bCs/>
          <w:color w:val="000000" w:themeColor="text1"/>
          <w:sz w:val="22"/>
          <w:szCs w:val="22"/>
        </w:rPr>
        <w:t xml:space="preserve">Peritoneal macrophages </w:t>
      </w:r>
    </w:p>
    <w:p w14:paraId="04194FC0" w14:textId="1A4555DA" w:rsidR="00694706" w:rsidRPr="00C77D57" w:rsidRDefault="00694706" w:rsidP="002F6D8A">
      <w:pPr>
        <w:spacing w:line="480" w:lineRule="auto"/>
        <w:jc w:val="both"/>
        <w:rPr>
          <w:rFonts w:cstheme="minorHAnsi"/>
          <w:color w:val="000000" w:themeColor="text1"/>
          <w:sz w:val="22"/>
          <w:szCs w:val="22"/>
        </w:rPr>
      </w:pPr>
      <w:r w:rsidRPr="00C77D57">
        <w:rPr>
          <w:rFonts w:cstheme="minorHAnsi"/>
          <w:color w:val="000000" w:themeColor="text1"/>
          <w:sz w:val="22"/>
          <w:szCs w:val="22"/>
        </w:rPr>
        <w:t xml:space="preserve">Peritoneal macrophages were induced by injection of 3% thioglycolate solution (Nissui, Tokyo, Japan) into the peritoneal cavity of wt or </w:t>
      </w:r>
      <w:r w:rsidRPr="00C77D57">
        <w:rPr>
          <w:rFonts w:cstheme="minorHAnsi"/>
          <w:i/>
          <w:iCs/>
          <w:color w:val="000000" w:themeColor="text1"/>
          <w:sz w:val="22"/>
          <w:szCs w:val="22"/>
        </w:rPr>
        <w:t>Clec7a</w:t>
      </w:r>
      <w:r w:rsidRPr="00C77D57">
        <w:rPr>
          <w:rFonts w:cstheme="minorHAnsi"/>
          <w:color w:val="000000" w:themeColor="text1"/>
          <w:sz w:val="22"/>
          <w:szCs w:val="22"/>
          <w:vertAlign w:val="superscript"/>
        </w:rPr>
        <w:t>–/–</w:t>
      </w:r>
      <w:r w:rsidRPr="00C77D57">
        <w:rPr>
          <w:rFonts w:cstheme="minorHAnsi"/>
          <w:color w:val="000000" w:themeColor="text1"/>
          <w:sz w:val="22"/>
          <w:szCs w:val="22"/>
        </w:rPr>
        <w:t>-</w:t>
      </w:r>
      <w:r w:rsidRPr="00C77D57">
        <w:rPr>
          <w:rFonts w:cstheme="minorHAnsi"/>
          <w:i/>
          <w:iCs/>
          <w:color w:val="000000" w:themeColor="text1"/>
          <w:sz w:val="22"/>
          <w:szCs w:val="22"/>
        </w:rPr>
        <w:t xml:space="preserve"> Clec4n</w:t>
      </w:r>
      <w:r w:rsidRPr="00C77D57">
        <w:rPr>
          <w:rFonts w:cstheme="minorHAnsi"/>
          <w:color w:val="000000" w:themeColor="text1"/>
          <w:sz w:val="22"/>
          <w:szCs w:val="22"/>
          <w:vertAlign w:val="superscript"/>
        </w:rPr>
        <w:t xml:space="preserve">–/– </w:t>
      </w:r>
      <w:r w:rsidRPr="00C77D57">
        <w:rPr>
          <w:rFonts w:cstheme="minorHAnsi"/>
          <w:color w:val="000000" w:themeColor="text1"/>
          <w:sz w:val="22"/>
          <w:szCs w:val="22"/>
        </w:rPr>
        <w:t xml:space="preserve">mice. After 4 days, peritoneal lavage was collected by injection of 5 mL of cold PBS and recovered cells were stained for </w:t>
      </w:r>
      <w:r w:rsidR="00B20EE0" w:rsidRPr="00C77D57">
        <w:rPr>
          <w:rFonts w:cstheme="minorHAnsi"/>
          <w:color w:val="000000" w:themeColor="text1"/>
          <w:sz w:val="22"/>
          <w:szCs w:val="22"/>
        </w:rPr>
        <w:t>flow cytometry</w:t>
      </w:r>
      <w:r w:rsidRPr="00C77D57">
        <w:rPr>
          <w:rFonts w:cstheme="minorHAnsi"/>
          <w:color w:val="000000" w:themeColor="text1"/>
          <w:sz w:val="22"/>
          <w:szCs w:val="22"/>
        </w:rPr>
        <w:t xml:space="preserve"> analysis.</w:t>
      </w:r>
    </w:p>
    <w:p w14:paraId="35B1152A" w14:textId="77777777" w:rsidR="00694706" w:rsidRPr="00C77D57" w:rsidRDefault="00694706" w:rsidP="002F6D8A">
      <w:pPr>
        <w:spacing w:line="480" w:lineRule="auto"/>
        <w:jc w:val="both"/>
        <w:rPr>
          <w:rFonts w:cstheme="minorHAnsi"/>
          <w:b/>
          <w:bCs/>
          <w:sz w:val="22"/>
          <w:szCs w:val="22"/>
        </w:rPr>
      </w:pPr>
      <w:r w:rsidRPr="00C77D57">
        <w:rPr>
          <w:rFonts w:cstheme="minorHAnsi"/>
          <w:b/>
          <w:bCs/>
          <w:sz w:val="22"/>
          <w:szCs w:val="22"/>
        </w:rPr>
        <w:t>R analysis</w:t>
      </w:r>
    </w:p>
    <w:p w14:paraId="125664BE" w14:textId="04C0099A" w:rsidR="006A7811" w:rsidRDefault="00694706" w:rsidP="009D36AD">
      <w:pPr>
        <w:spacing w:line="480" w:lineRule="auto"/>
        <w:jc w:val="both"/>
        <w:rPr>
          <w:rFonts w:cstheme="minorHAnsi"/>
          <w:sz w:val="22"/>
          <w:szCs w:val="22"/>
        </w:rPr>
      </w:pPr>
      <w:r w:rsidRPr="00C77D57">
        <w:rPr>
          <w:rFonts w:cstheme="minorHAnsi"/>
          <w:sz w:val="22"/>
          <w:szCs w:val="22"/>
        </w:rPr>
        <w:lastRenderedPageBreak/>
        <w:t>Gene expression data was gathered from the public database Expression Atlas (data under Creative Commons Attribution 4.0 International License). Gene expression levels were expressed as transcripts per kilobase million (TPM) and were presented as heatmaps, constructed in the R software (v. 3.6.0 for Mac OS X, with the package plots)</w:t>
      </w:r>
      <w:r w:rsidR="001C0D24" w:rsidRPr="00C77D57">
        <w:rPr>
          <w:rFonts w:cstheme="minorHAnsi"/>
          <w:sz w:val="22"/>
          <w:szCs w:val="22"/>
        </w:rPr>
        <w:t>.</w:t>
      </w:r>
    </w:p>
    <w:sectPr w:rsidR="006A7811" w:rsidSect="00DE757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C62B" w14:textId="77777777" w:rsidR="00DF0881" w:rsidRDefault="00DF0881">
      <w:r>
        <w:separator/>
      </w:r>
    </w:p>
  </w:endnote>
  <w:endnote w:type="continuationSeparator" w:id="0">
    <w:p w14:paraId="4436271C" w14:textId="77777777" w:rsidR="00DF0881" w:rsidRDefault="00DF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5C3C" w14:textId="77777777" w:rsidR="00DF0881" w:rsidRDefault="00DF0881">
      <w:r>
        <w:separator/>
      </w:r>
    </w:p>
  </w:footnote>
  <w:footnote w:type="continuationSeparator" w:id="0">
    <w:p w14:paraId="27BA3FD9" w14:textId="77777777" w:rsidR="00DF0881" w:rsidRDefault="00DF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6790345"/>
      <w:docPartObj>
        <w:docPartGallery w:val="Page Numbers (Top of Page)"/>
        <w:docPartUnique/>
      </w:docPartObj>
    </w:sdtPr>
    <w:sdtEndPr>
      <w:rPr>
        <w:rStyle w:val="Seitenzahl"/>
      </w:rPr>
    </w:sdtEndPr>
    <w:sdtContent>
      <w:p w14:paraId="408253F4" w14:textId="77777777" w:rsidR="00A3079C" w:rsidRDefault="000C6ADF" w:rsidP="005E16F6">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2DB8929" w14:textId="77777777" w:rsidR="00A3079C" w:rsidRDefault="00DF0881" w:rsidP="00A3079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72670820"/>
      <w:docPartObj>
        <w:docPartGallery w:val="Page Numbers (Top of Page)"/>
        <w:docPartUnique/>
      </w:docPartObj>
    </w:sdtPr>
    <w:sdtEndPr>
      <w:rPr>
        <w:rStyle w:val="Seitenzahl"/>
      </w:rPr>
    </w:sdtEndPr>
    <w:sdtContent>
      <w:p w14:paraId="2FDEAB96" w14:textId="77777777" w:rsidR="00A3079C" w:rsidRDefault="000C6ADF" w:rsidP="005E16F6">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C696480" w14:textId="77777777" w:rsidR="00A3079C" w:rsidRDefault="00DF0881" w:rsidP="00A3079C">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F"/>
    <w:rsid w:val="00021424"/>
    <w:rsid w:val="000219ED"/>
    <w:rsid w:val="0005330B"/>
    <w:rsid w:val="00061775"/>
    <w:rsid w:val="00073EF9"/>
    <w:rsid w:val="000925EB"/>
    <w:rsid w:val="000C6ADF"/>
    <w:rsid w:val="000E3B0B"/>
    <w:rsid w:val="0011153D"/>
    <w:rsid w:val="00112354"/>
    <w:rsid w:val="0011639F"/>
    <w:rsid w:val="00116FD5"/>
    <w:rsid w:val="001C0D24"/>
    <w:rsid w:val="001C16C3"/>
    <w:rsid w:val="00215683"/>
    <w:rsid w:val="00225E80"/>
    <w:rsid w:val="00250AC4"/>
    <w:rsid w:val="002806C6"/>
    <w:rsid w:val="002C1BAC"/>
    <w:rsid w:val="002E1BDB"/>
    <w:rsid w:val="002F0CA1"/>
    <w:rsid w:val="002F1760"/>
    <w:rsid w:val="002F253E"/>
    <w:rsid w:val="002F6D8A"/>
    <w:rsid w:val="003071D0"/>
    <w:rsid w:val="00314BAF"/>
    <w:rsid w:val="0033014E"/>
    <w:rsid w:val="003967C6"/>
    <w:rsid w:val="003A65E8"/>
    <w:rsid w:val="003C6491"/>
    <w:rsid w:val="003D2977"/>
    <w:rsid w:val="00404FBF"/>
    <w:rsid w:val="00474326"/>
    <w:rsid w:val="004B68E0"/>
    <w:rsid w:val="004D0C49"/>
    <w:rsid w:val="004F267B"/>
    <w:rsid w:val="00512F16"/>
    <w:rsid w:val="00524049"/>
    <w:rsid w:val="00603CB1"/>
    <w:rsid w:val="00606A80"/>
    <w:rsid w:val="00610352"/>
    <w:rsid w:val="00614CF1"/>
    <w:rsid w:val="006155AB"/>
    <w:rsid w:val="0064200C"/>
    <w:rsid w:val="00670813"/>
    <w:rsid w:val="00674641"/>
    <w:rsid w:val="00676E45"/>
    <w:rsid w:val="00692C4B"/>
    <w:rsid w:val="00694706"/>
    <w:rsid w:val="006A7811"/>
    <w:rsid w:val="006C630F"/>
    <w:rsid w:val="007074C1"/>
    <w:rsid w:val="00723A4A"/>
    <w:rsid w:val="007320CD"/>
    <w:rsid w:val="007423CC"/>
    <w:rsid w:val="00746D27"/>
    <w:rsid w:val="0078318A"/>
    <w:rsid w:val="00802775"/>
    <w:rsid w:val="008047BF"/>
    <w:rsid w:val="00844B3D"/>
    <w:rsid w:val="0089174B"/>
    <w:rsid w:val="008A3720"/>
    <w:rsid w:val="008D205F"/>
    <w:rsid w:val="008D3F6A"/>
    <w:rsid w:val="008E5999"/>
    <w:rsid w:val="008F3084"/>
    <w:rsid w:val="00916234"/>
    <w:rsid w:val="00940179"/>
    <w:rsid w:val="00941746"/>
    <w:rsid w:val="00942905"/>
    <w:rsid w:val="00975C55"/>
    <w:rsid w:val="00981342"/>
    <w:rsid w:val="009C3909"/>
    <w:rsid w:val="009C7183"/>
    <w:rsid w:val="009D36AD"/>
    <w:rsid w:val="00A41A17"/>
    <w:rsid w:val="00A567BE"/>
    <w:rsid w:val="00A952F6"/>
    <w:rsid w:val="00AB4B35"/>
    <w:rsid w:val="00AD61B9"/>
    <w:rsid w:val="00AE65D5"/>
    <w:rsid w:val="00B20EE0"/>
    <w:rsid w:val="00B37293"/>
    <w:rsid w:val="00C10E2D"/>
    <w:rsid w:val="00C12B19"/>
    <w:rsid w:val="00C14F85"/>
    <w:rsid w:val="00C172EF"/>
    <w:rsid w:val="00C77D57"/>
    <w:rsid w:val="00D5366C"/>
    <w:rsid w:val="00D55E1F"/>
    <w:rsid w:val="00D6639A"/>
    <w:rsid w:val="00DA579D"/>
    <w:rsid w:val="00DC2669"/>
    <w:rsid w:val="00DC60FD"/>
    <w:rsid w:val="00DC74E8"/>
    <w:rsid w:val="00DE757C"/>
    <w:rsid w:val="00DF0881"/>
    <w:rsid w:val="00E1299F"/>
    <w:rsid w:val="00E36059"/>
    <w:rsid w:val="00E36B4F"/>
    <w:rsid w:val="00E57D9A"/>
    <w:rsid w:val="00E671DF"/>
    <w:rsid w:val="00E951B9"/>
    <w:rsid w:val="00EC5378"/>
    <w:rsid w:val="00EE5110"/>
    <w:rsid w:val="00F37337"/>
    <w:rsid w:val="00F5119F"/>
    <w:rsid w:val="00F94B41"/>
    <w:rsid w:val="00F9684E"/>
    <w:rsid w:val="00FA551B"/>
    <w:rsid w:val="00FE5F8E"/>
    <w:rsid w:val="00FE6080"/>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4F274"/>
  <w15:chartTrackingRefBased/>
  <w15:docId w15:val="{6535C9F9-4AC9-7E4D-8ED9-A6271A0B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DF"/>
  </w:style>
  <w:style w:type="paragraph" w:styleId="berschrift1">
    <w:name w:val="heading 1"/>
    <w:basedOn w:val="Standard"/>
    <w:next w:val="Standard"/>
    <w:link w:val="berschrift1Zchn"/>
    <w:uiPriority w:val="9"/>
    <w:qFormat/>
    <w:rsid w:val="00AE65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947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ADF"/>
    <w:pPr>
      <w:tabs>
        <w:tab w:val="center" w:pos="4680"/>
        <w:tab w:val="right" w:pos="9360"/>
      </w:tabs>
    </w:pPr>
  </w:style>
  <w:style w:type="character" w:customStyle="1" w:styleId="KopfzeileZchn">
    <w:name w:val="Kopfzeile Zchn"/>
    <w:basedOn w:val="Absatz-Standardschriftart"/>
    <w:link w:val="Kopfzeile"/>
    <w:uiPriority w:val="99"/>
    <w:rsid w:val="000C6ADF"/>
    <w:rPr>
      <w:lang w:val="en-US"/>
    </w:rPr>
  </w:style>
  <w:style w:type="character" w:styleId="Seitenzahl">
    <w:name w:val="page number"/>
    <w:basedOn w:val="Absatz-Standardschriftart"/>
    <w:uiPriority w:val="99"/>
    <w:semiHidden/>
    <w:unhideWhenUsed/>
    <w:rsid w:val="000C6ADF"/>
  </w:style>
  <w:style w:type="character" w:styleId="Zeilennummer">
    <w:name w:val="line number"/>
    <w:basedOn w:val="Absatz-Standardschriftart"/>
    <w:uiPriority w:val="99"/>
    <w:semiHidden/>
    <w:unhideWhenUsed/>
    <w:rsid w:val="000C6ADF"/>
  </w:style>
  <w:style w:type="paragraph" w:styleId="Titel">
    <w:name w:val="Title"/>
    <w:basedOn w:val="Standard"/>
    <w:next w:val="Standard"/>
    <w:link w:val="TitelZchn"/>
    <w:uiPriority w:val="10"/>
    <w:qFormat/>
    <w:rsid w:val="000C6AD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ADF"/>
    <w:rPr>
      <w:rFonts w:asciiTheme="majorHAnsi" w:eastAsiaTheme="majorEastAsia" w:hAnsiTheme="majorHAnsi" w:cstheme="majorBidi"/>
      <w:spacing w:val="-10"/>
      <w:kern w:val="28"/>
      <w:sz w:val="56"/>
      <w:szCs w:val="56"/>
      <w:lang w:val="en-US"/>
    </w:rPr>
  </w:style>
  <w:style w:type="table" w:styleId="Tabellenraster">
    <w:name w:val="Table Grid"/>
    <w:basedOn w:val="NormaleTabelle"/>
    <w:uiPriority w:val="39"/>
    <w:rsid w:val="001C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694706"/>
    <w:rPr>
      <w:rFonts w:asciiTheme="majorHAnsi" w:eastAsiaTheme="majorEastAsia" w:hAnsiTheme="majorHAnsi" w:cstheme="majorBidi"/>
      <w:color w:val="2F5496" w:themeColor="accent1" w:themeShade="BF"/>
      <w:sz w:val="26"/>
      <w:szCs w:val="26"/>
      <w:lang w:val="en-US"/>
    </w:rPr>
  </w:style>
  <w:style w:type="character" w:customStyle="1" w:styleId="berschrift1Zchn">
    <w:name w:val="Überschrift 1 Zchn"/>
    <w:basedOn w:val="Absatz-Standardschriftart"/>
    <w:link w:val="berschrift1"/>
    <w:uiPriority w:val="9"/>
    <w:rsid w:val="00AE65D5"/>
    <w:rPr>
      <w:rFonts w:asciiTheme="majorHAnsi" w:eastAsiaTheme="majorEastAsia" w:hAnsiTheme="majorHAnsi" w:cstheme="majorBidi"/>
      <w:color w:val="2F5496" w:themeColor="accent1" w:themeShade="BF"/>
      <w:sz w:val="32"/>
      <w:szCs w:val="32"/>
      <w:lang w:val="en-US"/>
    </w:rPr>
  </w:style>
  <w:style w:type="paragraph" w:styleId="berarbeitung">
    <w:name w:val="Revision"/>
    <w:hidden/>
    <w:uiPriority w:val="99"/>
    <w:semiHidden/>
    <w:rsid w:val="0040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743">
      <w:bodyDiv w:val="1"/>
      <w:marLeft w:val="0"/>
      <w:marRight w:val="0"/>
      <w:marTop w:val="0"/>
      <w:marBottom w:val="0"/>
      <w:divBdr>
        <w:top w:val="none" w:sz="0" w:space="0" w:color="auto"/>
        <w:left w:val="none" w:sz="0" w:space="0" w:color="auto"/>
        <w:bottom w:val="none" w:sz="0" w:space="0" w:color="auto"/>
        <w:right w:val="none" w:sz="0" w:space="0" w:color="auto"/>
      </w:divBdr>
    </w:div>
    <w:div w:id="133648916">
      <w:bodyDiv w:val="1"/>
      <w:marLeft w:val="0"/>
      <w:marRight w:val="0"/>
      <w:marTop w:val="0"/>
      <w:marBottom w:val="0"/>
      <w:divBdr>
        <w:top w:val="none" w:sz="0" w:space="0" w:color="auto"/>
        <w:left w:val="none" w:sz="0" w:space="0" w:color="auto"/>
        <w:bottom w:val="none" w:sz="0" w:space="0" w:color="auto"/>
        <w:right w:val="none" w:sz="0" w:space="0" w:color="auto"/>
      </w:divBdr>
    </w:div>
    <w:div w:id="352650072">
      <w:bodyDiv w:val="1"/>
      <w:marLeft w:val="0"/>
      <w:marRight w:val="0"/>
      <w:marTop w:val="0"/>
      <w:marBottom w:val="0"/>
      <w:divBdr>
        <w:top w:val="none" w:sz="0" w:space="0" w:color="auto"/>
        <w:left w:val="none" w:sz="0" w:space="0" w:color="auto"/>
        <w:bottom w:val="none" w:sz="0" w:space="0" w:color="auto"/>
        <w:right w:val="none" w:sz="0" w:space="0" w:color="auto"/>
      </w:divBdr>
    </w:div>
    <w:div w:id="518473564">
      <w:bodyDiv w:val="1"/>
      <w:marLeft w:val="0"/>
      <w:marRight w:val="0"/>
      <w:marTop w:val="0"/>
      <w:marBottom w:val="0"/>
      <w:divBdr>
        <w:top w:val="none" w:sz="0" w:space="0" w:color="auto"/>
        <w:left w:val="none" w:sz="0" w:space="0" w:color="auto"/>
        <w:bottom w:val="none" w:sz="0" w:space="0" w:color="auto"/>
        <w:right w:val="none" w:sz="0" w:space="0" w:color="auto"/>
      </w:divBdr>
    </w:div>
    <w:div w:id="622074988">
      <w:bodyDiv w:val="1"/>
      <w:marLeft w:val="0"/>
      <w:marRight w:val="0"/>
      <w:marTop w:val="0"/>
      <w:marBottom w:val="0"/>
      <w:divBdr>
        <w:top w:val="none" w:sz="0" w:space="0" w:color="auto"/>
        <w:left w:val="none" w:sz="0" w:space="0" w:color="auto"/>
        <w:bottom w:val="none" w:sz="0" w:space="0" w:color="auto"/>
        <w:right w:val="none" w:sz="0" w:space="0" w:color="auto"/>
      </w:divBdr>
    </w:div>
    <w:div w:id="711854098">
      <w:bodyDiv w:val="1"/>
      <w:marLeft w:val="0"/>
      <w:marRight w:val="0"/>
      <w:marTop w:val="0"/>
      <w:marBottom w:val="0"/>
      <w:divBdr>
        <w:top w:val="none" w:sz="0" w:space="0" w:color="auto"/>
        <w:left w:val="none" w:sz="0" w:space="0" w:color="auto"/>
        <w:bottom w:val="none" w:sz="0" w:space="0" w:color="auto"/>
        <w:right w:val="none" w:sz="0" w:space="0" w:color="auto"/>
      </w:divBdr>
    </w:div>
    <w:div w:id="823552138">
      <w:bodyDiv w:val="1"/>
      <w:marLeft w:val="0"/>
      <w:marRight w:val="0"/>
      <w:marTop w:val="0"/>
      <w:marBottom w:val="0"/>
      <w:divBdr>
        <w:top w:val="none" w:sz="0" w:space="0" w:color="auto"/>
        <w:left w:val="none" w:sz="0" w:space="0" w:color="auto"/>
        <w:bottom w:val="none" w:sz="0" w:space="0" w:color="auto"/>
        <w:right w:val="none" w:sz="0" w:space="0" w:color="auto"/>
      </w:divBdr>
    </w:div>
    <w:div w:id="955213902">
      <w:bodyDiv w:val="1"/>
      <w:marLeft w:val="0"/>
      <w:marRight w:val="0"/>
      <w:marTop w:val="0"/>
      <w:marBottom w:val="0"/>
      <w:divBdr>
        <w:top w:val="none" w:sz="0" w:space="0" w:color="auto"/>
        <w:left w:val="none" w:sz="0" w:space="0" w:color="auto"/>
        <w:bottom w:val="none" w:sz="0" w:space="0" w:color="auto"/>
        <w:right w:val="none" w:sz="0" w:space="0" w:color="auto"/>
      </w:divBdr>
    </w:div>
    <w:div w:id="1098059013">
      <w:bodyDiv w:val="1"/>
      <w:marLeft w:val="0"/>
      <w:marRight w:val="0"/>
      <w:marTop w:val="0"/>
      <w:marBottom w:val="0"/>
      <w:divBdr>
        <w:top w:val="none" w:sz="0" w:space="0" w:color="auto"/>
        <w:left w:val="none" w:sz="0" w:space="0" w:color="auto"/>
        <w:bottom w:val="none" w:sz="0" w:space="0" w:color="auto"/>
        <w:right w:val="none" w:sz="0" w:space="0" w:color="auto"/>
      </w:divBdr>
    </w:div>
    <w:div w:id="1152675133">
      <w:bodyDiv w:val="1"/>
      <w:marLeft w:val="0"/>
      <w:marRight w:val="0"/>
      <w:marTop w:val="0"/>
      <w:marBottom w:val="0"/>
      <w:divBdr>
        <w:top w:val="none" w:sz="0" w:space="0" w:color="auto"/>
        <w:left w:val="none" w:sz="0" w:space="0" w:color="auto"/>
        <w:bottom w:val="none" w:sz="0" w:space="0" w:color="auto"/>
        <w:right w:val="none" w:sz="0" w:space="0" w:color="auto"/>
      </w:divBdr>
    </w:div>
    <w:div w:id="1393692139">
      <w:bodyDiv w:val="1"/>
      <w:marLeft w:val="0"/>
      <w:marRight w:val="0"/>
      <w:marTop w:val="0"/>
      <w:marBottom w:val="0"/>
      <w:divBdr>
        <w:top w:val="none" w:sz="0" w:space="0" w:color="auto"/>
        <w:left w:val="none" w:sz="0" w:space="0" w:color="auto"/>
        <w:bottom w:val="none" w:sz="0" w:space="0" w:color="auto"/>
        <w:right w:val="none" w:sz="0" w:space="0" w:color="auto"/>
      </w:divBdr>
    </w:div>
    <w:div w:id="1596329768">
      <w:bodyDiv w:val="1"/>
      <w:marLeft w:val="0"/>
      <w:marRight w:val="0"/>
      <w:marTop w:val="0"/>
      <w:marBottom w:val="0"/>
      <w:divBdr>
        <w:top w:val="none" w:sz="0" w:space="0" w:color="auto"/>
        <w:left w:val="none" w:sz="0" w:space="0" w:color="auto"/>
        <w:bottom w:val="none" w:sz="0" w:space="0" w:color="auto"/>
        <w:right w:val="none" w:sz="0" w:space="0" w:color="auto"/>
      </w:divBdr>
    </w:div>
    <w:div w:id="19793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YOSHIKAWA F.S</dc:creator>
  <cp:keywords/>
  <dc:description/>
  <cp:lastModifiedBy>Franziska Stalder</cp:lastModifiedBy>
  <cp:revision>2</cp:revision>
  <dcterms:created xsi:type="dcterms:W3CDTF">2022-09-12T06:30:00Z</dcterms:created>
  <dcterms:modified xsi:type="dcterms:W3CDTF">2022-09-12T06:30:00Z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id="u7PvMFKh"/&gt;&lt;style id="http://www.zotero.org/styles/nature" hasBibliography="1" bibliographyStyleHasBeenSet="0"/&gt;&lt;prefs&gt;&lt;pref name="fieldType" value="Field"/&gt;&lt;pref name="automaticJournalAbbrevia</vt:lpwstr>
  </property>
  <property fmtid="{D5CDD505-2E9C-101B-9397-08002B2CF9AE}" pid="3" name="ZOTERO_PREF_2">
    <vt:lpwstr>tions" value="true"/&gt;&lt;/prefs&gt;&lt;/data&gt;</vt:lpwstr>
  </property>
</Properties>
</file>