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1017" w14:textId="77777777" w:rsidR="00E32006" w:rsidRDefault="00E32006" w:rsidP="00E32006">
      <w:pPr>
        <w:pStyle w:val="aa"/>
        <w:keepNext/>
        <w:rPr>
          <w:b/>
          <w:bCs/>
        </w:rPr>
      </w:pPr>
    </w:p>
    <w:p w14:paraId="31DB24CF" w14:textId="3BF6B63D" w:rsidR="00E32006" w:rsidRPr="00E247FC" w:rsidRDefault="00E32006" w:rsidP="00E32006">
      <w:pPr>
        <w:pStyle w:val="aa"/>
        <w:keepNext/>
      </w:pPr>
      <w:r w:rsidRPr="00E247FC">
        <w:t>Table S1 Multivariable model of the association of BMI with acute kidney injury.</w:t>
      </w: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582"/>
        <w:gridCol w:w="3647"/>
        <w:gridCol w:w="2461"/>
      </w:tblGrid>
      <w:tr w:rsidR="00EB51EF" w14:paraId="6C0ECC80" w14:textId="77777777" w:rsidTr="00B13160">
        <w:trPr>
          <w:trHeight w:val="397"/>
        </w:trPr>
        <w:tc>
          <w:tcPr>
            <w:tcW w:w="2143" w:type="pct"/>
            <w:tcBorders>
              <w:top w:val="single" w:sz="12" w:space="0" w:color="000000"/>
              <w:bottom w:val="single" w:sz="12" w:space="0" w:color="000000"/>
            </w:tcBorders>
          </w:tcPr>
          <w:p w14:paraId="07426306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Variable</w:t>
            </w:r>
          </w:p>
        </w:tc>
        <w:tc>
          <w:tcPr>
            <w:tcW w:w="1706" w:type="pct"/>
            <w:tcBorders>
              <w:top w:val="single" w:sz="12" w:space="0" w:color="000000"/>
              <w:bottom w:val="single" w:sz="12" w:space="0" w:color="000000"/>
            </w:tcBorders>
          </w:tcPr>
          <w:p w14:paraId="098A119C" w14:textId="1D51EF39" w:rsidR="00EB51EF" w:rsidRDefault="00355DA0" w:rsidP="00B13160">
            <w:pPr>
              <w:pStyle w:val="TableParagraph"/>
              <w:ind w:left="391" w:right="564"/>
              <w:rPr>
                <w:sz w:val="21"/>
              </w:rPr>
            </w:pPr>
            <w:r w:rsidRPr="00355DA0">
              <w:rPr>
                <w:rFonts w:hint="eastAsia"/>
                <w:sz w:val="21"/>
              </w:rPr>
              <w:t>Risk</w:t>
            </w:r>
            <w:r w:rsidR="00EB51EF">
              <w:rPr>
                <w:spacing w:val="-5"/>
                <w:sz w:val="21"/>
              </w:rPr>
              <w:t xml:space="preserve"> </w:t>
            </w:r>
            <w:r w:rsidR="00785BDD">
              <w:rPr>
                <w:sz w:val="21"/>
              </w:rPr>
              <w:t>ratio</w:t>
            </w:r>
            <w:r w:rsidR="00785BDD">
              <w:rPr>
                <w:spacing w:val="-3"/>
                <w:sz w:val="21"/>
              </w:rPr>
              <w:t xml:space="preserve"> </w:t>
            </w:r>
            <w:r w:rsidR="00EB51EF">
              <w:rPr>
                <w:sz w:val="21"/>
              </w:rPr>
              <w:t>(95%</w:t>
            </w:r>
            <w:r w:rsidR="00EB51EF">
              <w:rPr>
                <w:spacing w:val="-2"/>
                <w:sz w:val="21"/>
              </w:rPr>
              <w:t xml:space="preserve"> </w:t>
            </w:r>
            <w:r w:rsidR="00EB51EF">
              <w:rPr>
                <w:spacing w:val="-5"/>
                <w:sz w:val="21"/>
              </w:rPr>
              <w:t>CI)</w:t>
            </w:r>
          </w:p>
        </w:tc>
        <w:tc>
          <w:tcPr>
            <w:tcW w:w="1151" w:type="pct"/>
            <w:tcBorders>
              <w:top w:val="single" w:sz="12" w:space="0" w:color="000000"/>
              <w:bottom w:val="single" w:sz="12" w:space="0" w:color="000000"/>
            </w:tcBorders>
          </w:tcPr>
          <w:p w14:paraId="10D23A2F" w14:textId="77777777" w:rsidR="00EB51EF" w:rsidRDefault="00EB51EF">
            <w:pPr>
              <w:pStyle w:val="TableParagraph"/>
              <w:ind w:left="0" w:right="729"/>
              <w:jc w:val="right"/>
              <w:rPr>
                <w:sz w:val="21"/>
              </w:rPr>
            </w:pPr>
            <w:r>
              <w:rPr>
                <w:i/>
                <w:sz w:val="21"/>
              </w:rPr>
              <w:t xml:space="preserve">P </w:t>
            </w:r>
            <w:r>
              <w:rPr>
                <w:spacing w:val="-2"/>
                <w:sz w:val="21"/>
              </w:rPr>
              <w:t>value</w:t>
            </w:r>
          </w:p>
        </w:tc>
      </w:tr>
      <w:tr w:rsidR="00EB51EF" w14:paraId="0F7E7698" w14:textId="77777777" w:rsidTr="00B13160">
        <w:trPr>
          <w:trHeight w:val="396"/>
        </w:trPr>
        <w:tc>
          <w:tcPr>
            <w:tcW w:w="2143" w:type="pct"/>
            <w:tcBorders>
              <w:top w:val="single" w:sz="12" w:space="0" w:color="000000"/>
            </w:tcBorders>
          </w:tcPr>
          <w:p w14:paraId="0EC849E2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Intercept</w:t>
            </w:r>
          </w:p>
        </w:tc>
        <w:tc>
          <w:tcPr>
            <w:tcW w:w="1706" w:type="pct"/>
            <w:tcBorders>
              <w:top w:val="single" w:sz="12" w:space="0" w:color="000000"/>
            </w:tcBorders>
          </w:tcPr>
          <w:p w14:paraId="53838B67" w14:textId="77777777" w:rsidR="00EB51EF" w:rsidRDefault="00EB51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1" w:type="pct"/>
            <w:tcBorders>
              <w:top w:val="single" w:sz="12" w:space="0" w:color="000000"/>
            </w:tcBorders>
          </w:tcPr>
          <w:p w14:paraId="7887DEE2" w14:textId="77777777" w:rsidR="00EB51EF" w:rsidRDefault="00EB51EF">
            <w:pPr>
              <w:pStyle w:val="TableParagraph"/>
              <w:ind w:left="0" w:right="714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&lt;0.001</w:t>
            </w:r>
          </w:p>
        </w:tc>
      </w:tr>
      <w:tr w:rsidR="00EB51EF" w14:paraId="1A47B18D" w14:textId="77777777" w:rsidTr="00B13160">
        <w:trPr>
          <w:trHeight w:val="397"/>
        </w:trPr>
        <w:tc>
          <w:tcPr>
            <w:tcW w:w="2143" w:type="pct"/>
          </w:tcPr>
          <w:p w14:paraId="01986DAE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Age,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y</w:t>
            </w:r>
          </w:p>
        </w:tc>
        <w:tc>
          <w:tcPr>
            <w:tcW w:w="1706" w:type="pct"/>
          </w:tcPr>
          <w:p w14:paraId="53BF6C05" w14:textId="4422E437" w:rsidR="00EB51EF" w:rsidRDefault="00EB51EF">
            <w:pPr>
              <w:pStyle w:val="TableParagraph"/>
              <w:ind w:left="406"/>
              <w:rPr>
                <w:sz w:val="21"/>
              </w:rPr>
            </w:pPr>
            <w:r>
              <w:rPr>
                <w:sz w:val="21"/>
              </w:rPr>
              <w:t>1.01</w:t>
            </w:r>
            <w:r w:rsidR="00693DF4"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(0.99</w:t>
            </w:r>
            <w:r w:rsidR="00693DF4">
              <w:rPr>
                <w:sz w:val="21"/>
              </w:rPr>
              <w:t>3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1.03</w:t>
            </w:r>
            <w:r w:rsidR="00693DF4">
              <w:rPr>
                <w:spacing w:val="-2"/>
                <w:sz w:val="21"/>
              </w:rPr>
              <w:t>1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151" w:type="pct"/>
          </w:tcPr>
          <w:p w14:paraId="719FCB50" w14:textId="77777777" w:rsidR="00EB51EF" w:rsidRDefault="00EB51EF">
            <w:pPr>
              <w:pStyle w:val="TableParagraph"/>
              <w:ind w:left="0" w:right="7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0.232</w:t>
            </w:r>
          </w:p>
        </w:tc>
      </w:tr>
      <w:tr w:rsidR="00EB51EF" w14:paraId="291FD057" w14:textId="77777777" w:rsidTr="00B13160">
        <w:trPr>
          <w:trHeight w:val="397"/>
        </w:trPr>
        <w:tc>
          <w:tcPr>
            <w:tcW w:w="2143" w:type="pct"/>
          </w:tcPr>
          <w:p w14:paraId="4B7340DE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Male</w:t>
            </w:r>
          </w:p>
        </w:tc>
        <w:tc>
          <w:tcPr>
            <w:tcW w:w="1706" w:type="pct"/>
          </w:tcPr>
          <w:p w14:paraId="69143BEE" w14:textId="39857B3B" w:rsidR="00EB51EF" w:rsidRDefault="00693DF4">
            <w:pPr>
              <w:pStyle w:val="TableParagraph"/>
              <w:ind w:left="348"/>
              <w:rPr>
                <w:sz w:val="21"/>
              </w:rPr>
            </w:pPr>
            <w:r>
              <w:rPr>
                <w:sz w:val="21"/>
              </w:rPr>
              <w:t>2.315</w:t>
            </w:r>
            <w:r w:rsidR="00EB51EF">
              <w:rPr>
                <w:spacing w:val="-2"/>
                <w:sz w:val="21"/>
              </w:rPr>
              <w:t xml:space="preserve"> </w:t>
            </w:r>
            <w:r w:rsidR="00EB51EF">
              <w:rPr>
                <w:sz w:val="21"/>
              </w:rPr>
              <w:t>(1.</w:t>
            </w:r>
            <w:r>
              <w:rPr>
                <w:sz w:val="21"/>
              </w:rPr>
              <w:t>175</w:t>
            </w:r>
            <w:r w:rsidR="00EB51EF">
              <w:rPr>
                <w:sz w:val="21"/>
              </w:rPr>
              <w:t>,</w:t>
            </w:r>
            <w:r w:rsidR="00EB51EF"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3.751</w:t>
            </w:r>
            <w:r w:rsidR="00EB51EF">
              <w:rPr>
                <w:spacing w:val="-2"/>
                <w:sz w:val="21"/>
              </w:rPr>
              <w:t>)</w:t>
            </w:r>
          </w:p>
        </w:tc>
        <w:tc>
          <w:tcPr>
            <w:tcW w:w="1151" w:type="pct"/>
          </w:tcPr>
          <w:p w14:paraId="484C1072" w14:textId="77777777" w:rsidR="00EB51EF" w:rsidRDefault="00EB51EF">
            <w:pPr>
              <w:pStyle w:val="TableParagraph"/>
              <w:ind w:left="0" w:right="77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0.035</w:t>
            </w:r>
          </w:p>
        </w:tc>
      </w:tr>
      <w:tr w:rsidR="00EB51EF" w14:paraId="3A7556D9" w14:textId="77777777" w:rsidTr="00B13160">
        <w:trPr>
          <w:trHeight w:val="397"/>
        </w:trPr>
        <w:tc>
          <w:tcPr>
            <w:tcW w:w="2143" w:type="pct"/>
          </w:tcPr>
          <w:p w14:paraId="448854CD" w14:textId="77777777" w:rsidR="00EB51EF" w:rsidRDefault="00EB51EF">
            <w:pPr>
              <w:pStyle w:val="TableParagraph"/>
              <w:rPr>
                <w:sz w:val="14"/>
              </w:rPr>
            </w:pPr>
            <w:r>
              <w:rPr>
                <w:sz w:val="21"/>
              </w:rPr>
              <w:t>BMI,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kg/m</w:t>
            </w:r>
            <w:r>
              <w:rPr>
                <w:spacing w:val="-2"/>
                <w:position w:val="5"/>
                <w:sz w:val="14"/>
              </w:rPr>
              <w:t>2</w:t>
            </w:r>
          </w:p>
        </w:tc>
        <w:tc>
          <w:tcPr>
            <w:tcW w:w="1706" w:type="pct"/>
          </w:tcPr>
          <w:p w14:paraId="0FC12E1B" w14:textId="505E95E3" w:rsidR="00EB51EF" w:rsidRDefault="00EB51EF">
            <w:pPr>
              <w:pStyle w:val="TableParagraph"/>
              <w:ind w:left="406"/>
              <w:rPr>
                <w:sz w:val="21"/>
              </w:rPr>
            </w:pPr>
            <w:r>
              <w:rPr>
                <w:sz w:val="21"/>
              </w:rPr>
              <w:t>1.</w:t>
            </w:r>
            <w:r w:rsidR="00693DF4">
              <w:rPr>
                <w:sz w:val="21"/>
              </w:rPr>
              <w:t>092</w:t>
            </w:r>
            <w:r w:rsidR="00693DF4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(1.00</w:t>
            </w:r>
            <w:r w:rsidR="00693DF4">
              <w:rPr>
                <w:sz w:val="21"/>
              </w:rPr>
              <w:t>7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</w:t>
            </w:r>
            <w:r w:rsidR="00693DF4">
              <w:rPr>
                <w:spacing w:val="-2"/>
                <w:sz w:val="21"/>
              </w:rPr>
              <w:t>183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151" w:type="pct"/>
          </w:tcPr>
          <w:p w14:paraId="011269E6" w14:textId="77777777" w:rsidR="00EB51EF" w:rsidRDefault="00EB51EF">
            <w:pPr>
              <w:pStyle w:val="TableParagraph"/>
              <w:ind w:left="0" w:right="77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0.032</w:t>
            </w:r>
          </w:p>
        </w:tc>
      </w:tr>
      <w:tr w:rsidR="00EB51EF" w14:paraId="4522A3EC" w14:textId="77777777" w:rsidTr="00B13160">
        <w:trPr>
          <w:trHeight w:val="396"/>
        </w:trPr>
        <w:tc>
          <w:tcPr>
            <w:tcW w:w="2143" w:type="pct"/>
          </w:tcPr>
          <w:p w14:paraId="4291A8D0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Diabetes</w:t>
            </w:r>
          </w:p>
        </w:tc>
        <w:tc>
          <w:tcPr>
            <w:tcW w:w="1706" w:type="pct"/>
          </w:tcPr>
          <w:p w14:paraId="256E5A6C" w14:textId="13D865C5" w:rsidR="00EB51EF" w:rsidRDefault="00EB51EF">
            <w:pPr>
              <w:pStyle w:val="TableParagraph"/>
              <w:ind w:left="407"/>
              <w:rPr>
                <w:sz w:val="21"/>
              </w:rPr>
            </w:pPr>
            <w:r>
              <w:rPr>
                <w:sz w:val="21"/>
              </w:rPr>
              <w:t>1.</w:t>
            </w:r>
            <w:r w:rsidR="00693DF4">
              <w:rPr>
                <w:sz w:val="21"/>
              </w:rPr>
              <w:t>255</w:t>
            </w:r>
            <w:r w:rsidR="00693DF4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5F7047">
              <w:rPr>
                <w:sz w:val="21"/>
              </w:rPr>
              <w:t>2.408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 w:rsidR="005F7047">
              <w:rPr>
                <w:spacing w:val="-2"/>
                <w:sz w:val="21"/>
              </w:rPr>
              <w:t>2.510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151" w:type="pct"/>
          </w:tcPr>
          <w:p w14:paraId="158FB515" w14:textId="77777777" w:rsidR="00EB51EF" w:rsidRDefault="00EB51EF">
            <w:pPr>
              <w:pStyle w:val="TableParagraph"/>
              <w:ind w:left="0" w:right="79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0.622</w:t>
            </w:r>
          </w:p>
        </w:tc>
      </w:tr>
      <w:tr w:rsidR="00EB51EF" w14:paraId="6D3EB0BE" w14:textId="77777777" w:rsidTr="00B13160">
        <w:trPr>
          <w:trHeight w:val="396"/>
        </w:trPr>
        <w:tc>
          <w:tcPr>
            <w:tcW w:w="2143" w:type="pct"/>
          </w:tcPr>
          <w:p w14:paraId="5CF75E8A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Hypertension</w:t>
            </w:r>
          </w:p>
        </w:tc>
        <w:tc>
          <w:tcPr>
            <w:tcW w:w="1706" w:type="pct"/>
          </w:tcPr>
          <w:p w14:paraId="308D60B1" w14:textId="7EED85F7" w:rsidR="00EB51EF" w:rsidRDefault="00EB51EF">
            <w:pPr>
              <w:pStyle w:val="TableParagraph"/>
              <w:ind w:left="407"/>
              <w:rPr>
                <w:sz w:val="21"/>
              </w:rPr>
            </w:pPr>
            <w:r>
              <w:rPr>
                <w:sz w:val="21"/>
              </w:rPr>
              <w:t>1.</w:t>
            </w:r>
            <w:r w:rsidR="005F7047">
              <w:rPr>
                <w:sz w:val="21"/>
              </w:rPr>
              <w:t>090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(0.</w:t>
            </w:r>
            <w:r w:rsidR="005F7047">
              <w:rPr>
                <w:sz w:val="21"/>
              </w:rPr>
              <w:t>519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 w:rsidR="005F7047">
              <w:rPr>
                <w:spacing w:val="-2"/>
                <w:sz w:val="21"/>
              </w:rPr>
              <w:t>1.961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151" w:type="pct"/>
          </w:tcPr>
          <w:p w14:paraId="3AC33114" w14:textId="77777777" w:rsidR="00EB51EF" w:rsidRDefault="00EB51EF">
            <w:pPr>
              <w:pStyle w:val="TableParagraph"/>
              <w:ind w:left="0" w:right="79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0.803</w:t>
            </w:r>
          </w:p>
        </w:tc>
      </w:tr>
      <w:tr w:rsidR="00EB51EF" w14:paraId="6C706C74" w14:textId="77777777" w:rsidTr="00B13160">
        <w:trPr>
          <w:trHeight w:val="397"/>
        </w:trPr>
        <w:tc>
          <w:tcPr>
            <w:tcW w:w="2143" w:type="pct"/>
          </w:tcPr>
          <w:p w14:paraId="190F591E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Blunt</w:t>
            </w:r>
            <w:r>
              <w:rPr>
                <w:spacing w:val="-2"/>
                <w:sz w:val="21"/>
              </w:rPr>
              <w:t xml:space="preserve"> trauma</w:t>
            </w:r>
          </w:p>
        </w:tc>
        <w:tc>
          <w:tcPr>
            <w:tcW w:w="1706" w:type="pct"/>
          </w:tcPr>
          <w:p w14:paraId="6AC10EEB" w14:textId="1F6C0666" w:rsidR="00EB51EF" w:rsidRDefault="005F7047">
            <w:pPr>
              <w:pStyle w:val="TableParagraph"/>
              <w:ind w:left="349"/>
              <w:rPr>
                <w:sz w:val="21"/>
              </w:rPr>
            </w:pPr>
            <w:r>
              <w:rPr>
                <w:sz w:val="21"/>
              </w:rPr>
              <w:t>1.835</w:t>
            </w:r>
            <w:r w:rsidR="00EB51EF">
              <w:rPr>
                <w:spacing w:val="-2"/>
                <w:sz w:val="21"/>
              </w:rPr>
              <w:t xml:space="preserve"> </w:t>
            </w:r>
            <w:r w:rsidR="00EB51EF">
              <w:rPr>
                <w:sz w:val="21"/>
              </w:rPr>
              <w:t>(0.6</w:t>
            </w:r>
            <w:r>
              <w:rPr>
                <w:sz w:val="21"/>
              </w:rPr>
              <w:t>61</w:t>
            </w:r>
            <w:r w:rsidR="00EB51EF">
              <w:rPr>
                <w:sz w:val="21"/>
              </w:rPr>
              <w:t>,</w:t>
            </w:r>
            <w:r w:rsidR="00EB51EF"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3.842</w:t>
            </w:r>
            <w:r w:rsidR="00EB51EF">
              <w:rPr>
                <w:spacing w:val="-2"/>
                <w:sz w:val="21"/>
              </w:rPr>
              <w:t>)</w:t>
            </w:r>
          </w:p>
        </w:tc>
        <w:tc>
          <w:tcPr>
            <w:tcW w:w="1151" w:type="pct"/>
          </w:tcPr>
          <w:p w14:paraId="0B663E4B" w14:textId="77777777" w:rsidR="00EB51EF" w:rsidRDefault="00EB51EF">
            <w:pPr>
              <w:pStyle w:val="TableParagraph"/>
              <w:ind w:left="0" w:right="79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0.278</w:t>
            </w:r>
          </w:p>
        </w:tc>
      </w:tr>
      <w:tr w:rsidR="00EB51EF" w14:paraId="47FA3C4B" w14:textId="77777777" w:rsidTr="00B13160">
        <w:trPr>
          <w:trHeight w:val="397"/>
        </w:trPr>
        <w:tc>
          <w:tcPr>
            <w:tcW w:w="2143" w:type="pct"/>
          </w:tcPr>
          <w:p w14:paraId="2FFD9A99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score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abdomen,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point</w:t>
            </w:r>
          </w:p>
        </w:tc>
        <w:tc>
          <w:tcPr>
            <w:tcW w:w="1706" w:type="pct"/>
          </w:tcPr>
          <w:p w14:paraId="13C7094F" w14:textId="79FB85C3" w:rsidR="00EB51EF" w:rsidRDefault="00EB51EF">
            <w:pPr>
              <w:pStyle w:val="TableParagraph"/>
              <w:ind w:left="406"/>
              <w:rPr>
                <w:sz w:val="21"/>
              </w:rPr>
            </w:pPr>
            <w:r>
              <w:rPr>
                <w:sz w:val="21"/>
              </w:rPr>
              <w:t>1.</w:t>
            </w:r>
            <w:r w:rsidR="005F7047">
              <w:rPr>
                <w:sz w:val="21"/>
              </w:rPr>
              <w:t>326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(1.0</w:t>
            </w:r>
            <w:r w:rsidR="005F7047">
              <w:rPr>
                <w:sz w:val="21"/>
              </w:rPr>
              <w:t>37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 w:rsidR="005F7047">
              <w:rPr>
                <w:spacing w:val="-2"/>
                <w:sz w:val="21"/>
              </w:rPr>
              <w:t>1.690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151" w:type="pct"/>
          </w:tcPr>
          <w:p w14:paraId="55BCD312" w14:textId="77777777" w:rsidR="00EB51EF" w:rsidRDefault="00EB51EF">
            <w:pPr>
              <w:pStyle w:val="TableParagraph"/>
              <w:ind w:left="0" w:right="77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0.031</w:t>
            </w:r>
          </w:p>
        </w:tc>
      </w:tr>
      <w:tr w:rsidR="00EB51EF" w14:paraId="722FDBAB" w14:textId="77777777" w:rsidTr="00B13160">
        <w:trPr>
          <w:trHeight w:val="397"/>
        </w:trPr>
        <w:tc>
          <w:tcPr>
            <w:tcW w:w="2143" w:type="pct"/>
          </w:tcPr>
          <w:p w14:paraId="65E7F285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PRBCs</w:t>
            </w:r>
            <w:r>
              <w:rPr>
                <w:position w:val="5"/>
                <w:sz w:val="14"/>
              </w:rPr>
              <w:t>a</w:t>
            </w:r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unit</w:t>
            </w:r>
          </w:p>
        </w:tc>
        <w:tc>
          <w:tcPr>
            <w:tcW w:w="1706" w:type="pct"/>
          </w:tcPr>
          <w:p w14:paraId="23A04CA0" w14:textId="7D29471B" w:rsidR="00EB51EF" w:rsidRDefault="00EB51EF">
            <w:pPr>
              <w:pStyle w:val="TableParagraph"/>
              <w:ind w:left="406"/>
              <w:rPr>
                <w:sz w:val="21"/>
              </w:rPr>
            </w:pPr>
            <w:r>
              <w:rPr>
                <w:sz w:val="21"/>
              </w:rPr>
              <w:t>1.</w:t>
            </w:r>
            <w:r w:rsidR="005F7047">
              <w:rPr>
                <w:sz w:val="21"/>
              </w:rPr>
              <w:t>137</w:t>
            </w:r>
            <w:r w:rsidR="005F7047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(1.0</w:t>
            </w:r>
            <w:r w:rsidR="005F7047">
              <w:rPr>
                <w:sz w:val="21"/>
              </w:rPr>
              <w:t>50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</w:t>
            </w:r>
            <w:r w:rsidR="005F7047">
              <w:rPr>
                <w:spacing w:val="-2"/>
                <w:sz w:val="21"/>
              </w:rPr>
              <w:t>238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151" w:type="pct"/>
          </w:tcPr>
          <w:p w14:paraId="57A864CC" w14:textId="77777777" w:rsidR="00EB51EF" w:rsidRDefault="00EB51EF">
            <w:pPr>
              <w:pStyle w:val="TableParagraph"/>
              <w:ind w:left="0" w:right="77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0.003</w:t>
            </w:r>
          </w:p>
        </w:tc>
      </w:tr>
      <w:tr w:rsidR="00EB51EF" w14:paraId="727DD05A" w14:textId="77777777" w:rsidTr="00B13160">
        <w:trPr>
          <w:trHeight w:val="397"/>
        </w:trPr>
        <w:tc>
          <w:tcPr>
            <w:tcW w:w="2143" w:type="pct"/>
          </w:tcPr>
          <w:p w14:paraId="310B2F1A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0.9%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NaCl</w:t>
            </w:r>
            <w:r>
              <w:rPr>
                <w:position w:val="5"/>
                <w:sz w:val="14"/>
              </w:rPr>
              <w:t>a</w:t>
            </w:r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L</w:t>
            </w:r>
          </w:p>
        </w:tc>
        <w:tc>
          <w:tcPr>
            <w:tcW w:w="1706" w:type="pct"/>
          </w:tcPr>
          <w:p w14:paraId="3CA6BE5F" w14:textId="7F0C9745" w:rsidR="00EB51EF" w:rsidRDefault="00EB51EF">
            <w:pPr>
              <w:pStyle w:val="TableParagraph"/>
              <w:ind w:left="406"/>
              <w:rPr>
                <w:sz w:val="21"/>
              </w:rPr>
            </w:pPr>
            <w:r>
              <w:rPr>
                <w:sz w:val="21"/>
              </w:rPr>
              <w:t>1.0</w:t>
            </w:r>
            <w:r w:rsidR="005F7047">
              <w:rPr>
                <w:sz w:val="21"/>
              </w:rPr>
              <w:t>17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(0.</w:t>
            </w:r>
            <w:r w:rsidR="005F7047">
              <w:rPr>
                <w:sz w:val="21"/>
              </w:rPr>
              <w:t>903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</w:t>
            </w:r>
            <w:r w:rsidR="00F153D1">
              <w:rPr>
                <w:spacing w:val="-2"/>
                <w:sz w:val="21"/>
              </w:rPr>
              <w:t>155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151" w:type="pct"/>
          </w:tcPr>
          <w:p w14:paraId="63E20F9C" w14:textId="77777777" w:rsidR="00EB51EF" w:rsidRDefault="00EB51EF">
            <w:pPr>
              <w:pStyle w:val="TableParagraph"/>
              <w:ind w:left="0" w:right="795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0.770</w:t>
            </w:r>
          </w:p>
        </w:tc>
      </w:tr>
      <w:tr w:rsidR="00EB51EF" w14:paraId="5E37A2FA" w14:textId="77777777" w:rsidTr="00B13160">
        <w:trPr>
          <w:trHeight w:val="396"/>
        </w:trPr>
        <w:tc>
          <w:tcPr>
            <w:tcW w:w="2143" w:type="pct"/>
            <w:tcBorders>
              <w:bottom w:val="single" w:sz="12" w:space="0" w:color="000000"/>
            </w:tcBorders>
          </w:tcPr>
          <w:p w14:paraId="5FAEF020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Peak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serum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CK</w:t>
            </w:r>
            <w:r>
              <w:rPr>
                <w:position w:val="5"/>
                <w:sz w:val="14"/>
              </w:rPr>
              <w:t>b</w:t>
            </w:r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U/L</w:t>
            </w:r>
          </w:p>
        </w:tc>
        <w:tc>
          <w:tcPr>
            <w:tcW w:w="1706" w:type="pct"/>
            <w:tcBorders>
              <w:bottom w:val="single" w:sz="12" w:space="0" w:color="000000"/>
            </w:tcBorders>
          </w:tcPr>
          <w:p w14:paraId="66C98550" w14:textId="21142023" w:rsidR="00EB51EF" w:rsidRDefault="00EB51EF">
            <w:pPr>
              <w:pStyle w:val="TableParagraph"/>
              <w:ind w:left="406"/>
              <w:rPr>
                <w:sz w:val="21"/>
              </w:rPr>
            </w:pPr>
            <w:r>
              <w:rPr>
                <w:sz w:val="21"/>
              </w:rPr>
              <w:t>1.002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(1.001.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1.00</w:t>
            </w:r>
            <w:r w:rsidR="00F153D1">
              <w:rPr>
                <w:spacing w:val="-2"/>
                <w:sz w:val="21"/>
              </w:rPr>
              <w:t>3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151" w:type="pct"/>
            <w:tcBorders>
              <w:bottom w:val="single" w:sz="12" w:space="0" w:color="000000"/>
            </w:tcBorders>
          </w:tcPr>
          <w:p w14:paraId="5C0C481F" w14:textId="77777777" w:rsidR="00EB51EF" w:rsidRDefault="00EB51EF">
            <w:pPr>
              <w:pStyle w:val="TableParagraph"/>
              <w:ind w:left="0" w:right="77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0.003</w:t>
            </w:r>
          </w:p>
        </w:tc>
      </w:tr>
    </w:tbl>
    <w:p w14:paraId="43E27D29" w14:textId="3BC93F12" w:rsidR="00785BDD" w:rsidRDefault="00785BDD" w:rsidP="00785BDD">
      <w:pPr>
        <w:pStyle w:val="a3"/>
        <w:spacing w:before="47"/>
      </w:pPr>
      <w:r>
        <w:t>T</w:t>
      </w:r>
      <w:r w:rsidRPr="00355DA0">
        <w:t>he risk ratios</w:t>
      </w:r>
      <w:r>
        <w:t xml:space="preserve"> above were </w:t>
      </w:r>
      <w:r w:rsidRPr="00355DA0">
        <w:t xml:space="preserve">converted </w:t>
      </w:r>
      <w:r>
        <w:t>from</w:t>
      </w:r>
      <w:r w:rsidRPr="00355DA0">
        <w:t xml:space="preserve"> odds </w:t>
      </w:r>
      <w:r>
        <w:t>r</w:t>
      </w:r>
      <w:r w:rsidRPr="00355DA0">
        <w:t>atios</w:t>
      </w:r>
      <w:r>
        <w:t xml:space="preserve"> </w:t>
      </w:r>
      <w:r w:rsidRPr="005F0EFA">
        <w:t>using the formula by Zhang and Yu</w:t>
      </w:r>
      <w:r w:rsidR="0065001F">
        <w:t xml:space="preserve"> </w:t>
      </w:r>
      <w:r w:rsidR="0065001F">
        <w:fldChar w:fldCharType="begin"/>
      </w:r>
      <w:r w:rsidR="0065001F">
        <w:instrText xml:space="preserve"> ADDIN EN.CITE &lt;EndNote&gt;&lt;Cite&gt;&lt;Author&gt;Zhang&lt;/Author&gt;&lt;Year&gt;1998&lt;/Year&gt;&lt;RecNum&gt;464&lt;/RecNum&gt;&lt;DisplayText&gt;[1]&lt;/DisplayText&gt;&lt;record&gt;&lt;rec-number&gt;464&lt;/rec-number&gt;&lt;foreign-keys&gt;&lt;key app="EN" db-id="awtf0tpwbv2fdhevx00p9pterwvdd9ewped5" timestamp="1675774178"&gt;464&lt;/key&gt;&lt;/foreign-keys&gt;&lt;ref-type name="Journal Article"&gt;17&lt;/ref-type&gt;&lt;contributors&gt;&lt;authors&gt;&lt;author&gt;Zhang, J.&lt;/author&gt;&lt;author&gt;Yu, K. F.&lt;/author&gt;&lt;/authors&gt;&lt;/contributors&gt;&lt;auth-address&gt;Division of Epidemiology, Statistics and Prevention Research, National Institute of Child Health and Human Development, National Institutes of Health, Bethesda, MD 20892-7510, USA. JunvZhang@NIH.GOV&lt;/auth-address&gt;&lt;titles&gt;&lt;title&gt;What&amp;apos;s the relative risk? A method of correcting the odds ratio in cohort studies of common outcomes&lt;/title&gt;&lt;secondary-title&gt;JAMA&lt;/secondary-title&gt;&lt;/titles&gt;&lt;periodical&gt;&lt;full-title&gt;Jama&lt;/full-title&gt;&lt;/periodical&gt;&lt;pages&gt;1690-1&lt;/pages&gt;&lt;volume&gt;280&lt;/volume&gt;&lt;number&gt;19&lt;/number&gt;&lt;keywords&gt;&lt;keyword&gt;Cohort Studies&lt;/keyword&gt;&lt;keyword&gt;*Data Interpretation, Statistical&lt;/keyword&gt;&lt;keyword&gt;Health Services Research/methods&lt;/keyword&gt;&lt;keyword&gt;Hospital Mortality&lt;/keyword&gt;&lt;keyword&gt;Humans&lt;/keyword&gt;&lt;keyword&gt;Logistic Models&lt;/keyword&gt;&lt;keyword&gt;*Odds Ratio&lt;/keyword&gt;&lt;keyword&gt;Outcome Assessment, Health Care/*methods&lt;/keyword&gt;&lt;keyword&gt;*Risk&lt;/keyword&gt;&lt;/keywords&gt;&lt;dates&gt;&lt;year&gt;1998&lt;/year&gt;&lt;pub-dates&gt;&lt;date&gt;Nov 18&lt;/date&gt;&lt;/pub-dates&gt;&lt;/dates&gt;&lt;isbn&gt;0098-7484 (Print)&amp;#xD;0098-7484&lt;/isbn&gt;&lt;accession-num&gt;9832001&lt;/accession-num&gt;&lt;urls&gt;&lt;/urls&gt;&lt;electronic-resource-num&gt;10.1001/jama.280.19.1690&lt;/electronic-resource-num&gt;&lt;remote-database-provider&gt;NLM&lt;/remote-database-provider&gt;&lt;language&gt;eng&lt;/language&gt;&lt;/record&gt;&lt;/Cite&gt;&lt;/EndNote&gt;</w:instrText>
      </w:r>
      <w:r w:rsidR="0065001F">
        <w:fldChar w:fldCharType="separate"/>
      </w:r>
      <w:r w:rsidR="0065001F">
        <w:rPr>
          <w:noProof/>
        </w:rPr>
        <w:t>[1]</w:t>
      </w:r>
      <w:r w:rsidR="0065001F">
        <w:fldChar w:fldCharType="end"/>
      </w:r>
      <w:r w:rsidRPr="00355DA0">
        <w:t>.</w:t>
      </w:r>
    </w:p>
    <w:p w14:paraId="1774493C" w14:textId="4EF0BA06" w:rsidR="0057498A" w:rsidRDefault="00AF0631">
      <w:pPr>
        <w:pStyle w:val="a3"/>
        <w:spacing w:before="47"/>
      </w:pPr>
      <w:r>
        <w:t>BMI,</w:t>
      </w:r>
      <w:r>
        <w:rPr>
          <w:spacing w:val="-1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index;</w:t>
      </w:r>
      <w:r>
        <w:rPr>
          <w:spacing w:val="-4"/>
        </w:rPr>
        <w:t xml:space="preserve"> </w:t>
      </w:r>
      <w:r>
        <w:t>AIS,</w:t>
      </w:r>
      <w:r>
        <w:rPr>
          <w:spacing w:val="-4"/>
        </w:rPr>
        <w:t xml:space="preserve"> </w:t>
      </w:r>
      <w:r>
        <w:t>abbreviated</w:t>
      </w:r>
      <w:r>
        <w:rPr>
          <w:spacing w:val="-5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scale;</w:t>
      </w:r>
      <w:r>
        <w:rPr>
          <w:spacing w:val="-4"/>
        </w:rPr>
        <w:t xml:space="preserve"> </w:t>
      </w:r>
      <w:r>
        <w:t>PRBCs,</w:t>
      </w:r>
      <w:r>
        <w:rPr>
          <w:spacing w:val="-4"/>
        </w:rPr>
        <w:t xml:space="preserve"> </w:t>
      </w:r>
      <w:r>
        <w:t>packed</w:t>
      </w:r>
      <w:r>
        <w:rPr>
          <w:spacing w:val="-4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cells;</w:t>
      </w:r>
      <w:r>
        <w:rPr>
          <w:spacing w:val="-5"/>
        </w:rPr>
        <w:t xml:space="preserve"> </w:t>
      </w:r>
      <w:r>
        <w:t>CK,</w:t>
      </w:r>
      <w:r>
        <w:rPr>
          <w:spacing w:val="-4"/>
        </w:rPr>
        <w:t xml:space="preserve"> </w:t>
      </w:r>
      <w:r>
        <w:t>creatine</w:t>
      </w:r>
      <w:r>
        <w:rPr>
          <w:spacing w:val="-3"/>
        </w:rPr>
        <w:t xml:space="preserve"> </w:t>
      </w:r>
      <w:r>
        <w:rPr>
          <w:spacing w:val="-2"/>
        </w:rPr>
        <w:t>kinase.</w:t>
      </w:r>
    </w:p>
    <w:p w14:paraId="632A324D" w14:textId="478FB652" w:rsidR="0057498A" w:rsidRDefault="00AF0631">
      <w:pPr>
        <w:pStyle w:val="a3"/>
      </w:pPr>
      <w:r>
        <w:rPr>
          <w:position w:val="5"/>
          <w:sz w:val="14"/>
        </w:rPr>
        <w:t>a</w:t>
      </w:r>
      <w:r>
        <w:rPr>
          <w:spacing w:val="11"/>
          <w:position w:val="5"/>
          <w:sz w:val="14"/>
        </w:rPr>
        <w:t xml:space="preserve"> </w:t>
      </w:r>
      <w:r>
        <w:t>Transfused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 w:rsidR="007C7170">
        <w:rPr>
          <w:spacing w:val="-4"/>
        </w:rPr>
        <w:t xml:space="preserve">the </w:t>
      </w:r>
      <w:r>
        <w:t>first</w:t>
      </w:r>
      <w:r>
        <w:rPr>
          <w:spacing w:val="-3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2"/>
        </w:rPr>
        <w:t>admission.</w:t>
      </w:r>
    </w:p>
    <w:p w14:paraId="64D893F4" w14:textId="77777777" w:rsidR="0057498A" w:rsidRDefault="00AF0631">
      <w:pPr>
        <w:pStyle w:val="a3"/>
      </w:pPr>
      <w:r>
        <w:rPr>
          <w:position w:val="5"/>
          <w:sz w:val="14"/>
        </w:rPr>
        <w:t>b</w:t>
      </w:r>
      <w:r>
        <w:rPr>
          <w:spacing w:val="11"/>
          <w:position w:val="5"/>
          <w:sz w:val="14"/>
        </w:rPr>
        <w:t xml:space="preserve"> </w:t>
      </w:r>
      <w:r>
        <w:t>Measured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2"/>
        </w:rPr>
        <w:t>admission.</w:t>
      </w:r>
    </w:p>
    <w:p w14:paraId="63B0EBA1" w14:textId="77777777" w:rsidR="0057498A" w:rsidRDefault="00AF0631">
      <w:pPr>
        <w:pStyle w:val="a3"/>
        <w:spacing w:before="65"/>
        <w:ind w:left="119"/>
      </w:pPr>
      <w:r>
        <w:rPr>
          <w:i/>
        </w:rPr>
        <w:t>P</w:t>
      </w:r>
      <w:r>
        <w:rPr>
          <w:i/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0.05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bold.</w:t>
      </w:r>
    </w:p>
    <w:p w14:paraId="154C6039" w14:textId="77777777" w:rsidR="0057498A" w:rsidRDefault="0057498A">
      <w:pPr>
        <w:sectPr w:rsidR="0057498A">
          <w:headerReference w:type="default" r:id="rId6"/>
          <w:type w:val="continuous"/>
          <w:pgSz w:w="11910" w:h="16840"/>
          <w:pgMar w:top="1320" w:right="620" w:bottom="280" w:left="600" w:header="892" w:footer="0" w:gutter="0"/>
          <w:pgNumType w:start="1"/>
          <w:cols w:space="720"/>
        </w:sectPr>
      </w:pPr>
    </w:p>
    <w:p w14:paraId="0605ED9A" w14:textId="4C88ECF1" w:rsidR="00E32006" w:rsidRPr="00E247FC" w:rsidRDefault="00E32006" w:rsidP="00E32006">
      <w:pPr>
        <w:pStyle w:val="aa"/>
        <w:keepNext/>
      </w:pPr>
      <w:r w:rsidRPr="00E247FC">
        <w:lastRenderedPageBreak/>
        <w:t>Table S2 Multivariable model of the association of SAT area with acute kidney injury.</w:t>
      </w: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836"/>
        <w:gridCol w:w="3947"/>
        <w:gridCol w:w="1907"/>
      </w:tblGrid>
      <w:tr w:rsidR="00EB51EF" w14:paraId="367C632A" w14:textId="77777777" w:rsidTr="00B13160">
        <w:trPr>
          <w:trHeight w:val="397"/>
        </w:trPr>
        <w:tc>
          <w:tcPr>
            <w:tcW w:w="2262" w:type="pct"/>
            <w:tcBorders>
              <w:top w:val="single" w:sz="12" w:space="0" w:color="000000"/>
              <w:bottom w:val="single" w:sz="12" w:space="0" w:color="000000"/>
            </w:tcBorders>
          </w:tcPr>
          <w:p w14:paraId="2E14314A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Variable</w:t>
            </w:r>
          </w:p>
        </w:tc>
        <w:tc>
          <w:tcPr>
            <w:tcW w:w="1846" w:type="pct"/>
            <w:tcBorders>
              <w:top w:val="single" w:sz="12" w:space="0" w:color="000000"/>
              <w:bottom w:val="single" w:sz="12" w:space="0" w:color="000000"/>
            </w:tcBorders>
          </w:tcPr>
          <w:p w14:paraId="261D6CE6" w14:textId="3DD9B7C5" w:rsidR="00EB51EF" w:rsidRDefault="00355DA0" w:rsidP="00B13160">
            <w:pPr>
              <w:pStyle w:val="TableParagraph"/>
              <w:ind w:left="524" w:right="458"/>
              <w:rPr>
                <w:sz w:val="21"/>
              </w:rPr>
            </w:pPr>
            <w:r w:rsidRPr="00355DA0">
              <w:rPr>
                <w:rFonts w:hint="eastAsia"/>
                <w:sz w:val="21"/>
              </w:rPr>
              <w:t>Risk</w:t>
            </w:r>
            <w:r w:rsidR="00EB51EF">
              <w:rPr>
                <w:spacing w:val="-5"/>
                <w:sz w:val="21"/>
              </w:rPr>
              <w:t xml:space="preserve"> </w:t>
            </w:r>
            <w:r w:rsidR="00785BDD">
              <w:rPr>
                <w:sz w:val="21"/>
              </w:rPr>
              <w:t>ratio</w:t>
            </w:r>
            <w:r w:rsidR="00785BDD">
              <w:rPr>
                <w:spacing w:val="-3"/>
                <w:sz w:val="21"/>
              </w:rPr>
              <w:t xml:space="preserve"> </w:t>
            </w:r>
            <w:r w:rsidR="00EB51EF">
              <w:rPr>
                <w:sz w:val="21"/>
              </w:rPr>
              <w:t>(95%</w:t>
            </w:r>
            <w:r w:rsidR="00EB51EF">
              <w:rPr>
                <w:spacing w:val="-2"/>
                <w:sz w:val="21"/>
              </w:rPr>
              <w:t xml:space="preserve"> </w:t>
            </w:r>
            <w:r w:rsidR="00EB51EF">
              <w:rPr>
                <w:spacing w:val="-5"/>
                <w:sz w:val="21"/>
              </w:rPr>
              <w:t>CI)</w:t>
            </w:r>
          </w:p>
        </w:tc>
        <w:tc>
          <w:tcPr>
            <w:tcW w:w="892" w:type="pct"/>
            <w:tcBorders>
              <w:top w:val="single" w:sz="12" w:space="0" w:color="000000"/>
              <w:bottom w:val="single" w:sz="12" w:space="0" w:color="000000"/>
            </w:tcBorders>
          </w:tcPr>
          <w:p w14:paraId="51E76E39" w14:textId="77777777" w:rsidR="00EB51EF" w:rsidRDefault="00EB51EF">
            <w:pPr>
              <w:pStyle w:val="TableParagraph"/>
              <w:ind w:left="469"/>
              <w:rPr>
                <w:sz w:val="21"/>
              </w:rPr>
            </w:pPr>
            <w:r>
              <w:rPr>
                <w:i/>
                <w:sz w:val="21"/>
              </w:rPr>
              <w:t xml:space="preserve">P </w:t>
            </w:r>
            <w:r>
              <w:rPr>
                <w:spacing w:val="-2"/>
                <w:sz w:val="21"/>
              </w:rPr>
              <w:t>value</w:t>
            </w:r>
          </w:p>
        </w:tc>
      </w:tr>
      <w:tr w:rsidR="00EB51EF" w14:paraId="3E12A6DB" w14:textId="77777777" w:rsidTr="00B13160">
        <w:trPr>
          <w:trHeight w:val="396"/>
        </w:trPr>
        <w:tc>
          <w:tcPr>
            <w:tcW w:w="2262" w:type="pct"/>
            <w:tcBorders>
              <w:top w:val="single" w:sz="12" w:space="0" w:color="000000"/>
            </w:tcBorders>
          </w:tcPr>
          <w:p w14:paraId="5CF50FA8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Intercept</w:t>
            </w:r>
          </w:p>
        </w:tc>
        <w:tc>
          <w:tcPr>
            <w:tcW w:w="1846" w:type="pct"/>
            <w:tcBorders>
              <w:top w:val="single" w:sz="12" w:space="0" w:color="000000"/>
            </w:tcBorders>
          </w:tcPr>
          <w:p w14:paraId="3A0467A7" w14:textId="77777777" w:rsidR="00EB51EF" w:rsidRDefault="00EB51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2" w:type="pct"/>
            <w:tcBorders>
              <w:top w:val="single" w:sz="12" w:space="0" w:color="000000"/>
            </w:tcBorders>
          </w:tcPr>
          <w:p w14:paraId="56094E6E" w14:textId="77777777" w:rsidR="00EB51EF" w:rsidRDefault="00EB51EF">
            <w:pPr>
              <w:pStyle w:val="TableParagraph"/>
              <w:ind w:left="4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&lt;0.001</w:t>
            </w:r>
          </w:p>
        </w:tc>
      </w:tr>
      <w:tr w:rsidR="00EB51EF" w14:paraId="210EB802" w14:textId="77777777" w:rsidTr="00B13160">
        <w:trPr>
          <w:trHeight w:val="397"/>
        </w:trPr>
        <w:tc>
          <w:tcPr>
            <w:tcW w:w="2262" w:type="pct"/>
          </w:tcPr>
          <w:p w14:paraId="6C97F1AD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Age,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y</w:t>
            </w:r>
          </w:p>
        </w:tc>
        <w:tc>
          <w:tcPr>
            <w:tcW w:w="1846" w:type="pct"/>
          </w:tcPr>
          <w:p w14:paraId="7F0D114B" w14:textId="58459E83" w:rsidR="00EB51EF" w:rsidRDefault="00EB51EF">
            <w:pPr>
              <w:pStyle w:val="TableParagraph"/>
              <w:ind w:left="594"/>
              <w:rPr>
                <w:sz w:val="21"/>
              </w:rPr>
            </w:pPr>
            <w:r>
              <w:rPr>
                <w:sz w:val="21"/>
              </w:rPr>
              <w:t>1.01</w:t>
            </w:r>
            <w:r w:rsidR="0060638F"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(0.99</w:t>
            </w:r>
            <w:r w:rsidR="0060638F">
              <w:rPr>
                <w:sz w:val="21"/>
              </w:rPr>
              <w:t>4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1.0</w:t>
            </w:r>
            <w:r w:rsidR="0060638F">
              <w:rPr>
                <w:spacing w:val="-2"/>
                <w:sz w:val="21"/>
              </w:rPr>
              <w:t>32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892" w:type="pct"/>
          </w:tcPr>
          <w:p w14:paraId="335D6594" w14:textId="77777777" w:rsidR="00EB51EF" w:rsidRDefault="00EB51EF">
            <w:pPr>
              <w:pStyle w:val="TableParagraph"/>
              <w:ind w:left="536"/>
              <w:rPr>
                <w:sz w:val="21"/>
              </w:rPr>
            </w:pPr>
            <w:r>
              <w:rPr>
                <w:spacing w:val="-2"/>
                <w:sz w:val="21"/>
              </w:rPr>
              <w:t>0.192</w:t>
            </w:r>
          </w:p>
        </w:tc>
      </w:tr>
      <w:tr w:rsidR="00EB51EF" w14:paraId="58B6993F" w14:textId="77777777" w:rsidTr="00B13160">
        <w:trPr>
          <w:trHeight w:val="397"/>
        </w:trPr>
        <w:tc>
          <w:tcPr>
            <w:tcW w:w="2262" w:type="pct"/>
          </w:tcPr>
          <w:p w14:paraId="4CB5E504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Male</w:t>
            </w:r>
          </w:p>
        </w:tc>
        <w:tc>
          <w:tcPr>
            <w:tcW w:w="1846" w:type="pct"/>
          </w:tcPr>
          <w:p w14:paraId="4D0E6D01" w14:textId="3F20731E" w:rsidR="00EB51EF" w:rsidRDefault="0060638F" w:rsidP="00B13160">
            <w:pPr>
              <w:pStyle w:val="TableParagraph"/>
              <w:ind w:left="524" w:right="459"/>
              <w:rPr>
                <w:sz w:val="21"/>
              </w:rPr>
            </w:pPr>
            <w:r>
              <w:rPr>
                <w:sz w:val="21"/>
              </w:rPr>
              <w:t>2.654</w:t>
            </w:r>
            <w:r w:rsidR="00EB51EF">
              <w:rPr>
                <w:spacing w:val="-2"/>
                <w:sz w:val="21"/>
              </w:rPr>
              <w:t xml:space="preserve"> </w:t>
            </w:r>
            <w:r w:rsidR="00EB51EF">
              <w:rPr>
                <w:sz w:val="21"/>
              </w:rPr>
              <w:t>(1.</w:t>
            </w:r>
            <w:r>
              <w:rPr>
                <w:sz w:val="21"/>
              </w:rPr>
              <w:t>403</w:t>
            </w:r>
            <w:r w:rsidR="00EB51EF">
              <w:rPr>
                <w:sz w:val="21"/>
              </w:rPr>
              <w:t>,</w:t>
            </w:r>
            <w:r w:rsidR="00EB51EF"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3.983</w:t>
            </w:r>
            <w:r w:rsidR="00EB51EF">
              <w:rPr>
                <w:spacing w:val="-2"/>
                <w:sz w:val="21"/>
              </w:rPr>
              <w:t>)</w:t>
            </w:r>
          </w:p>
        </w:tc>
        <w:tc>
          <w:tcPr>
            <w:tcW w:w="892" w:type="pct"/>
          </w:tcPr>
          <w:p w14:paraId="3D78A74A" w14:textId="77777777" w:rsidR="00EB51EF" w:rsidRDefault="00EB51EF">
            <w:pPr>
              <w:pStyle w:val="TableParagraph"/>
              <w:ind w:left="51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0.013</w:t>
            </w:r>
          </w:p>
        </w:tc>
      </w:tr>
      <w:tr w:rsidR="00EB51EF" w14:paraId="14555B5D" w14:textId="77777777" w:rsidTr="00B13160">
        <w:trPr>
          <w:trHeight w:val="397"/>
        </w:trPr>
        <w:tc>
          <w:tcPr>
            <w:tcW w:w="2262" w:type="pct"/>
          </w:tcPr>
          <w:p w14:paraId="7021FE25" w14:textId="77777777" w:rsidR="00EB51EF" w:rsidRDefault="00EB51EF">
            <w:pPr>
              <w:pStyle w:val="TableParagraph"/>
              <w:rPr>
                <w:sz w:val="14"/>
              </w:rPr>
            </w:pPr>
            <w:r>
              <w:rPr>
                <w:sz w:val="21"/>
              </w:rPr>
              <w:t>SAT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area,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-5"/>
                <w:sz w:val="21"/>
              </w:rPr>
              <w:t xml:space="preserve"> cm</w:t>
            </w:r>
            <w:r>
              <w:rPr>
                <w:spacing w:val="-5"/>
                <w:position w:val="5"/>
                <w:sz w:val="14"/>
              </w:rPr>
              <w:t>2</w:t>
            </w:r>
          </w:p>
        </w:tc>
        <w:tc>
          <w:tcPr>
            <w:tcW w:w="1846" w:type="pct"/>
          </w:tcPr>
          <w:p w14:paraId="540B7785" w14:textId="68425505" w:rsidR="00EB51EF" w:rsidRDefault="00EB51EF">
            <w:pPr>
              <w:pStyle w:val="TableParagraph"/>
              <w:ind w:left="594"/>
              <w:rPr>
                <w:sz w:val="21"/>
              </w:rPr>
            </w:pPr>
            <w:r>
              <w:rPr>
                <w:sz w:val="21"/>
              </w:rPr>
              <w:t>1.</w:t>
            </w:r>
            <w:r w:rsidR="0060638F">
              <w:rPr>
                <w:sz w:val="21"/>
              </w:rPr>
              <w:t>047</w:t>
            </w:r>
            <w:r w:rsidR="0060638F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(1.000,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</w:t>
            </w:r>
            <w:r w:rsidR="0060638F">
              <w:rPr>
                <w:spacing w:val="-2"/>
                <w:sz w:val="21"/>
              </w:rPr>
              <w:t>095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892" w:type="pct"/>
          </w:tcPr>
          <w:p w14:paraId="56F51C8E" w14:textId="77777777" w:rsidR="00EB51EF" w:rsidRDefault="00EB51EF">
            <w:pPr>
              <w:pStyle w:val="TableParagraph"/>
              <w:ind w:left="51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0.049</w:t>
            </w:r>
          </w:p>
        </w:tc>
      </w:tr>
      <w:tr w:rsidR="00EB51EF" w14:paraId="3C934B83" w14:textId="77777777" w:rsidTr="00B13160">
        <w:trPr>
          <w:trHeight w:val="396"/>
        </w:trPr>
        <w:tc>
          <w:tcPr>
            <w:tcW w:w="2262" w:type="pct"/>
          </w:tcPr>
          <w:p w14:paraId="299EC837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Diabetes</w:t>
            </w:r>
          </w:p>
        </w:tc>
        <w:tc>
          <w:tcPr>
            <w:tcW w:w="1846" w:type="pct"/>
          </w:tcPr>
          <w:p w14:paraId="329E2C72" w14:textId="2909C301" w:rsidR="00EB51EF" w:rsidRDefault="00EB51EF">
            <w:pPr>
              <w:pStyle w:val="TableParagraph"/>
              <w:ind w:left="594"/>
              <w:rPr>
                <w:sz w:val="21"/>
              </w:rPr>
            </w:pPr>
            <w:r>
              <w:rPr>
                <w:sz w:val="21"/>
              </w:rPr>
              <w:t>1.</w:t>
            </w:r>
            <w:r w:rsidR="00251FB1">
              <w:rPr>
                <w:sz w:val="21"/>
              </w:rPr>
              <w:t>176</w:t>
            </w:r>
            <w:r w:rsidR="00251FB1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(0.</w:t>
            </w:r>
            <w:r w:rsidR="00251FB1">
              <w:rPr>
                <w:sz w:val="21"/>
              </w:rPr>
              <w:t>421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 w:rsidR="00251FB1">
              <w:rPr>
                <w:spacing w:val="-2"/>
                <w:sz w:val="21"/>
              </w:rPr>
              <w:t>2.376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892" w:type="pct"/>
          </w:tcPr>
          <w:p w14:paraId="791BDA51" w14:textId="77777777" w:rsidR="00EB51EF" w:rsidRDefault="00EB51EF">
            <w:pPr>
              <w:pStyle w:val="TableParagraph"/>
              <w:ind w:left="536"/>
              <w:rPr>
                <w:sz w:val="21"/>
              </w:rPr>
            </w:pPr>
            <w:r>
              <w:rPr>
                <w:spacing w:val="-2"/>
                <w:sz w:val="21"/>
              </w:rPr>
              <w:t>0.720</w:t>
            </w:r>
          </w:p>
        </w:tc>
      </w:tr>
      <w:tr w:rsidR="00EB51EF" w14:paraId="67B20278" w14:textId="77777777" w:rsidTr="00B13160">
        <w:trPr>
          <w:trHeight w:val="396"/>
        </w:trPr>
        <w:tc>
          <w:tcPr>
            <w:tcW w:w="2262" w:type="pct"/>
          </w:tcPr>
          <w:p w14:paraId="79C4C49E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Hypertension</w:t>
            </w:r>
          </w:p>
        </w:tc>
        <w:tc>
          <w:tcPr>
            <w:tcW w:w="1846" w:type="pct"/>
          </w:tcPr>
          <w:p w14:paraId="02686486" w14:textId="2BDA4AB0" w:rsidR="00EB51EF" w:rsidRDefault="00EB51EF">
            <w:pPr>
              <w:pStyle w:val="TableParagraph"/>
              <w:ind w:left="594"/>
              <w:rPr>
                <w:sz w:val="21"/>
              </w:rPr>
            </w:pPr>
            <w:bookmarkStart w:id="0" w:name="OLE_LINK1"/>
            <w:r>
              <w:rPr>
                <w:sz w:val="21"/>
              </w:rPr>
              <w:t>1.</w:t>
            </w:r>
            <w:bookmarkEnd w:id="0"/>
            <w:r w:rsidR="00251FB1">
              <w:rPr>
                <w:sz w:val="21"/>
              </w:rPr>
              <w:t>097</w:t>
            </w:r>
            <w:r>
              <w:rPr>
                <w:sz w:val="21"/>
              </w:rPr>
              <w:t>(0.</w:t>
            </w:r>
            <w:r w:rsidR="00251FB1">
              <w:rPr>
                <w:sz w:val="21"/>
              </w:rPr>
              <w:t>524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 w:rsidR="00251FB1">
              <w:rPr>
                <w:spacing w:val="-2"/>
                <w:sz w:val="21"/>
              </w:rPr>
              <w:t>1.968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892" w:type="pct"/>
          </w:tcPr>
          <w:p w14:paraId="79E52B10" w14:textId="77777777" w:rsidR="00EB51EF" w:rsidRDefault="00EB51EF">
            <w:pPr>
              <w:pStyle w:val="TableParagraph"/>
              <w:ind w:left="536"/>
              <w:rPr>
                <w:sz w:val="21"/>
              </w:rPr>
            </w:pPr>
            <w:r>
              <w:rPr>
                <w:spacing w:val="-2"/>
                <w:sz w:val="21"/>
              </w:rPr>
              <w:t>0.788</w:t>
            </w:r>
          </w:p>
        </w:tc>
      </w:tr>
      <w:tr w:rsidR="00EB51EF" w14:paraId="5ADEED2B" w14:textId="77777777" w:rsidTr="00B13160">
        <w:trPr>
          <w:trHeight w:val="397"/>
        </w:trPr>
        <w:tc>
          <w:tcPr>
            <w:tcW w:w="2262" w:type="pct"/>
          </w:tcPr>
          <w:p w14:paraId="33159787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Blunt</w:t>
            </w:r>
            <w:r>
              <w:rPr>
                <w:spacing w:val="-2"/>
                <w:sz w:val="21"/>
              </w:rPr>
              <w:t xml:space="preserve"> trauma</w:t>
            </w:r>
          </w:p>
        </w:tc>
        <w:tc>
          <w:tcPr>
            <w:tcW w:w="1846" w:type="pct"/>
          </w:tcPr>
          <w:p w14:paraId="112CCA39" w14:textId="1C5BB29E" w:rsidR="00EB51EF" w:rsidRDefault="00EB51EF" w:rsidP="00B13160">
            <w:pPr>
              <w:pStyle w:val="TableParagraph"/>
              <w:ind w:left="524" w:right="458"/>
              <w:rPr>
                <w:sz w:val="21"/>
              </w:rPr>
            </w:pPr>
            <w:r>
              <w:rPr>
                <w:sz w:val="21"/>
              </w:rPr>
              <w:t>2.</w:t>
            </w:r>
            <w:r w:rsidR="00251FB1">
              <w:rPr>
                <w:sz w:val="21"/>
              </w:rPr>
              <w:t>032</w:t>
            </w:r>
            <w:r w:rsidR="00251FB1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(0.7</w:t>
            </w:r>
            <w:r w:rsidR="00251FB1">
              <w:rPr>
                <w:sz w:val="21"/>
              </w:rPr>
              <w:t>52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 w:rsidR="00251FB1">
              <w:rPr>
                <w:spacing w:val="-2"/>
                <w:sz w:val="21"/>
              </w:rPr>
              <w:t>3.973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892" w:type="pct"/>
          </w:tcPr>
          <w:p w14:paraId="7E5696AA" w14:textId="77777777" w:rsidR="00EB51EF" w:rsidRDefault="00EB51EF">
            <w:pPr>
              <w:pStyle w:val="TableParagraph"/>
              <w:ind w:left="536"/>
              <w:rPr>
                <w:sz w:val="21"/>
              </w:rPr>
            </w:pPr>
            <w:r>
              <w:rPr>
                <w:spacing w:val="-2"/>
                <w:sz w:val="21"/>
              </w:rPr>
              <w:t>0.198</w:t>
            </w:r>
          </w:p>
        </w:tc>
      </w:tr>
      <w:tr w:rsidR="00EB51EF" w14:paraId="082F6098" w14:textId="77777777" w:rsidTr="00B13160">
        <w:trPr>
          <w:trHeight w:val="397"/>
        </w:trPr>
        <w:tc>
          <w:tcPr>
            <w:tcW w:w="2262" w:type="pct"/>
          </w:tcPr>
          <w:p w14:paraId="353D7CBD" w14:textId="77777777" w:rsidR="00EB51EF" w:rsidRDefault="00EB51EF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AIS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score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abdomen,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point</w:t>
            </w:r>
          </w:p>
        </w:tc>
        <w:tc>
          <w:tcPr>
            <w:tcW w:w="1846" w:type="pct"/>
          </w:tcPr>
          <w:p w14:paraId="495B9019" w14:textId="5EE45005" w:rsidR="00EB51EF" w:rsidRDefault="00EB51EF">
            <w:pPr>
              <w:pStyle w:val="TableParagraph"/>
              <w:ind w:left="594"/>
              <w:rPr>
                <w:sz w:val="21"/>
              </w:rPr>
            </w:pPr>
            <w:r>
              <w:rPr>
                <w:sz w:val="21"/>
              </w:rPr>
              <w:t>1.</w:t>
            </w:r>
            <w:r w:rsidR="00251FB1">
              <w:rPr>
                <w:sz w:val="21"/>
              </w:rPr>
              <w:t>359</w:t>
            </w:r>
            <w:r w:rsidR="00251FB1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(1.</w:t>
            </w:r>
            <w:r w:rsidR="00251FB1">
              <w:rPr>
                <w:sz w:val="21"/>
              </w:rPr>
              <w:t>064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 w:rsidR="00251FB1">
              <w:rPr>
                <w:spacing w:val="-2"/>
                <w:sz w:val="21"/>
              </w:rPr>
              <w:t>1.730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892" w:type="pct"/>
          </w:tcPr>
          <w:p w14:paraId="58B3E39A" w14:textId="77777777" w:rsidR="00EB51EF" w:rsidRDefault="00EB51EF">
            <w:pPr>
              <w:pStyle w:val="TableParagraph"/>
              <w:ind w:left="51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0.019</w:t>
            </w:r>
          </w:p>
        </w:tc>
      </w:tr>
      <w:tr w:rsidR="00EB51EF" w14:paraId="727F3C53" w14:textId="77777777" w:rsidTr="00B13160">
        <w:trPr>
          <w:trHeight w:val="397"/>
        </w:trPr>
        <w:tc>
          <w:tcPr>
            <w:tcW w:w="2262" w:type="pct"/>
          </w:tcPr>
          <w:p w14:paraId="1C994BF0" w14:textId="77777777" w:rsidR="00EB51EF" w:rsidRDefault="00EB51EF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PRBCs</w:t>
            </w:r>
            <w:r>
              <w:rPr>
                <w:position w:val="5"/>
                <w:sz w:val="14"/>
              </w:rPr>
              <w:t>a</w:t>
            </w:r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unit</w:t>
            </w:r>
          </w:p>
        </w:tc>
        <w:tc>
          <w:tcPr>
            <w:tcW w:w="1846" w:type="pct"/>
          </w:tcPr>
          <w:p w14:paraId="4AD0B02C" w14:textId="6C68E440" w:rsidR="00EB51EF" w:rsidRDefault="00EB51EF">
            <w:pPr>
              <w:pStyle w:val="TableParagraph"/>
              <w:ind w:left="594"/>
              <w:rPr>
                <w:sz w:val="21"/>
              </w:rPr>
            </w:pPr>
            <w:r>
              <w:rPr>
                <w:sz w:val="21"/>
              </w:rPr>
              <w:t>1.</w:t>
            </w:r>
            <w:r w:rsidR="00251FB1">
              <w:rPr>
                <w:sz w:val="21"/>
              </w:rPr>
              <w:t>130</w:t>
            </w:r>
            <w:r w:rsidR="00251FB1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(1.0</w:t>
            </w:r>
            <w:r w:rsidR="00251FB1">
              <w:rPr>
                <w:sz w:val="21"/>
              </w:rPr>
              <w:t>46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</w:t>
            </w:r>
            <w:r w:rsidR="00251FB1">
              <w:rPr>
                <w:spacing w:val="-2"/>
                <w:sz w:val="21"/>
              </w:rPr>
              <w:t>22</w:t>
            </w:r>
            <w:r>
              <w:rPr>
                <w:spacing w:val="-2"/>
                <w:sz w:val="21"/>
              </w:rPr>
              <w:t>9)</w:t>
            </w:r>
          </w:p>
        </w:tc>
        <w:tc>
          <w:tcPr>
            <w:tcW w:w="892" w:type="pct"/>
          </w:tcPr>
          <w:p w14:paraId="43035922" w14:textId="77777777" w:rsidR="00EB51EF" w:rsidRDefault="00EB51EF">
            <w:pPr>
              <w:pStyle w:val="TableParagraph"/>
              <w:ind w:left="51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0.004</w:t>
            </w:r>
          </w:p>
        </w:tc>
      </w:tr>
      <w:tr w:rsidR="00EB51EF" w14:paraId="2B274423" w14:textId="77777777" w:rsidTr="00B13160">
        <w:trPr>
          <w:trHeight w:val="397"/>
        </w:trPr>
        <w:tc>
          <w:tcPr>
            <w:tcW w:w="2262" w:type="pct"/>
          </w:tcPr>
          <w:p w14:paraId="163A273A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0.9%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NaCl</w:t>
            </w:r>
            <w:r>
              <w:rPr>
                <w:position w:val="5"/>
                <w:sz w:val="14"/>
              </w:rPr>
              <w:t>a</w:t>
            </w:r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L</w:t>
            </w:r>
          </w:p>
        </w:tc>
        <w:tc>
          <w:tcPr>
            <w:tcW w:w="1846" w:type="pct"/>
          </w:tcPr>
          <w:p w14:paraId="1D745A07" w14:textId="53CA783E" w:rsidR="00EB51EF" w:rsidRDefault="00EB51EF">
            <w:pPr>
              <w:pStyle w:val="TableParagraph"/>
              <w:ind w:left="594"/>
              <w:rPr>
                <w:sz w:val="21"/>
              </w:rPr>
            </w:pPr>
            <w:r>
              <w:rPr>
                <w:sz w:val="21"/>
              </w:rPr>
              <w:t>1.0</w:t>
            </w:r>
            <w:r w:rsidR="00251FB1">
              <w:rPr>
                <w:sz w:val="21"/>
              </w:rPr>
              <w:t>27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(0.</w:t>
            </w:r>
            <w:r w:rsidR="00251FB1">
              <w:rPr>
                <w:sz w:val="21"/>
              </w:rPr>
              <w:t>914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</w:t>
            </w:r>
            <w:r w:rsidR="00251FB1">
              <w:rPr>
                <w:spacing w:val="-2"/>
                <w:sz w:val="21"/>
              </w:rPr>
              <w:t>165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892" w:type="pct"/>
          </w:tcPr>
          <w:p w14:paraId="13AE9217" w14:textId="77777777" w:rsidR="00EB51EF" w:rsidRDefault="00EB51EF">
            <w:pPr>
              <w:pStyle w:val="TableParagraph"/>
              <w:ind w:left="536"/>
              <w:rPr>
                <w:sz w:val="21"/>
              </w:rPr>
            </w:pPr>
            <w:r>
              <w:rPr>
                <w:spacing w:val="-2"/>
                <w:sz w:val="21"/>
              </w:rPr>
              <w:t>0.647</w:t>
            </w:r>
          </w:p>
        </w:tc>
      </w:tr>
      <w:tr w:rsidR="00EB51EF" w14:paraId="53CA7CD7" w14:textId="77777777" w:rsidTr="00B13160">
        <w:trPr>
          <w:trHeight w:val="396"/>
        </w:trPr>
        <w:tc>
          <w:tcPr>
            <w:tcW w:w="2262" w:type="pct"/>
            <w:tcBorders>
              <w:bottom w:val="single" w:sz="12" w:space="0" w:color="000000"/>
            </w:tcBorders>
          </w:tcPr>
          <w:p w14:paraId="1C6DCD02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Peak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serum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CK</w:t>
            </w:r>
            <w:r>
              <w:rPr>
                <w:position w:val="5"/>
                <w:sz w:val="14"/>
              </w:rPr>
              <w:t>b</w:t>
            </w:r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U/L</w:t>
            </w:r>
          </w:p>
        </w:tc>
        <w:tc>
          <w:tcPr>
            <w:tcW w:w="1846" w:type="pct"/>
            <w:tcBorders>
              <w:bottom w:val="single" w:sz="12" w:space="0" w:color="000000"/>
            </w:tcBorders>
          </w:tcPr>
          <w:p w14:paraId="31A779B6" w14:textId="1973C342" w:rsidR="00EB51EF" w:rsidRDefault="00EB51EF">
            <w:pPr>
              <w:pStyle w:val="TableParagraph"/>
              <w:ind w:left="594"/>
              <w:rPr>
                <w:sz w:val="21"/>
              </w:rPr>
            </w:pPr>
            <w:r>
              <w:rPr>
                <w:sz w:val="21"/>
              </w:rPr>
              <w:t>1.002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(1.001.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1.00</w:t>
            </w:r>
            <w:r w:rsidR="00754B67">
              <w:rPr>
                <w:spacing w:val="-2"/>
                <w:sz w:val="21"/>
              </w:rPr>
              <w:t>3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892" w:type="pct"/>
            <w:tcBorders>
              <w:bottom w:val="single" w:sz="12" w:space="0" w:color="000000"/>
            </w:tcBorders>
          </w:tcPr>
          <w:p w14:paraId="00F50B98" w14:textId="77777777" w:rsidR="00EB51EF" w:rsidRDefault="00EB51EF">
            <w:pPr>
              <w:pStyle w:val="TableParagraph"/>
              <w:ind w:left="51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0.004</w:t>
            </w:r>
          </w:p>
        </w:tc>
      </w:tr>
    </w:tbl>
    <w:p w14:paraId="55789222" w14:textId="0FD3A245" w:rsidR="00785BDD" w:rsidRDefault="00785BDD" w:rsidP="00785BDD">
      <w:pPr>
        <w:pStyle w:val="a3"/>
        <w:spacing w:before="47"/>
      </w:pPr>
      <w:r>
        <w:t>T</w:t>
      </w:r>
      <w:r w:rsidRPr="00355DA0">
        <w:t>he risk ratios</w:t>
      </w:r>
      <w:r>
        <w:t xml:space="preserve"> above were </w:t>
      </w:r>
      <w:r w:rsidRPr="00355DA0">
        <w:t xml:space="preserve">converted </w:t>
      </w:r>
      <w:r>
        <w:t>from</w:t>
      </w:r>
      <w:r w:rsidRPr="00355DA0">
        <w:t xml:space="preserve"> odds </w:t>
      </w:r>
      <w:r>
        <w:t>r</w:t>
      </w:r>
      <w:r w:rsidRPr="00355DA0">
        <w:t>atios</w:t>
      </w:r>
      <w:r>
        <w:t xml:space="preserve"> </w:t>
      </w:r>
      <w:r w:rsidRPr="005F0EFA">
        <w:t>using the formula by Zhang and Yu</w:t>
      </w:r>
      <w:r w:rsidR="0065001F">
        <w:t xml:space="preserve"> </w:t>
      </w:r>
      <w:r w:rsidR="0065001F">
        <w:fldChar w:fldCharType="begin"/>
      </w:r>
      <w:r w:rsidR="0065001F">
        <w:instrText xml:space="preserve"> ADDIN EN.CITE &lt;EndNote&gt;&lt;Cite&gt;&lt;Author&gt;Zhang&lt;/Author&gt;&lt;Year&gt;1998&lt;/Year&gt;&lt;RecNum&gt;464&lt;/RecNum&gt;&lt;DisplayText&gt;[1]&lt;/DisplayText&gt;&lt;record&gt;&lt;rec-number&gt;464&lt;/rec-number&gt;&lt;foreign-keys&gt;&lt;key app="EN" db-id="awtf0tpwbv2fdhevx00p9pterwvdd9ewped5" timestamp="1675774178"&gt;464&lt;/key&gt;&lt;/foreign-keys&gt;&lt;ref-type name="Journal Article"&gt;17&lt;/ref-type&gt;&lt;contributors&gt;&lt;authors&gt;&lt;author&gt;Zhang, J.&lt;/author&gt;&lt;author&gt;Yu, K. F.&lt;/author&gt;&lt;/authors&gt;&lt;/contributors&gt;&lt;auth-address&gt;Division of Epidemiology, Statistics and Prevention Research, National Institute of Child Health and Human Development, National Institutes of Health, Bethesda, MD 20892-7510, USA. JunvZhang@NIH.GOV&lt;/auth-address&gt;&lt;titles&gt;&lt;title&gt;What&amp;apos;s the relative risk? A method of correcting the odds ratio in cohort studies of common outcomes&lt;/title&gt;&lt;secondary-title&gt;JAMA&lt;/secondary-title&gt;&lt;/titles&gt;&lt;periodical&gt;&lt;full-title&gt;Jama&lt;/full-title&gt;&lt;/periodical&gt;&lt;pages&gt;1690-1&lt;/pages&gt;&lt;volume&gt;280&lt;/volume&gt;&lt;number&gt;19&lt;/number&gt;&lt;keywords&gt;&lt;keyword&gt;Cohort Studies&lt;/keyword&gt;&lt;keyword&gt;*Data Interpretation, Statistical&lt;/keyword&gt;&lt;keyword&gt;Health Services Research/methods&lt;/keyword&gt;&lt;keyword&gt;Hospital Mortality&lt;/keyword&gt;&lt;keyword&gt;Humans&lt;/keyword&gt;&lt;keyword&gt;Logistic Models&lt;/keyword&gt;&lt;keyword&gt;*Odds Ratio&lt;/keyword&gt;&lt;keyword&gt;Outcome Assessment, Health Care/*methods&lt;/keyword&gt;&lt;keyword&gt;*Risk&lt;/keyword&gt;&lt;/keywords&gt;&lt;dates&gt;&lt;year&gt;1998&lt;/year&gt;&lt;pub-dates&gt;&lt;date&gt;Nov 18&lt;/date&gt;&lt;/pub-dates&gt;&lt;/dates&gt;&lt;isbn&gt;0098-7484 (Print)&amp;#xD;0098-7484&lt;/isbn&gt;&lt;accession-num&gt;9832001&lt;/accession-num&gt;&lt;urls&gt;&lt;/urls&gt;&lt;electronic-resource-num&gt;10.1001/jama.280.19.1690&lt;/electronic-resource-num&gt;&lt;remote-database-provider&gt;NLM&lt;/remote-database-provider&gt;&lt;language&gt;eng&lt;/language&gt;&lt;/record&gt;&lt;/Cite&gt;&lt;/EndNote&gt;</w:instrText>
      </w:r>
      <w:r w:rsidR="0065001F">
        <w:fldChar w:fldCharType="separate"/>
      </w:r>
      <w:r w:rsidR="0065001F">
        <w:rPr>
          <w:noProof/>
        </w:rPr>
        <w:t>[1]</w:t>
      </w:r>
      <w:r w:rsidR="0065001F">
        <w:fldChar w:fldCharType="end"/>
      </w:r>
      <w:r w:rsidRPr="00355DA0">
        <w:t>.</w:t>
      </w:r>
    </w:p>
    <w:p w14:paraId="1A242DE8" w14:textId="066549DF" w:rsidR="0057498A" w:rsidRDefault="00AF0631">
      <w:pPr>
        <w:pStyle w:val="a3"/>
        <w:spacing w:before="47"/>
      </w:pPr>
      <w:r>
        <w:t>SAT,</w:t>
      </w:r>
      <w:r>
        <w:rPr>
          <w:spacing w:val="-2"/>
        </w:rPr>
        <w:t xml:space="preserve"> </w:t>
      </w:r>
      <w:r>
        <w:t>subcutaneous</w:t>
      </w:r>
      <w:r>
        <w:rPr>
          <w:spacing w:val="-7"/>
        </w:rPr>
        <w:t xml:space="preserve"> </w:t>
      </w:r>
      <w:r>
        <w:t>adipose</w:t>
      </w:r>
      <w:r>
        <w:rPr>
          <w:spacing w:val="-6"/>
        </w:rPr>
        <w:t xml:space="preserve"> </w:t>
      </w:r>
      <w:r>
        <w:t>tissue;</w:t>
      </w:r>
      <w:r>
        <w:rPr>
          <w:spacing w:val="-7"/>
        </w:rPr>
        <w:t xml:space="preserve"> </w:t>
      </w:r>
      <w:r>
        <w:t>AIS,</w:t>
      </w:r>
      <w:r>
        <w:rPr>
          <w:spacing w:val="-7"/>
        </w:rPr>
        <w:t xml:space="preserve"> </w:t>
      </w:r>
      <w:r>
        <w:t>abbreviated</w:t>
      </w:r>
      <w:r>
        <w:rPr>
          <w:spacing w:val="-7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scale;</w:t>
      </w:r>
      <w:r>
        <w:rPr>
          <w:spacing w:val="-7"/>
        </w:rPr>
        <w:t xml:space="preserve"> </w:t>
      </w:r>
      <w:r>
        <w:t>PRBCs,</w:t>
      </w:r>
      <w:r>
        <w:rPr>
          <w:spacing w:val="-7"/>
        </w:rPr>
        <w:t xml:space="preserve"> </w:t>
      </w:r>
      <w:r>
        <w:t>packed</w:t>
      </w:r>
      <w:r>
        <w:rPr>
          <w:spacing w:val="-5"/>
        </w:rPr>
        <w:t xml:space="preserve"> </w:t>
      </w:r>
      <w:r>
        <w:t>red</w:t>
      </w:r>
      <w:r>
        <w:rPr>
          <w:spacing w:val="-7"/>
        </w:rPr>
        <w:t xml:space="preserve"> </w:t>
      </w:r>
      <w:r>
        <w:t>blood</w:t>
      </w:r>
      <w:r>
        <w:rPr>
          <w:spacing w:val="-7"/>
        </w:rPr>
        <w:t xml:space="preserve"> </w:t>
      </w:r>
      <w:r>
        <w:t>cells;</w:t>
      </w:r>
      <w:r>
        <w:rPr>
          <w:spacing w:val="-6"/>
        </w:rPr>
        <w:t xml:space="preserve"> </w:t>
      </w:r>
      <w:r>
        <w:t>CK,</w:t>
      </w:r>
      <w:r>
        <w:rPr>
          <w:spacing w:val="-7"/>
        </w:rPr>
        <w:t xml:space="preserve"> </w:t>
      </w:r>
      <w:r>
        <w:t>creatine</w:t>
      </w:r>
      <w:r>
        <w:rPr>
          <w:spacing w:val="-6"/>
        </w:rPr>
        <w:t xml:space="preserve"> </w:t>
      </w:r>
      <w:r>
        <w:rPr>
          <w:spacing w:val="-2"/>
        </w:rPr>
        <w:t>kinase.</w:t>
      </w:r>
    </w:p>
    <w:p w14:paraId="7901EE80" w14:textId="65A98AF8" w:rsidR="0057498A" w:rsidRDefault="00AF0631">
      <w:pPr>
        <w:pStyle w:val="a3"/>
      </w:pPr>
      <w:r>
        <w:rPr>
          <w:position w:val="5"/>
          <w:sz w:val="14"/>
        </w:rPr>
        <w:t>a</w:t>
      </w:r>
      <w:r>
        <w:rPr>
          <w:spacing w:val="11"/>
          <w:position w:val="5"/>
          <w:sz w:val="14"/>
        </w:rPr>
        <w:t xml:space="preserve"> </w:t>
      </w:r>
      <w:r>
        <w:t>Transfused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 w:rsidR="007C7170">
        <w:rPr>
          <w:spacing w:val="-4"/>
        </w:rPr>
        <w:t xml:space="preserve">the </w:t>
      </w:r>
      <w:r>
        <w:t>first</w:t>
      </w:r>
      <w:r>
        <w:rPr>
          <w:spacing w:val="-3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2"/>
        </w:rPr>
        <w:t>admission.</w:t>
      </w:r>
    </w:p>
    <w:p w14:paraId="5A27A0CE" w14:textId="77777777" w:rsidR="0057498A" w:rsidRDefault="00AF0631">
      <w:pPr>
        <w:pStyle w:val="a3"/>
      </w:pPr>
      <w:r>
        <w:rPr>
          <w:position w:val="5"/>
          <w:sz w:val="14"/>
        </w:rPr>
        <w:t>b</w:t>
      </w:r>
      <w:r>
        <w:rPr>
          <w:spacing w:val="11"/>
          <w:position w:val="5"/>
          <w:sz w:val="14"/>
        </w:rPr>
        <w:t xml:space="preserve"> </w:t>
      </w:r>
      <w:r>
        <w:t>Measured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2"/>
        </w:rPr>
        <w:t>admission.</w:t>
      </w:r>
    </w:p>
    <w:p w14:paraId="3D50E5DD" w14:textId="77777777" w:rsidR="0057498A" w:rsidRDefault="00AF0631">
      <w:pPr>
        <w:pStyle w:val="a3"/>
        <w:spacing w:before="65"/>
        <w:ind w:left="119"/>
      </w:pPr>
      <w:r>
        <w:rPr>
          <w:i/>
        </w:rPr>
        <w:t>P</w:t>
      </w:r>
      <w:r>
        <w:rPr>
          <w:i/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0.05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bold.</w:t>
      </w:r>
    </w:p>
    <w:p w14:paraId="638F1FC2" w14:textId="77777777" w:rsidR="0057498A" w:rsidRDefault="0057498A">
      <w:pPr>
        <w:sectPr w:rsidR="0057498A">
          <w:headerReference w:type="default" r:id="rId7"/>
          <w:pgSz w:w="11910" w:h="16840"/>
          <w:pgMar w:top="1320" w:right="620" w:bottom="280" w:left="600" w:header="892" w:footer="0" w:gutter="0"/>
          <w:cols w:space="720"/>
        </w:sectPr>
      </w:pPr>
    </w:p>
    <w:p w14:paraId="26872EC3" w14:textId="6BB20A22" w:rsidR="00E32006" w:rsidRPr="00E247FC" w:rsidRDefault="00E32006" w:rsidP="00E32006">
      <w:pPr>
        <w:pStyle w:val="aa"/>
        <w:keepNext/>
      </w:pPr>
      <w:r w:rsidRPr="00E247FC">
        <w:lastRenderedPageBreak/>
        <w:t>Table S3 Multivariable model of the association of VAT area with acute kidney injury.</w:t>
      </w: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459"/>
        <w:gridCol w:w="3603"/>
        <w:gridCol w:w="2628"/>
      </w:tblGrid>
      <w:tr w:rsidR="00EB51EF" w14:paraId="64E9DC53" w14:textId="77777777" w:rsidTr="00355DA0">
        <w:trPr>
          <w:trHeight w:val="397"/>
        </w:trPr>
        <w:tc>
          <w:tcPr>
            <w:tcW w:w="2086" w:type="pct"/>
            <w:tcBorders>
              <w:top w:val="single" w:sz="12" w:space="0" w:color="000000"/>
              <w:bottom w:val="single" w:sz="12" w:space="0" w:color="000000"/>
            </w:tcBorders>
          </w:tcPr>
          <w:p w14:paraId="04C23277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Variable</w:t>
            </w:r>
          </w:p>
        </w:tc>
        <w:tc>
          <w:tcPr>
            <w:tcW w:w="1685" w:type="pct"/>
            <w:tcBorders>
              <w:top w:val="single" w:sz="12" w:space="0" w:color="000000"/>
              <w:bottom w:val="single" w:sz="12" w:space="0" w:color="000000"/>
            </w:tcBorders>
          </w:tcPr>
          <w:p w14:paraId="6936DFE1" w14:textId="0CAC6413" w:rsidR="00EB51EF" w:rsidRDefault="00355DA0">
            <w:pPr>
              <w:pStyle w:val="TableParagraph"/>
              <w:ind w:left="364"/>
              <w:rPr>
                <w:sz w:val="21"/>
              </w:rPr>
            </w:pPr>
            <w:r w:rsidRPr="00355DA0">
              <w:rPr>
                <w:rFonts w:hint="eastAsia"/>
                <w:sz w:val="21"/>
              </w:rPr>
              <w:t>Risk</w:t>
            </w:r>
            <w:r w:rsidR="00EB51EF">
              <w:rPr>
                <w:spacing w:val="-5"/>
                <w:sz w:val="21"/>
              </w:rPr>
              <w:t xml:space="preserve"> </w:t>
            </w:r>
            <w:r w:rsidR="00785BDD">
              <w:rPr>
                <w:sz w:val="21"/>
              </w:rPr>
              <w:t>ratio</w:t>
            </w:r>
            <w:r w:rsidR="00785BDD">
              <w:rPr>
                <w:spacing w:val="-3"/>
                <w:sz w:val="21"/>
              </w:rPr>
              <w:t xml:space="preserve"> </w:t>
            </w:r>
            <w:r w:rsidR="00EB51EF">
              <w:rPr>
                <w:sz w:val="21"/>
              </w:rPr>
              <w:t>(95%</w:t>
            </w:r>
            <w:r w:rsidR="00EB51EF">
              <w:rPr>
                <w:spacing w:val="-2"/>
                <w:sz w:val="21"/>
              </w:rPr>
              <w:t xml:space="preserve"> </w:t>
            </w:r>
            <w:r w:rsidR="00EB51EF">
              <w:rPr>
                <w:spacing w:val="-5"/>
                <w:sz w:val="21"/>
              </w:rPr>
              <w:t>CI)</w:t>
            </w:r>
          </w:p>
        </w:tc>
        <w:tc>
          <w:tcPr>
            <w:tcW w:w="1229" w:type="pct"/>
            <w:tcBorders>
              <w:top w:val="single" w:sz="12" w:space="0" w:color="000000"/>
              <w:bottom w:val="single" w:sz="12" w:space="0" w:color="000000"/>
            </w:tcBorders>
          </w:tcPr>
          <w:p w14:paraId="793798B2" w14:textId="77777777" w:rsidR="00EB51EF" w:rsidRDefault="00EB51EF">
            <w:pPr>
              <w:pStyle w:val="TableParagraph"/>
              <w:ind w:left="557"/>
              <w:rPr>
                <w:sz w:val="21"/>
              </w:rPr>
            </w:pPr>
            <w:r>
              <w:rPr>
                <w:i/>
                <w:sz w:val="21"/>
              </w:rPr>
              <w:t xml:space="preserve">P </w:t>
            </w:r>
            <w:r>
              <w:rPr>
                <w:spacing w:val="-2"/>
                <w:sz w:val="21"/>
              </w:rPr>
              <w:t>value</w:t>
            </w:r>
          </w:p>
        </w:tc>
      </w:tr>
      <w:tr w:rsidR="00EB51EF" w14:paraId="43F2EA90" w14:textId="77777777" w:rsidTr="00355DA0">
        <w:trPr>
          <w:trHeight w:val="396"/>
        </w:trPr>
        <w:tc>
          <w:tcPr>
            <w:tcW w:w="2086" w:type="pct"/>
            <w:tcBorders>
              <w:top w:val="single" w:sz="12" w:space="0" w:color="000000"/>
            </w:tcBorders>
          </w:tcPr>
          <w:p w14:paraId="7AB63923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Intercept</w:t>
            </w:r>
          </w:p>
        </w:tc>
        <w:tc>
          <w:tcPr>
            <w:tcW w:w="1685" w:type="pct"/>
            <w:tcBorders>
              <w:top w:val="single" w:sz="12" w:space="0" w:color="000000"/>
            </w:tcBorders>
          </w:tcPr>
          <w:p w14:paraId="0AD0D6B7" w14:textId="77777777" w:rsidR="00EB51EF" w:rsidRDefault="00EB51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9" w:type="pct"/>
            <w:tcBorders>
              <w:top w:val="single" w:sz="12" w:space="0" w:color="000000"/>
            </w:tcBorders>
          </w:tcPr>
          <w:p w14:paraId="08C9E215" w14:textId="77777777" w:rsidR="00EB51EF" w:rsidRDefault="00EB51EF">
            <w:pPr>
              <w:pStyle w:val="TableParagraph"/>
              <w:ind w:left="54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&lt;0.001</w:t>
            </w:r>
          </w:p>
        </w:tc>
      </w:tr>
      <w:tr w:rsidR="00EB51EF" w14:paraId="099F0DAC" w14:textId="77777777" w:rsidTr="00355DA0">
        <w:trPr>
          <w:trHeight w:val="397"/>
        </w:trPr>
        <w:tc>
          <w:tcPr>
            <w:tcW w:w="2086" w:type="pct"/>
          </w:tcPr>
          <w:p w14:paraId="591D7339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Age,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y</w:t>
            </w:r>
          </w:p>
        </w:tc>
        <w:tc>
          <w:tcPr>
            <w:tcW w:w="1685" w:type="pct"/>
          </w:tcPr>
          <w:p w14:paraId="231E5C04" w14:textId="14CBAE7F" w:rsidR="00EB51EF" w:rsidRDefault="00EB51EF">
            <w:pPr>
              <w:pStyle w:val="TableParagraph"/>
              <w:ind w:left="372"/>
              <w:rPr>
                <w:sz w:val="21"/>
              </w:rPr>
            </w:pPr>
            <w:r>
              <w:rPr>
                <w:sz w:val="21"/>
              </w:rPr>
              <w:t>1.011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BB5C6D">
              <w:rPr>
                <w:sz w:val="21"/>
              </w:rPr>
              <w:t>1.009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1.0</w:t>
            </w:r>
            <w:r w:rsidR="00BB5C6D">
              <w:rPr>
                <w:spacing w:val="-2"/>
                <w:sz w:val="21"/>
              </w:rPr>
              <w:t>27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229" w:type="pct"/>
          </w:tcPr>
          <w:p w14:paraId="5EBCBCAC" w14:textId="77777777" w:rsidR="00EB51EF" w:rsidRDefault="00EB51EF">
            <w:pPr>
              <w:pStyle w:val="TableParagraph"/>
              <w:ind w:left="624"/>
              <w:rPr>
                <w:sz w:val="21"/>
              </w:rPr>
            </w:pPr>
            <w:r>
              <w:rPr>
                <w:spacing w:val="-2"/>
                <w:sz w:val="21"/>
              </w:rPr>
              <w:t>0.382</w:t>
            </w:r>
          </w:p>
        </w:tc>
      </w:tr>
      <w:tr w:rsidR="00EB51EF" w14:paraId="0835FF37" w14:textId="77777777" w:rsidTr="00355DA0">
        <w:trPr>
          <w:trHeight w:val="397"/>
        </w:trPr>
        <w:tc>
          <w:tcPr>
            <w:tcW w:w="2086" w:type="pct"/>
          </w:tcPr>
          <w:p w14:paraId="35DC2446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Male</w:t>
            </w:r>
          </w:p>
        </w:tc>
        <w:tc>
          <w:tcPr>
            <w:tcW w:w="1685" w:type="pct"/>
          </w:tcPr>
          <w:p w14:paraId="16F91B75" w14:textId="177A4851" w:rsidR="00EB51EF" w:rsidRDefault="00BB5C6D">
            <w:pPr>
              <w:pStyle w:val="TableParagraph"/>
              <w:ind w:left="313"/>
              <w:rPr>
                <w:sz w:val="21"/>
              </w:rPr>
            </w:pPr>
            <w:r>
              <w:rPr>
                <w:sz w:val="21"/>
              </w:rPr>
              <w:t>2.192</w:t>
            </w:r>
            <w:r w:rsidR="00EB51EF">
              <w:rPr>
                <w:spacing w:val="-2"/>
                <w:sz w:val="21"/>
              </w:rPr>
              <w:t xml:space="preserve"> </w:t>
            </w:r>
            <w:r w:rsidR="00EB51EF">
              <w:rPr>
                <w:sz w:val="21"/>
              </w:rPr>
              <w:t>(1.</w:t>
            </w:r>
            <w:r>
              <w:rPr>
                <w:sz w:val="21"/>
              </w:rPr>
              <w:t>084</w:t>
            </w:r>
            <w:r w:rsidR="00EB51EF">
              <w:rPr>
                <w:sz w:val="21"/>
              </w:rPr>
              <w:t>,</w:t>
            </w:r>
            <w:r w:rsidR="00EB51EF"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3.666</w:t>
            </w:r>
            <w:r w:rsidR="00EB51EF">
              <w:rPr>
                <w:spacing w:val="-2"/>
                <w:sz w:val="21"/>
              </w:rPr>
              <w:t>)</w:t>
            </w:r>
          </w:p>
        </w:tc>
        <w:tc>
          <w:tcPr>
            <w:tcW w:w="1229" w:type="pct"/>
          </w:tcPr>
          <w:p w14:paraId="6D9F02A9" w14:textId="77777777" w:rsidR="00EB51EF" w:rsidRDefault="00EB51EF">
            <w:pPr>
              <w:pStyle w:val="TableParagraph"/>
              <w:ind w:left="624"/>
              <w:rPr>
                <w:sz w:val="21"/>
              </w:rPr>
            </w:pPr>
            <w:r>
              <w:rPr>
                <w:spacing w:val="-2"/>
                <w:sz w:val="21"/>
              </w:rPr>
              <w:t>0.053</w:t>
            </w:r>
          </w:p>
        </w:tc>
      </w:tr>
      <w:tr w:rsidR="00EB51EF" w14:paraId="7A4F90FA" w14:textId="77777777" w:rsidTr="00355DA0">
        <w:trPr>
          <w:trHeight w:val="397"/>
        </w:trPr>
        <w:tc>
          <w:tcPr>
            <w:tcW w:w="2086" w:type="pct"/>
          </w:tcPr>
          <w:p w14:paraId="1A8C9129" w14:textId="77777777" w:rsidR="00EB51EF" w:rsidRDefault="00EB51EF">
            <w:pPr>
              <w:pStyle w:val="TableParagraph"/>
              <w:rPr>
                <w:sz w:val="14"/>
              </w:rPr>
            </w:pPr>
            <w:r>
              <w:rPr>
                <w:sz w:val="21"/>
              </w:rPr>
              <w:t>VAT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area,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cm</w:t>
            </w:r>
            <w:r>
              <w:rPr>
                <w:spacing w:val="-5"/>
                <w:position w:val="5"/>
                <w:sz w:val="14"/>
              </w:rPr>
              <w:t>2</w:t>
            </w:r>
          </w:p>
        </w:tc>
        <w:tc>
          <w:tcPr>
            <w:tcW w:w="1685" w:type="pct"/>
          </w:tcPr>
          <w:p w14:paraId="10004A8D" w14:textId="6EB45CFA" w:rsidR="00EB51EF" w:rsidRDefault="00EB51EF">
            <w:pPr>
              <w:pStyle w:val="TableParagraph"/>
              <w:ind w:left="372"/>
              <w:rPr>
                <w:sz w:val="21"/>
              </w:rPr>
            </w:pPr>
            <w:r>
              <w:rPr>
                <w:sz w:val="21"/>
              </w:rPr>
              <w:t>1.0</w:t>
            </w:r>
            <w:r w:rsidR="00BB5C6D">
              <w:rPr>
                <w:sz w:val="21"/>
              </w:rPr>
              <w:t>33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(0.</w:t>
            </w:r>
            <w:r w:rsidR="00BB5C6D">
              <w:rPr>
                <w:sz w:val="21"/>
              </w:rPr>
              <w:t>998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1.0</w:t>
            </w:r>
            <w:r w:rsidR="00BB5C6D">
              <w:rPr>
                <w:spacing w:val="-2"/>
                <w:sz w:val="21"/>
              </w:rPr>
              <w:t>6</w:t>
            </w:r>
            <w:r>
              <w:rPr>
                <w:spacing w:val="-2"/>
                <w:sz w:val="21"/>
              </w:rPr>
              <w:t>8)</w:t>
            </w:r>
          </w:p>
        </w:tc>
        <w:tc>
          <w:tcPr>
            <w:tcW w:w="1229" w:type="pct"/>
          </w:tcPr>
          <w:p w14:paraId="7638C0F6" w14:textId="77777777" w:rsidR="00EB51EF" w:rsidRDefault="00EB51EF">
            <w:pPr>
              <w:pStyle w:val="TableParagraph"/>
              <w:ind w:left="624"/>
              <w:rPr>
                <w:sz w:val="21"/>
              </w:rPr>
            </w:pPr>
            <w:r>
              <w:rPr>
                <w:spacing w:val="-2"/>
                <w:sz w:val="21"/>
              </w:rPr>
              <w:t>0.065</w:t>
            </w:r>
          </w:p>
        </w:tc>
      </w:tr>
      <w:tr w:rsidR="00EB51EF" w14:paraId="42D54C75" w14:textId="77777777" w:rsidTr="00355DA0">
        <w:trPr>
          <w:trHeight w:val="396"/>
        </w:trPr>
        <w:tc>
          <w:tcPr>
            <w:tcW w:w="2086" w:type="pct"/>
          </w:tcPr>
          <w:p w14:paraId="5979D183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Diabetes</w:t>
            </w:r>
          </w:p>
        </w:tc>
        <w:tc>
          <w:tcPr>
            <w:tcW w:w="1685" w:type="pct"/>
          </w:tcPr>
          <w:p w14:paraId="68600725" w14:textId="118E4CB9" w:rsidR="00EB51EF" w:rsidRDefault="00EB51EF">
            <w:pPr>
              <w:pStyle w:val="TableParagraph"/>
              <w:ind w:left="372"/>
              <w:rPr>
                <w:sz w:val="21"/>
              </w:rPr>
            </w:pPr>
            <w:r>
              <w:rPr>
                <w:sz w:val="21"/>
              </w:rPr>
              <w:t>1.</w:t>
            </w:r>
            <w:r w:rsidR="00BB5C6D">
              <w:rPr>
                <w:sz w:val="21"/>
              </w:rPr>
              <w:t>126</w:t>
            </w:r>
            <w:r w:rsidR="00BB5C6D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(0.3</w:t>
            </w:r>
            <w:r w:rsidR="00BB5C6D">
              <w:rPr>
                <w:sz w:val="21"/>
              </w:rPr>
              <w:t>89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 w:rsidR="00BB5C6D">
              <w:rPr>
                <w:spacing w:val="-2"/>
                <w:sz w:val="21"/>
              </w:rPr>
              <w:t>2.330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229" w:type="pct"/>
          </w:tcPr>
          <w:p w14:paraId="46FF14FF" w14:textId="77777777" w:rsidR="00EB51EF" w:rsidRDefault="00EB51EF">
            <w:pPr>
              <w:pStyle w:val="TableParagraph"/>
              <w:ind w:left="624"/>
              <w:rPr>
                <w:sz w:val="21"/>
              </w:rPr>
            </w:pPr>
            <w:r>
              <w:rPr>
                <w:spacing w:val="-2"/>
                <w:sz w:val="21"/>
              </w:rPr>
              <w:t>0.799</w:t>
            </w:r>
          </w:p>
        </w:tc>
      </w:tr>
      <w:tr w:rsidR="00EB51EF" w14:paraId="0912CAF7" w14:textId="77777777" w:rsidTr="00355DA0">
        <w:trPr>
          <w:trHeight w:val="396"/>
        </w:trPr>
        <w:tc>
          <w:tcPr>
            <w:tcW w:w="2086" w:type="pct"/>
          </w:tcPr>
          <w:p w14:paraId="0BE30BD5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Hypertension</w:t>
            </w:r>
          </w:p>
        </w:tc>
        <w:tc>
          <w:tcPr>
            <w:tcW w:w="1685" w:type="pct"/>
          </w:tcPr>
          <w:p w14:paraId="45FFAC49" w14:textId="22B0BC2E" w:rsidR="00EB51EF" w:rsidRDefault="00EB51EF">
            <w:pPr>
              <w:pStyle w:val="TableParagraph"/>
              <w:ind w:left="372"/>
              <w:rPr>
                <w:sz w:val="21"/>
              </w:rPr>
            </w:pPr>
            <w:r>
              <w:rPr>
                <w:sz w:val="21"/>
              </w:rPr>
              <w:t>1.</w:t>
            </w:r>
            <w:r w:rsidR="00BB5C6D">
              <w:rPr>
                <w:sz w:val="21"/>
              </w:rPr>
              <w:t>083</w:t>
            </w:r>
            <w:r w:rsidR="00BB5C6D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(0.</w:t>
            </w:r>
            <w:r w:rsidR="00BB5C6D">
              <w:rPr>
                <w:sz w:val="21"/>
              </w:rPr>
              <w:t>514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 w:rsidR="00BB5C6D">
              <w:rPr>
                <w:spacing w:val="-2"/>
                <w:sz w:val="21"/>
              </w:rPr>
              <w:t>1.952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229" w:type="pct"/>
          </w:tcPr>
          <w:p w14:paraId="7C8157D0" w14:textId="77777777" w:rsidR="00EB51EF" w:rsidRDefault="00EB51EF">
            <w:pPr>
              <w:pStyle w:val="TableParagraph"/>
              <w:ind w:left="624"/>
              <w:rPr>
                <w:sz w:val="21"/>
              </w:rPr>
            </w:pPr>
            <w:r>
              <w:rPr>
                <w:spacing w:val="-2"/>
                <w:sz w:val="21"/>
              </w:rPr>
              <w:t>0.819</w:t>
            </w:r>
          </w:p>
        </w:tc>
      </w:tr>
      <w:tr w:rsidR="00EB51EF" w14:paraId="47ED6296" w14:textId="77777777" w:rsidTr="00355DA0">
        <w:trPr>
          <w:trHeight w:val="397"/>
        </w:trPr>
        <w:tc>
          <w:tcPr>
            <w:tcW w:w="2086" w:type="pct"/>
          </w:tcPr>
          <w:p w14:paraId="310117B5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Blunt</w:t>
            </w:r>
            <w:r>
              <w:rPr>
                <w:spacing w:val="-2"/>
                <w:sz w:val="21"/>
              </w:rPr>
              <w:t xml:space="preserve"> trauma</w:t>
            </w:r>
          </w:p>
        </w:tc>
        <w:tc>
          <w:tcPr>
            <w:tcW w:w="1685" w:type="pct"/>
          </w:tcPr>
          <w:p w14:paraId="595832AC" w14:textId="34FC8F2D" w:rsidR="00EB51EF" w:rsidRDefault="003E02C2">
            <w:pPr>
              <w:pStyle w:val="TableParagraph"/>
              <w:ind w:left="314"/>
              <w:rPr>
                <w:sz w:val="21"/>
              </w:rPr>
            </w:pPr>
            <w:r>
              <w:rPr>
                <w:sz w:val="21"/>
              </w:rPr>
              <w:t>2.123</w:t>
            </w:r>
            <w:r w:rsidR="00EB51EF">
              <w:rPr>
                <w:spacing w:val="-2"/>
                <w:sz w:val="21"/>
              </w:rPr>
              <w:t xml:space="preserve"> </w:t>
            </w:r>
            <w:r w:rsidR="00EB51EF">
              <w:rPr>
                <w:sz w:val="21"/>
              </w:rPr>
              <w:t>(0.</w:t>
            </w:r>
            <w:r>
              <w:rPr>
                <w:sz w:val="21"/>
              </w:rPr>
              <w:t>804</w:t>
            </w:r>
            <w:r w:rsidR="00EB51EF">
              <w:rPr>
                <w:sz w:val="21"/>
              </w:rPr>
              <w:t>,</w:t>
            </w:r>
            <w:r w:rsidR="00EB51EF"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4.022</w:t>
            </w:r>
            <w:r w:rsidR="00EB51EF">
              <w:rPr>
                <w:spacing w:val="-2"/>
                <w:sz w:val="21"/>
              </w:rPr>
              <w:t>)</w:t>
            </w:r>
          </w:p>
        </w:tc>
        <w:tc>
          <w:tcPr>
            <w:tcW w:w="1229" w:type="pct"/>
          </w:tcPr>
          <w:p w14:paraId="279CDD95" w14:textId="77777777" w:rsidR="00EB51EF" w:rsidRDefault="00EB51EF">
            <w:pPr>
              <w:pStyle w:val="TableParagraph"/>
              <w:ind w:left="624"/>
              <w:rPr>
                <w:sz w:val="21"/>
              </w:rPr>
            </w:pPr>
            <w:r>
              <w:rPr>
                <w:spacing w:val="-2"/>
                <w:sz w:val="21"/>
              </w:rPr>
              <w:t>0.166</w:t>
            </w:r>
          </w:p>
        </w:tc>
      </w:tr>
      <w:tr w:rsidR="00EB51EF" w14:paraId="2DC08BF0" w14:textId="77777777" w:rsidTr="00355DA0">
        <w:trPr>
          <w:trHeight w:val="397"/>
        </w:trPr>
        <w:tc>
          <w:tcPr>
            <w:tcW w:w="2086" w:type="pct"/>
          </w:tcPr>
          <w:p w14:paraId="78EBFCF0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score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abdomen,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point</w:t>
            </w:r>
          </w:p>
        </w:tc>
        <w:tc>
          <w:tcPr>
            <w:tcW w:w="1685" w:type="pct"/>
          </w:tcPr>
          <w:p w14:paraId="7015175D" w14:textId="67F01987" w:rsidR="00EB51EF" w:rsidRDefault="00EB51EF">
            <w:pPr>
              <w:pStyle w:val="TableParagraph"/>
              <w:ind w:left="373"/>
              <w:rPr>
                <w:sz w:val="21"/>
              </w:rPr>
            </w:pPr>
            <w:r>
              <w:rPr>
                <w:sz w:val="21"/>
              </w:rPr>
              <w:t>1.</w:t>
            </w:r>
            <w:r w:rsidR="003E02C2">
              <w:rPr>
                <w:sz w:val="21"/>
              </w:rPr>
              <w:t>352</w:t>
            </w:r>
            <w:r w:rsidR="003E02C2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(1.</w:t>
            </w:r>
            <w:r w:rsidR="003E02C2">
              <w:rPr>
                <w:sz w:val="21"/>
              </w:rPr>
              <w:t>056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 w:rsidR="003E02C2">
              <w:rPr>
                <w:spacing w:val="-2"/>
                <w:sz w:val="21"/>
              </w:rPr>
              <w:t>1.724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229" w:type="pct"/>
          </w:tcPr>
          <w:p w14:paraId="742E42AB" w14:textId="77777777" w:rsidR="00EB51EF" w:rsidRDefault="00EB51EF">
            <w:pPr>
              <w:pStyle w:val="TableParagraph"/>
              <w:ind w:left="6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0.022</w:t>
            </w:r>
          </w:p>
        </w:tc>
      </w:tr>
      <w:tr w:rsidR="00EB51EF" w14:paraId="5B58882E" w14:textId="77777777" w:rsidTr="00355DA0">
        <w:trPr>
          <w:trHeight w:val="397"/>
        </w:trPr>
        <w:tc>
          <w:tcPr>
            <w:tcW w:w="2086" w:type="pct"/>
          </w:tcPr>
          <w:p w14:paraId="4EC54CBB" w14:textId="77777777" w:rsidR="00EB51EF" w:rsidRDefault="00EB51EF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PRBCs</w:t>
            </w:r>
            <w:r>
              <w:rPr>
                <w:position w:val="5"/>
                <w:sz w:val="14"/>
              </w:rPr>
              <w:t>a</w:t>
            </w:r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unit</w:t>
            </w:r>
          </w:p>
        </w:tc>
        <w:tc>
          <w:tcPr>
            <w:tcW w:w="1685" w:type="pct"/>
          </w:tcPr>
          <w:p w14:paraId="3EF45A2E" w14:textId="03A6E6E1" w:rsidR="00EB51EF" w:rsidRDefault="00EB51EF">
            <w:pPr>
              <w:pStyle w:val="TableParagraph"/>
              <w:ind w:left="372"/>
              <w:rPr>
                <w:sz w:val="21"/>
              </w:rPr>
            </w:pPr>
            <w:r>
              <w:rPr>
                <w:sz w:val="21"/>
              </w:rPr>
              <w:t>1.</w:t>
            </w:r>
            <w:r w:rsidR="003E02C2">
              <w:rPr>
                <w:sz w:val="21"/>
              </w:rPr>
              <w:t>132</w:t>
            </w:r>
            <w:r w:rsidR="003E02C2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(1.0</w:t>
            </w:r>
            <w:r w:rsidR="003E02C2">
              <w:rPr>
                <w:sz w:val="21"/>
              </w:rPr>
              <w:t>47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</w:t>
            </w:r>
            <w:r w:rsidR="003E02C2">
              <w:rPr>
                <w:spacing w:val="-2"/>
                <w:sz w:val="21"/>
              </w:rPr>
              <w:t>231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229" w:type="pct"/>
          </w:tcPr>
          <w:p w14:paraId="3F347AD1" w14:textId="77777777" w:rsidR="00EB51EF" w:rsidRDefault="00EB51EF">
            <w:pPr>
              <w:pStyle w:val="TableParagraph"/>
              <w:ind w:left="6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0.003</w:t>
            </w:r>
          </w:p>
        </w:tc>
      </w:tr>
      <w:tr w:rsidR="00EB51EF" w14:paraId="79658752" w14:textId="77777777" w:rsidTr="00355DA0">
        <w:trPr>
          <w:trHeight w:val="397"/>
        </w:trPr>
        <w:tc>
          <w:tcPr>
            <w:tcW w:w="2086" w:type="pct"/>
          </w:tcPr>
          <w:p w14:paraId="6E6D27E5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0.9%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NaCl</w:t>
            </w:r>
            <w:r>
              <w:rPr>
                <w:position w:val="5"/>
                <w:sz w:val="14"/>
              </w:rPr>
              <w:t>a</w:t>
            </w:r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L</w:t>
            </w:r>
          </w:p>
        </w:tc>
        <w:tc>
          <w:tcPr>
            <w:tcW w:w="1685" w:type="pct"/>
          </w:tcPr>
          <w:p w14:paraId="64245C9C" w14:textId="57AA07F1" w:rsidR="00EB51EF" w:rsidRDefault="00EB51EF">
            <w:pPr>
              <w:pStyle w:val="TableParagraph"/>
              <w:ind w:left="372"/>
              <w:rPr>
                <w:sz w:val="21"/>
              </w:rPr>
            </w:pPr>
            <w:r>
              <w:rPr>
                <w:sz w:val="21"/>
              </w:rPr>
              <w:t>1.</w:t>
            </w:r>
            <w:r w:rsidR="003E02C2">
              <w:rPr>
                <w:sz w:val="21"/>
              </w:rPr>
              <w:t>027</w:t>
            </w:r>
            <w:r w:rsidR="003E02C2"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(0.</w:t>
            </w:r>
            <w:r w:rsidR="003E02C2">
              <w:rPr>
                <w:sz w:val="21"/>
              </w:rPr>
              <w:t>914</w:t>
            </w: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</w:t>
            </w:r>
            <w:r w:rsidR="003E02C2">
              <w:rPr>
                <w:spacing w:val="-2"/>
                <w:sz w:val="21"/>
              </w:rPr>
              <w:t>165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229" w:type="pct"/>
          </w:tcPr>
          <w:p w14:paraId="6201C814" w14:textId="77777777" w:rsidR="00EB51EF" w:rsidRDefault="00EB51EF">
            <w:pPr>
              <w:pStyle w:val="TableParagraph"/>
              <w:ind w:left="624"/>
              <w:rPr>
                <w:sz w:val="21"/>
              </w:rPr>
            </w:pPr>
            <w:r>
              <w:rPr>
                <w:spacing w:val="-2"/>
                <w:sz w:val="21"/>
              </w:rPr>
              <w:t>0.642</w:t>
            </w:r>
          </w:p>
        </w:tc>
      </w:tr>
      <w:tr w:rsidR="00EB51EF" w14:paraId="62F25070" w14:textId="77777777" w:rsidTr="00355DA0">
        <w:trPr>
          <w:trHeight w:val="396"/>
        </w:trPr>
        <w:tc>
          <w:tcPr>
            <w:tcW w:w="2086" w:type="pct"/>
            <w:tcBorders>
              <w:bottom w:val="single" w:sz="12" w:space="0" w:color="000000"/>
            </w:tcBorders>
          </w:tcPr>
          <w:p w14:paraId="47054FBF" w14:textId="77777777" w:rsidR="00EB51EF" w:rsidRDefault="00EB51E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Peak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serum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CK</w:t>
            </w:r>
            <w:r>
              <w:rPr>
                <w:position w:val="5"/>
                <w:sz w:val="14"/>
              </w:rPr>
              <w:t>b</w:t>
            </w:r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U/L</w:t>
            </w:r>
          </w:p>
        </w:tc>
        <w:tc>
          <w:tcPr>
            <w:tcW w:w="1685" w:type="pct"/>
            <w:tcBorders>
              <w:bottom w:val="single" w:sz="12" w:space="0" w:color="000000"/>
            </w:tcBorders>
          </w:tcPr>
          <w:p w14:paraId="4107B9D4" w14:textId="30FF83E4" w:rsidR="00EB51EF" w:rsidRDefault="00EB51EF">
            <w:pPr>
              <w:pStyle w:val="TableParagraph"/>
              <w:ind w:left="372"/>
              <w:rPr>
                <w:sz w:val="21"/>
              </w:rPr>
            </w:pPr>
            <w:r>
              <w:rPr>
                <w:sz w:val="21"/>
              </w:rPr>
              <w:t>1.002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(1.001.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1.00</w:t>
            </w:r>
            <w:r w:rsidR="003E02C2">
              <w:rPr>
                <w:spacing w:val="-2"/>
                <w:sz w:val="21"/>
              </w:rPr>
              <w:t>3</w:t>
            </w:r>
            <w:r>
              <w:rPr>
                <w:spacing w:val="-2"/>
                <w:sz w:val="21"/>
              </w:rPr>
              <w:t>)</w:t>
            </w:r>
          </w:p>
        </w:tc>
        <w:tc>
          <w:tcPr>
            <w:tcW w:w="1229" w:type="pct"/>
            <w:tcBorders>
              <w:bottom w:val="single" w:sz="12" w:space="0" w:color="000000"/>
            </w:tcBorders>
          </w:tcPr>
          <w:p w14:paraId="6070D042" w14:textId="77777777" w:rsidR="00EB51EF" w:rsidRDefault="00EB51EF">
            <w:pPr>
              <w:pStyle w:val="TableParagraph"/>
              <w:ind w:left="6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0.005</w:t>
            </w:r>
          </w:p>
        </w:tc>
      </w:tr>
    </w:tbl>
    <w:p w14:paraId="7CB1D582" w14:textId="7849910C" w:rsidR="00355DA0" w:rsidRDefault="00355DA0">
      <w:pPr>
        <w:pStyle w:val="a3"/>
        <w:spacing w:before="47"/>
      </w:pPr>
      <w:r>
        <w:t>T</w:t>
      </w:r>
      <w:r w:rsidRPr="00355DA0">
        <w:t>he risk ratios</w:t>
      </w:r>
      <w:r>
        <w:t xml:space="preserve"> </w:t>
      </w:r>
      <w:r w:rsidR="00785BDD">
        <w:t xml:space="preserve">above were </w:t>
      </w:r>
      <w:r w:rsidRPr="00355DA0">
        <w:t xml:space="preserve">converted </w:t>
      </w:r>
      <w:r w:rsidR="00785BDD">
        <w:t>from</w:t>
      </w:r>
      <w:r w:rsidRPr="00355DA0">
        <w:t xml:space="preserve"> odds </w:t>
      </w:r>
      <w:r>
        <w:t>r</w:t>
      </w:r>
      <w:r w:rsidRPr="00355DA0">
        <w:t>atios</w:t>
      </w:r>
      <w:r w:rsidR="005F0EFA">
        <w:t xml:space="preserve"> </w:t>
      </w:r>
      <w:r w:rsidR="005F0EFA" w:rsidRPr="005F0EFA">
        <w:t>using the formula by Zhang and Yu</w:t>
      </w:r>
      <w:r w:rsidR="0065001F">
        <w:t xml:space="preserve"> </w:t>
      </w:r>
      <w:r w:rsidR="0065001F">
        <w:fldChar w:fldCharType="begin"/>
      </w:r>
      <w:r w:rsidR="0065001F">
        <w:instrText xml:space="preserve"> ADDIN EN.CITE &lt;EndNote&gt;&lt;Cite&gt;&lt;Author&gt;Zhang&lt;/Author&gt;&lt;Year&gt;1998&lt;/Year&gt;&lt;RecNum&gt;464&lt;/RecNum&gt;&lt;DisplayText&gt;[1]&lt;/DisplayText&gt;&lt;record&gt;&lt;rec-number&gt;464&lt;/rec-number&gt;&lt;foreign-keys&gt;&lt;key app="EN" db-id="awtf0tpwbv2fdhevx00p9pterwvdd9ewped5" timestamp="1675774178"&gt;464&lt;/key&gt;&lt;/foreign-keys&gt;&lt;ref-type name="Journal Article"&gt;17&lt;/ref-type&gt;&lt;contributors&gt;&lt;authors&gt;&lt;author&gt;Zhang, J.&lt;/author&gt;&lt;author&gt;Yu, K. F.&lt;/author&gt;&lt;/authors&gt;&lt;/contributors&gt;&lt;auth-address&gt;Division of Epidemiology, Statistics and Prevention Research, National Institute of Child Health and Human Development, National Institutes of Health, Bethesda, MD 20892-7510, USA. JunvZhang@NIH.GOV&lt;/auth-address&gt;&lt;titles&gt;&lt;title&gt;What&amp;apos;s the relative risk? A method of correcting the odds ratio in cohort studies of common outcomes&lt;/title&gt;&lt;secondary-title&gt;JAMA&lt;/secondary-title&gt;&lt;/titles&gt;&lt;periodical&gt;&lt;full-title&gt;Jama&lt;/full-title&gt;&lt;/periodical&gt;&lt;pages&gt;1690-1&lt;/pages&gt;&lt;volume&gt;280&lt;/volume&gt;&lt;number&gt;19&lt;/number&gt;&lt;keywords&gt;&lt;keyword&gt;Cohort Studies&lt;/keyword&gt;&lt;keyword&gt;*Data Interpretation, Statistical&lt;/keyword&gt;&lt;keyword&gt;Health Services Research/methods&lt;/keyword&gt;&lt;keyword&gt;Hospital Mortality&lt;/keyword&gt;&lt;keyword&gt;Humans&lt;/keyword&gt;&lt;keyword&gt;Logistic Models&lt;/keyword&gt;&lt;keyword&gt;*Odds Ratio&lt;/keyword&gt;&lt;keyword&gt;Outcome Assessment, Health Care/*methods&lt;/keyword&gt;&lt;keyword&gt;*Risk&lt;/keyword&gt;&lt;/keywords&gt;&lt;dates&gt;&lt;year&gt;1998&lt;/year&gt;&lt;pub-dates&gt;&lt;date&gt;Nov 18&lt;/date&gt;&lt;/pub-dates&gt;&lt;/dates&gt;&lt;isbn&gt;0098-7484 (Print)&amp;#xD;0098-7484&lt;/isbn&gt;&lt;accession-num&gt;9832001&lt;/accession-num&gt;&lt;urls&gt;&lt;/urls&gt;&lt;electronic-resource-num&gt;10.1001/jama.280.19.1690&lt;/electronic-resource-num&gt;&lt;remote-database-provider&gt;NLM&lt;/remote-database-provider&gt;&lt;language&gt;eng&lt;/language&gt;&lt;/record&gt;&lt;/Cite&gt;&lt;/EndNote&gt;</w:instrText>
      </w:r>
      <w:r w:rsidR="0065001F">
        <w:fldChar w:fldCharType="separate"/>
      </w:r>
      <w:r w:rsidR="0065001F">
        <w:rPr>
          <w:noProof/>
        </w:rPr>
        <w:t>[1]</w:t>
      </w:r>
      <w:r w:rsidR="0065001F">
        <w:fldChar w:fldCharType="end"/>
      </w:r>
      <w:r w:rsidRPr="00355DA0">
        <w:t>.</w:t>
      </w:r>
    </w:p>
    <w:p w14:paraId="0504B813" w14:textId="0BA965C4" w:rsidR="0057498A" w:rsidRDefault="00AF0631">
      <w:pPr>
        <w:pStyle w:val="a3"/>
        <w:spacing w:before="47"/>
      </w:pPr>
      <w:r>
        <w:t>VAT,</w:t>
      </w:r>
      <w:r>
        <w:rPr>
          <w:spacing w:val="-10"/>
        </w:rPr>
        <w:t xml:space="preserve"> </w:t>
      </w:r>
      <w:r>
        <w:t>visceral</w:t>
      </w:r>
      <w:r>
        <w:rPr>
          <w:spacing w:val="-8"/>
        </w:rPr>
        <w:t xml:space="preserve"> </w:t>
      </w:r>
      <w:r>
        <w:t>adipose</w:t>
      </w:r>
      <w:r>
        <w:rPr>
          <w:spacing w:val="-7"/>
        </w:rPr>
        <w:t xml:space="preserve"> </w:t>
      </w:r>
      <w:r>
        <w:t>tissue;</w:t>
      </w:r>
      <w:r>
        <w:rPr>
          <w:spacing w:val="-8"/>
        </w:rPr>
        <w:t xml:space="preserve"> </w:t>
      </w:r>
      <w:r>
        <w:t>AIS,</w:t>
      </w:r>
      <w:r>
        <w:rPr>
          <w:spacing w:val="-8"/>
        </w:rPr>
        <w:t xml:space="preserve"> </w:t>
      </w:r>
      <w:r>
        <w:t>abbreviated</w:t>
      </w:r>
      <w:r>
        <w:rPr>
          <w:spacing w:val="-8"/>
        </w:rPr>
        <w:t xml:space="preserve"> </w:t>
      </w:r>
      <w:r>
        <w:t>injury</w:t>
      </w:r>
      <w:r>
        <w:rPr>
          <w:spacing w:val="-8"/>
        </w:rPr>
        <w:t xml:space="preserve"> </w:t>
      </w:r>
      <w:r>
        <w:t>scale;</w:t>
      </w:r>
      <w:r>
        <w:rPr>
          <w:spacing w:val="-8"/>
        </w:rPr>
        <w:t xml:space="preserve"> </w:t>
      </w:r>
      <w:r>
        <w:t>PRBCs,</w:t>
      </w:r>
      <w:r>
        <w:rPr>
          <w:spacing w:val="-8"/>
        </w:rPr>
        <w:t xml:space="preserve"> </w:t>
      </w:r>
      <w:r>
        <w:t>packed</w:t>
      </w:r>
      <w:r>
        <w:rPr>
          <w:spacing w:val="-8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t>blood</w:t>
      </w:r>
      <w:r>
        <w:rPr>
          <w:spacing w:val="-8"/>
        </w:rPr>
        <w:t xml:space="preserve"> </w:t>
      </w:r>
      <w:r>
        <w:t>cells;</w:t>
      </w:r>
      <w:r>
        <w:rPr>
          <w:spacing w:val="-9"/>
        </w:rPr>
        <w:t xml:space="preserve"> </w:t>
      </w:r>
      <w:r>
        <w:t>CK,</w:t>
      </w:r>
      <w:r>
        <w:rPr>
          <w:spacing w:val="-9"/>
        </w:rPr>
        <w:t xml:space="preserve"> </w:t>
      </w:r>
      <w:r>
        <w:t>creatine</w:t>
      </w:r>
      <w:r>
        <w:rPr>
          <w:spacing w:val="-7"/>
        </w:rPr>
        <w:t xml:space="preserve"> </w:t>
      </w:r>
      <w:r>
        <w:rPr>
          <w:spacing w:val="-2"/>
        </w:rPr>
        <w:t>kinase.</w:t>
      </w:r>
    </w:p>
    <w:p w14:paraId="21166D26" w14:textId="1EDE44C6" w:rsidR="0057498A" w:rsidRDefault="00AF0631">
      <w:pPr>
        <w:pStyle w:val="a3"/>
      </w:pPr>
      <w:r>
        <w:rPr>
          <w:position w:val="5"/>
          <w:sz w:val="14"/>
        </w:rPr>
        <w:t>a</w:t>
      </w:r>
      <w:r>
        <w:rPr>
          <w:spacing w:val="11"/>
          <w:position w:val="5"/>
          <w:sz w:val="14"/>
        </w:rPr>
        <w:t xml:space="preserve"> </w:t>
      </w:r>
      <w:r>
        <w:t>Transfused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 w:rsidR="007C7170">
        <w:rPr>
          <w:spacing w:val="-4"/>
        </w:rPr>
        <w:t xml:space="preserve">the </w:t>
      </w:r>
      <w:r>
        <w:t>first</w:t>
      </w:r>
      <w:r>
        <w:rPr>
          <w:spacing w:val="-3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2"/>
        </w:rPr>
        <w:t>admission.</w:t>
      </w:r>
    </w:p>
    <w:p w14:paraId="7465FFC7" w14:textId="77777777" w:rsidR="0057498A" w:rsidRDefault="00AF0631">
      <w:pPr>
        <w:pStyle w:val="a3"/>
      </w:pPr>
      <w:r>
        <w:rPr>
          <w:position w:val="5"/>
          <w:sz w:val="14"/>
        </w:rPr>
        <w:t>b</w:t>
      </w:r>
      <w:r>
        <w:rPr>
          <w:spacing w:val="11"/>
          <w:position w:val="5"/>
          <w:sz w:val="14"/>
        </w:rPr>
        <w:t xml:space="preserve"> </w:t>
      </w:r>
      <w:r>
        <w:t>Measured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2"/>
        </w:rPr>
        <w:t>admission.</w:t>
      </w:r>
    </w:p>
    <w:p w14:paraId="6830951F" w14:textId="77777777" w:rsidR="0065001F" w:rsidRDefault="00AF0631">
      <w:pPr>
        <w:pStyle w:val="a3"/>
        <w:spacing w:before="65"/>
        <w:ind w:left="119"/>
        <w:rPr>
          <w:spacing w:val="-4"/>
        </w:rPr>
      </w:pPr>
      <w:r>
        <w:rPr>
          <w:i/>
        </w:rPr>
        <w:t>P</w:t>
      </w:r>
      <w:r>
        <w:rPr>
          <w:i/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0.05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bold.</w:t>
      </w:r>
    </w:p>
    <w:p w14:paraId="65038239" w14:textId="7D31D36B" w:rsidR="0065001F" w:rsidRDefault="0065001F">
      <w:pPr>
        <w:pStyle w:val="a3"/>
        <w:spacing w:before="65"/>
        <w:ind w:left="119"/>
        <w:rPr>
          <w:spacing w:val="-4"/>
        </w:rPr>
      </w:pPr>
    </w:p>
    <w:p w14:paraId="7B889971" w14:textId="67502AFB" w:rsidR="0065001F" w:rsidRPr="0065001F" w:rsidRDefault="0065001F" w:rsidP="00765DF6">
      <w:pPr>
        <w:pStyle w:val="a3"/>
        <w:spacing w:before="65"/>
        <w:ind w:left="0"/>
        <w:rPr>
          <w:noProof/>
          <w:sz w:val="20"/>
          <w:szCs w:val="22"/>
        </w:rPr>
      </w:pPr>
      <w:r w:rsidRPr="0065001F">
        <w:rPr>
          <w:rFonts w:hint="eastAsia"/>
          <w:noProof/>
          <w:sz w:val="20"/>
          <w:szCs w:val="22"/>
        </w:rPr>
        <w:t>Refer</w:t>
      </w:r>
      <w:r w:rsidRPr="0065001F">
        <w:rPr>
          <w:noProof/>
          <w:sz w:val="20"/>
          <w:szCs w:val="22"/>
        </w:rPr>
        <w:t>ence</w:t>
      </w:r>
    </w:p>
    <w:p w14:paraId="56F63526" w14:textId="77777777" w:rsidR="0065001F" w:rsidRPr="00765DF6" w:rsidRDefault="0065001F" w:rsidP="0065001F">
      <w:pPr>
        <w:pStyle w:val="EndNoteBibliography"/>
        <w:ind w:left="720" w:hanging="720"/>
        <w:rPr>
          <w:color w:val="000000" w:themeColor="text1"/>
        </w:rPr>
      </w:pPr>
      <w:r>
        <w:rPr>
          <w:spacing w:val="-4"/>
        </w:rPr>
        <w:fldChar w:fldCharType="begin"/>
      </w:r>
      <w:r>
        <w:rPr>
          <w:spacing w:val="-4"/>
        </w:rPr>
        <w:instrText xml:space="preserve"> ADDIN EN.REFLIST </w:instrText>
      </w:r>
      <w:r>
        <w:rPr>
          <w:spacing w:val="-4"/>
        </w:rPr>
        <w:fldChar w:fldCharType="separate"/>
      </w:r>
      <w:r w:rsidRPr="00765DF6">
        <w:rPr>
          <w:color w:val="000000" w:themeColor="text1"/>
        </w:rPr>
        <w:t>1.</w:t>
      </w:r>
      <w:r w:rsidRPr="00765DF6">
        <w:rPr>
          <w:color w:val="000000" w:themeColor="text1"/>
        </w:rPr>
        <w:tab/>
        <w:t>Zhang J, Yu KF. What's the relative risk? A method of correcting the odds ratio in cohort studies of common outcomes. JAMA. 1998 Nov 18;280(19):1690-1.</w:t>
      </w:r>
    </w:p>
    <w:p w14:paraId="08125F3F" w14:textId="618D77DD" w:rsidR="0057498A" w:rsidRDefault="0065001F">
      <w:pPr>
        <w:pStyle w:val="a3"/>
        <w:spacing w:before="65"/>
        <w:ind w:left="119"/>
        <w:rPr>
          <w:spacing w:val="-4"/>
        </w:rPr>
      </w:pPr>
      <w:r>
        <w:rPr>
          <w:spacing w:val="-4"/>
        </w:rPr>
        <w:fldChar w:fldCharType="end"/>
      </w:r>
    </w:p>
    <w:p w14:paraId="0B3C5419" w14:textId="4925C877" w:rsidR="00650D3D" w:rsidRDefault="00650D3D" w:rsidP="00650D3D">
      <w:pPr>
        <w:pStyle w:val="a3"/>
        <w:spacing w:before="65"/>
        <w:ind w:left="119"/>
        <w:rPr>
          <w:spacing w:val="-4"/>
        </w:rPr>
      </w:pPr>
    </w:p>
    <w:sectPr w:rsidR="00650D3D">
      <w:headerReference w:type="default" r:id="rId8"/>
      <w:pgSz w:w="11910" w:h="16840"/>
      <w:pgMar w:top="1320" w:right="620" w:bottom="280" w:left="600" w:header="8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62EC" w14:textId="77777777" w:rsidR="00857A22" w:rsidRDefault="00857A22">
      <w:r>
        <w:separator/>
      </w:r>
    </w:p>
  </w:endnote>
  <w:endnote w:type="continuationSeparator" w:id="0">
    <w:p w14:paraId="0F2F0E80" w14:textId="77777777" w:rsidR="00857A22" w:rsidRDefault="0085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F6A0" w14:textId="77777777" w:rsidR="00857A22" w:rsidRDefault="00857A22">
      <w:r>
        <w:separator/>
      </w:r>
    </w:p>
  </w:footnote>
  <w:footnote w:type="continuationSeparator" w:id="0">
    <w:p w14:paraId="0F2E54B2" w14:textId="77777777" w:rsidR="00857A22" w:rsidRDefault="0085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472" w14:textId="25F50F54" w:rsidR="0057498A" w:rsidRDefault="0057498A">
    <w:pPr>
      <w:pStyle w:val="a3"/>
      <w:spacing w:before="0"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3FCC" w14:textId="77777777" w:rsidR="0057498A" w:rsidRDefault="00000000">
    <w:pPr>
      <w:pStyle w:val="a3"/>
      <w:spacing w:before="0" w:line="14" w:lineRule="auto"/>
      <w:ind w:left="0"/>
      <w:rPr>
        <w:sz w:val="20"/>
      </w:rPr>
    </w:pPr>
    <w:r>
      <w:pict w14:anchorId="67E07C6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35pt;margin-top:43.6pt;width:463.7pt;height:16.1pt;z-index:-15982080;mso-position-horizontal-relative:page;mso-position-vertical-relative:page" filled="f" stroked="f">
          <v:textbox style="mso-next-textbox:#docshape2" inset="0,0,0,0">
            <w:txbxContent>
              <w:p w14:paraId="3C7FF81B" w14:textId="5CFD06E7" w:rsidR="0057498A" w:rsidRDefault="0057498A">
                <w:pPr>
                  <w:spacing w:before="2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52C9" w14:textId="77777777" w:rsidR="0057498A" w:rsidRDefault="00000000">
    <w:pPr>
      <w:pStyle w:val="a3"/>
      <w:spacing w:before="0" w:line="14" w:lineRule="auto"/>
      <w:ind w:left="0"/>
      <w:rPr>
        <w:sz w:val="20"/>
      </w:rPr>
    </w:pPr>
    <w:r>
      <w:pict w14:anchorId="2A12134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35pt;margin-top:43.6pt;width:464.25pt;height:16.1pt;z-index:-15981568;mso-position-horizontal-relative:page;mso-position-vertical-relative:page" filled="f" stroked="f">
          <v:textbox inset="0,0,0,0">
            <w:txbxContent>
              <w:p w14:paraId="73E725D6" w14:textId="6EA7D0DB" w:rsidR="0057498A" w:rsidRDefault="0057498A">
                <w:pPr>
                  <w:spacing w:before="2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1MDAxNzAyNzYwNjNW0lEKTi0uzszPAymwqAUAHFPYB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besity Facts&lt;/Style&gt;&lt;LeftDelim&gt;{&lt;/LeftDelim&gt;&lt;RightDelim&gt;}&lt;/RightDelim&gt;&lt;FontName&gt;Cambri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wtf0tpwbv2fdhevx00p9pterwvdd9ewped5&quot;&gt;My EndNote Library&lt;record-ids&gt;&lt;item&gt;464&lt;/item&gt;&lt;/record-ids&gt;&lt;/item&gt;&lt;/Libraries&gt;"/>
  </w:docVars>
  <w:rsids>
    <w:rsidRoot w:val="0057498A"/>
    <w:rsid w:val="000B6688"/>
    <w:rsid w:val="0020128C"/>
    <w:rsid w:val="00251FB1"/>
    <w:rsid w:val="00355DA0"/>
    <w:rsid w:val="003E02C2"/>
    <w:rsid w:val="00561BC3"/>
    <w:rsid w:val="0057498A"/>
    <w:rsid w:val="005F0EFA"/>
    <w:rsid w:val="005F7047"/>
    <w:rsid w:val="0060638F"/>
    <w:rsid w:val="0065001F"/>
    <w:rsid w:val="00650D3D"/>
    <w:rsid w:val="00693DF4"/>
    <w:rsid w:val="00754B67"/>
    <w:rsid w:val="00756EA7"/>
    <w:rsid w:val="00765DF6"/>
    <w:rsid w:val="00785BDD"/>
    <w:rsid w:val="007C7170"/>
    <w:rsid w:val="007D4F96"/>
    <w:rsid w:val="00830251"/>
    <w:rsid w:val="00857A22"/>
    <w:rsid w:val="009F1D55"/>
    <w:rsid w:val="00AF0631"/>
    <w:rsid w:val="00B13160"/>
    <w:rsid w:val="00B23AC6"/>
    <w:rsid w:val="00B83F31"/>
    <w:rsid w:val="00BB5C6D"/>
    <w:rsid w:val="00CB2201"/>
    <w:rsid w:val="00E247FC"/>
    <w:rsid w:val="00E32006"/>
    <w:rsid w:val="00E96456"/>
    <w:rsid w:val="00EB51EF"/>
    <w:rsid w:val="00F153D1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2256E"/>
  <w15:docId w15:val="{432E6FB1-6224-4520-AFCC-3913F7B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66"/>
      <w:ind w:left="120"/>
    </w:pPr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5"/>
      <w:ind w:left="122"/>
    </w:pPr>
  </w:style>
  <w:style w:type="paragraph" w:styleId="a6">
    <w:name w:val="header"/>
    <w:basedOn w:val="a"/>
    <w:link w:val="a7"/>
    <w:uiPriority w:val="99"/>
    <w:unhideWhenUsed/>
    <w:rsid w:val="00E32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32006"/>
    <w:rPr>
      <w:rFonts w:ascii="Cambria" w:eastAsia="Cambria" w:hAnsi="Cambria" w:cs="Cambri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320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32006"/>
    <w:rPr>
      <w:rFonts w:ascii="Cambria" w:eastAsia="Cambria" w:hAnsi="Cambria" w:cs="Cambria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E32006"/>
    <w:rPr>
      <w:rFonts w:asciiTheme="majorHAnsi" w:eastAsia="黑体" w:hAnsiTheme="majorHAnsi" w:cstheme="majorBidi"/>
      <w:sz w:val="20"/>
      <w:szCs w:val="20"/>
    </w:rPr>
  </w:style>
  <w:style w:type="paragraph" w:styleId="ab">
    <w:name w:val="Revision"/>
    <w:hidden/>
    <w:uiPriority w:val="99"/>
    <w:semiHidden/>
    <w:rsid w:val="00EB51EF"/>
    <w:pPr>
      <w:widowControl/>
      <w:autoSpaceDE/>
      <w:autoSpaceDN/>
    </w:pPr>
    <w:rPr>
      <w:rFonts w:ascii="Cambria" w:eastAsia="Cambria" w:hAnsi="Cambria" w:cs="Cambria"/>
    </w:rPr>
  </w:style>
  <w:style w:type="paragraph" w:customStyle="1" w:styleId="EndNoteBibliographyTitle">
    <w:name w:val="EndNote Bibliography Title"/>
    <w:basedOn w:val="a"/>
    <w:link w:val="EndNoteBibliographyTitle0"/>
    <w:rsid w:val="0065001F"/>
    <w:pPr>
      <w:jc w:val="center"/>
    </w:pPr>
    <w:rPr>
      <w:noProof/>
      <w:sz w:val="20"/>
    </w:rPr>
  </w:style>
  <w:style w:type="character" w:customStyle="1" w:styleId="a4">
    <w:name w:val="正文文本 字符"/>
    <w:basedOn w:val="a0"/>
    <w:link w:val="a3"/>
    <w:uiPriority w:val="1"/>
    <w:rsid w:val="0065001F"/>
    <w:rPr>
      <w:rFonts w:ascii="Cambria" w:eastAsia="Cambria" w:hAnsi="Cambria" w:cs="Cambria"/>
      <w:sz w:val="21"/>
      <w:szCs w:val="21"/>
    </w:rPr>
  </w:style>
  <w:style w:type="character" w:customStyle="1" w:styleId="EndNoteBibliographyTitle0">
    <w:name w:val="EndNote Bibliography Title 字符"/>
    <w:basedOn w:val="a4"/>
    <w:link w:val="EndNoteBibliographyTitle"/>
    <w:rsid w:val="0065001F"/>
    <w:rPr>
      <w:rFonts w:ascii="Cambria" w:eastAsia="Cambria" w:hAnsi="Cambria" w:cs="Cambria"/>
      <w:noProof/>
      <w:sz w:val="20"/>
      <w:szCs w:val="21"/>
    </w:rPr>
  </w:style>
  <w:style w:type="paragraph" w:customStyle="1" w:styleId="EndNoteBibliography">
    <w:name w:val="EndNote Bibliography"/>
    <w:basedOn w:val="a"/>
    <w:link w:val="EndNoteBibliography0"/>
    <w:rsid w:val="0065001F"/>
    <w:rPr>
      <w:noProof/>
      <w:sz w:val="20"/>
    </w:rPr>
  </w:style>
  <w:style w:type="character" w:customStyle="1" w:styleId="EndNoteBibliography0">
    <w:name w:val="EndNote Bibliography 字符"/>
    <w:basedOn w:val="a4"/>
    <w:link w:val="EndNoteBibliography"/>
    <w:rsid w:val="0065001F"/>
    <w:rPr>
      <w:rFonts w:ascii="Cambria" w:eastAsia="Cambria" w:hAnsi="Cambria" w:cs="Cambria"/>
      <w:noProof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a1670035237@163.com</dc:creator>
  <dc:description/>
  <cp:lastModifiedBy>李 江</cp:lastModifiedBy>
  <cp:revision>19</cp:revision>
  <dcterms:created xsi:type="dcterms:W3CDTF">2022-07-06T11:27:00Z</dcterms:created>
  <dcterms:modified xsi:type="dcterms:W3CDTF">2023-02-10T13:24:00Z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D:20211229015906</vt:lpwstr>
  </property>
</Properties>
</file>