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781" w:rsidRPr="008D1781" w:rsidRDefault="008D1781" w:rsidP="008D1781">
      <w:pPr>
        <w:pStyle w:val="Default"/>
        <w:spacing w:line="360" w:lineRule="auto"/>
        <w:rPr>
          <w:rFonts w:ascii="Calibri" w:eastAsia="Times New Roman" w:hAnsi="Calibri" w:cs="Calibri"/>
          <w:b/>
          <w:sz w:val="22"/>
        </w:rPr>
      </w:pPr>
      <w:r w:rsidRPr="008D1781">
        <w:rPr>
          <w:rFonts w:ascii="Calibri" w:eastAsia="Times New Roman" w:hAnsi="Calibri" w:cs="Calibri"/>
          <w:b/>
          <w:sz w:val="22"/>
        </w:rPr>
        <w:t xml:space="preserve">Supplementary information </w:t>
      </w:r>
    </w:p>
    <w:p w:rsidR="008D1781" w:rsidRDefault="008D1781" w:rsidP="008D1781">
      <w:pPr>
        <w:keepNext/>
        <w:spacing w:after="120" w:line="360" w:lineRule="auto"/>
        <w:jc w:val="center"/>
        <w:outlineLvl w:val="1"/>
        <w:rPr>
          <w:rFonts w:ascii="Calibri" w:hAnsi="Calibri"/>
          <w:b/>
          <w:i/>
          <w:sz w:val="28"/>
        </w:rPr>
      </w:pPr>
    </w:p>
    <w:p w:rsidR="008D1781" w:rsidRPr="008D1781" w:rsidRDefault="008D1781" w:rsidP="008D1781">
      <w:pPr>
        <w:keepNext/>
        <w:spacing w:after="120" w:line="360" w:lineRule="auto"/>
        <w:jc w:val="center"/>
        <w:outlineLvl w:val="1"/>
        <w:rPr>
          <w:rFonts w:ascii="Calibri" w:hAnsi="Calibri"/>
          <w:b/>
          <w:i/>
          <w:sz w:val="28"/>
        </w:rPr>
      </w:pPr>
      <w:r w:rsidRPr="008D1781">
        <w:rPr>
          <w:rFonts w:ascii="Calibri" w:hAnsi="Calibri"/>
          <w:b/>
          <w:i/>
          <w:sz w:val="28"/>
        </w:rPr>
        <w:t>IL-1</w:t>
      </w:r>
      <w:r w:rsidRPr="008D1781">
        <w:rPr>
          <w:rFonts w:ascii="Calibri" w:hAnsi="Calibri" w:cs="Calibri"/>
          <w:b/>
          <w:i/>
          <w:sz w:val="28"/>
        </w:rPr>
        <w:t>β</w:t>
      </w:r>
      <w:r w:rsidRPr="008D1781">
        <w:rPr>
          <w:rFonts w:ascii="Calibri" w:hAnsi="Calibri"/>
          <w:b/>
          <w:i/>
          <w:sz w:val="28"/>
        </w:rPr>
        <w:t xml:space="preserve"> derived Th17 immune responses are a critical factor for neutrophilic-eosinophilic airway inflammation on psychological stress-induced immune tolerance breakdown in mice</w:t>
      </w:r>
    </w:p>
    <w:p w:rsidR="008D1781" w:rsidRPr="008D1781" w:rsidRDefault="008D1781" w:rsidP="008D1781">
      <w:pPr>
        <w:widowControl/>
        <w:spacing w:after="120" w:line="360" w:lineRule="auto"/>
        <w:jc w:val="center"/>
        <w:rPr>
          <w:rFonts w:ascii="Calibri" w:hAnsi="Calibri"/>
        </w:rPr>
      </w:pPr>
      <w:bookmarkStart w:id="0" w:name="_Hlk116289680"/>
      <w:proofErr w:type="spellStart"/>
      <w:r w:rsidRPr="008D1781">
        <w:rPr>
          <w:rFonts w:ascii="Calibri" w:hAnsi="Calibri"/>
        </w:rPr>
        <w:t>Shinsuke</w:t>
      </w:r>
      <w:proofErr w:type="spellEnd"/>
      <w:r w:rsidRPr="008D1781">
        <w:rPr>
          <w:rFonts w:ascii="Calibri" w:hAnsi="Calibri"/>
        </w:rPr>
        <w:t xml:space="preserve"> </w:t>
      </w:r>
      <w:proofErr w:type="spellStart"/>
      <w:r w:rsidRPr="008D1781">
        <w:rPr>
          <w:rFonts w:ascii="Calibri" w:hAnsi="Calibri" w:cs="Calibri"/>
          <w:lang w:eastAsia="de-CH"/>
        </w:rPr>
        <w:t>Sato</w:t>
      </w:r>
      <w:r w:rsidRPr="008D1781">
        <w:rPr>
          <w:rFonts w:ascii="Calibri" w:hAnsi="Calibri" w:cs="Calibri"/>
          <w:vertAlign w:val="superscript"/>
          <w:lang w:eastAsia="de-CH"/>
        </w:rPr>
        <w:t>a,b</w:t>
      </w:r>
      <w:proofErr w:type="spellEnd"/>
      <w:r w:rsidRPr="008D1781">
        <w:rPr>
          <w:rFonts w:ascii="Calibri" w:hAnsi="Calibri"/>
        </w:rPr>
        <w:t xml:space="preserve">, Tasuku </w:t>
      </w:r>
      <w:proofErr w:type="spellStart"/>
      <w:r w:rsidRPr="008D1781">
        <w:rPr>
          <w:rFonts w:ascii="Calibri" w:hAnsi="Calibri" w:cs="Calibri"/>
          <w:lang w:eastAsia="de-CH"/>
        </w:rPr>
        <w:t>Kawano</w:t>
      </w:r>
      <w:r w:rsidRPr="008D1781">
        <w:rPr>
          <w:rFonts w:ascii="Calibri" w:hAnsi="Calibri" w:cs="Calibri"/>
          <w:vertAlign w:val="superscript"/>
          <w:lang w:eastAsia="de-CH"/>
        </w:rPr>
        <w:t>a</w:t>
      </w:r>
      <w:proofErr w:type="spellEnd"/>
      <w:r w:rsidRPr="008D1781">
        <w:rPr>
          <w:rFonts w:ascii="Calibri" w:hAnsi="Calibri"/>
          <w:vertAlign w:val="superscript"/>
        </w:rPr>
        <w:t>*</w:t>
      </w:r>
      <w:r w:rsidRPr="008D1781">
        <w:rPr>
          <w:rFonts w:ascii="Calibri" w:hAnsi="Calibri"/>
        </w:rPr>
        <w:t xml:space="preserve">, </w:t>
      </w:r>
      <w:proofErr w:type="spellStart"/>
      <w:r w:rsidRPr="008D1781">
        <w:rPr>
          <w:rFonts w:ascii="Calibri" w:hAnsi="Calibri"/>
        </w:rPr>
        <w:t>Erina</w:t>
      </w:r>
      <w:proofErr w:type="spellEnd"/>
      <w:r w:rsidRPr="008D1781">
        <w:rPr>
          <w:rFonts w:ascii="Calibri" w:hAnsi="Calibri"/>
        </w:rPr>
        <w:t xml:space="preserve"> </w:t>
      </w:r>
      <w:r w:rsidRPr="008D1781">
        <w:rPr>
          <w:rFonts w:ascii="Calibri" w:hAnsi="Calibri" w:cs="Calibri"/>
          <w:lang w:eastAsia="de-CH"/>
        </w:rPr>
        <w:t>Ike</w:t>
      </w:r>
      <w:r w:rsidRPr="008D1781">
        <w:rPr>
          <w:rFonts w:ascii="Calibri" w:hAnsi="Calibri" w:cs="Calibri"/>
          <w:vertAlign w:val="superscript"/>
          <w:lang w:eastAsia="de-CH"/>
        </w:rPr>
        <w:t>a</w:t>
      </w:r>
      <w:r w:rsidRPr="008D1781">
        <w:rPr>
          <w:rFonts w:ascii="Calibri" w:hAnsi="Calibri"/>
        </w:rPr>
        <w:t xml:space="preserve">, </w:t>
      </w:r>
      <w:proofErr w:type="spellStart"/>
      <w:r w:rsidRPr="008D1781">
        <w:rPr>
          <w:rFonts w:ascii="Calibri" w:hAnsi="Calibri"/>
        </w:rPr>
        <w:t>Kento</w:t>
      </w:r>
      <w:proofErr w:type="spellEnd"/>
      <w:r w:rsidRPr="008D1781">
        <w:rPr>
          <w:rFonts w:ascii="Calibri" w:hAnsi="Calibri"/>
        </w:rPr>
        <w:t xml:space="preserve"> </w:t>
      </w:r>
      <w:proofErr w:type="spellStart"/>
      <w:r w:rsidRPr="008D1781">
        <w:rPr>
          <w:rFonts w:ascii="Calibri" w:hAnsi="Calibri" w:cs="Calibri"/>
          <w:lang w:eastAsia="de-CH"/>
        </w:rPr>
        <w:t>Takahashi</w:t>
      </w:r>
      <w:r w:rsidRPr="008D1781">
        <w:rPr>
          <w:rFonts w:ascii="Calibri" w:hAnsi="Calibri" w:cs="Calibri"/>
          <w:vertAlign w:val="superscript"/>
          <w:lang w:eastAsia="de-CH"/>
        </w:rPr>
        <w:t>a</w:t>
      </w:r>
      <w:proofErr w:type="spellEnd"/>
      <w:r w:rsidRPr="008D1781">
        <w:rPr>
          <w:rFonts w:ascii="Calibri" w:hAnsi="Calibri"/>
        </w:rPr>
        <w:t xml:space="preserve">, </w:t>
      </w:r>
      <w:proofErr w:type="spellStart"/>
      <w:r w:rsidRPr="008D1781">
        <w:rPr>
          <w:rFonts w:ascii="Calibri" w:hAnsi="Calibri"/>
        </w:rPr>
        <w:t>Junji</w:t>
      </w:r>
      <w:proofErr w:type="spellEnd"/>
      <w:r w:rsidRPr="008D1781">
        <w:rPr>
          <w:rFonts w:ascii="Calibri" w:hAnsi="Calibri"/>
        </w:rPr>
        <w:t xml:space="preserve"> </w:t>
      </w:r>
      <w:proofErr w:type="spellStart"/>
      <w:r w:rsidRPr="008D1781">
        <w:rPr>
          <w:rFonts w:ascii="Calibri" w:hAnsi="Calibri"/>
        </w:rPr>
        <w:t>Sakurai</w:t>
      </w:r>
      <w:r w:rsidRPr="008D1781">
        <w:rPr>
          <w:rFonts w:ascii="Calibri" w:hAnsi="Calibri"/>
          <w:vertAlign w:val="superscript"/>
        </w:rPr>
        <w:t>b</w:t>
      </w:r>
      <w:proofErr w:type="spellEnd"/>
      <w:r w:rsidRPr="008D1781">
        <w:rPr>
          <w:rFonts w:ascii="Calibri" w:hAnsi="Calibri"/>
        </w:rPr>
        <w:t xml:space="preserve">, Tomomitsu </w:t>
      </w:r>
      <w:proofErr w:type="spellStart"/>
      <w:r w:rsidRPr="008D1781">
        <w:rPr>
          <w:rFonts w:ascii="Calibri" w:hAnsi="Calibri" w:cs="Calibri"/>
          <w:lang w:eastAsia="de-CH"/>
        </w:rPr>
        <w:t>Miyasaka</w:t>
      </w:r>
      <w:r w:rsidRPr="008D1781">
        <w:rPr>
          <w:rFonts w:ascii="Calibri" w:hAnsi="Calibri" w:cs="Calibri"/>
          <w:vertAlign w:val="superscript"/>
          <w:lang w:eastAsia="de-CH"/>
        </w:rPr>
        <w:t>c</w:t>
      </w:r>
      <w:proofErr w:type="spellEnd"/>
      <w:r w:rsidRPr="008D1781">
        <w:rPr>
          <w:rFonts w:ascii="Calibri" w:hAnsi="Calibri"/>
        </w:rPr>
        <w:t xml:space="preserve">, </w:t>
      </w:r>
      <w:proofErr w:type="spellStart"/>
      <w:r w:rsidRPr="008D1781">
        <w:rPr>
          <w:rFonts w:ascii="Calibri" w:hAnsi="Calibri"/>
        </w:rPr>
        <w:t>Yasuo</w:t>
      </w:r>
      <w:proofErr w:type="spellEnd"/>
      <w:r w:rsidRPr="008D1781">
        <w:rPr>
          <w:rFonts w:ascii="Calibri" w:hAnsi="Calibri"/>
        </w:rPr>
        <w:t xml:space="preserve"> </w:t>
      </w:r>
      <w:proofErr w:type="spellStart"/>
      <w:r w:rsidRPr="008D1781">
        <w:rPr>
          <w:rFonts w:ascii="Calibri" w:hAnsi="Calibri"/>
        </w:rPr>
        <w:t>Miyauchi</w:t>
      </w:r>
      <w:r w:rsidRPr="008D1781">
        <w:rPr>
          <w:rFonts w:ascii="Calibri" w:hAnsi="Calibri"/>
          <w:vertAlign w:val="superscript"/>
        </w:rPr>
        <w:t>b</w:t>
      </w:r>
      <w:proofErr w:type="spellEnd"/>
      <w:r w:rsidRPr="008D1781">
        <w:rPr>
          <w:rFonts w:ascii="Calibri" w:hAnsi="Calibri"/>
        </w:rPr>
        <w:t xml:space="preserve">, Fumiaki </w:t>
      </w:r>
      <w:proofErr w:type="spellStart"/>
      <w:r w:rsidRPr="008D1781">
        <w:rPr>
          <w:rFonts w:ascii="Calibri" w:hAnsi="Calibri"/>
        </w:rPr>
        <w:t>Ishizawa</w:t>
      </w:r>
      <w:r w:rsidRPr="008D1781">
        <w:rPr>
          <w:rFonts w:ascii="Calibri" w:hAnsi="Calibri"/>
          <w:vertAlign w:val="superscript"/>
        </w:rPr>
        <w:t>b</w:t>
      </w:r>
      <w:proofErr w:type="spellEnd"/>
      <w:r w:rsidRPr="008D1781">
        <w:rPr>
          <w:rFonts w:ascii="Calibri" w:hAnsi="Calibri"/>
        </w:rPr>
        <w:t xml:space="preserve">, Motoaki </w:t>
      </w:r>
      <w:proofErr w:type="spellStart"/>
      <w:r w:rsidRPr="008D1781">
        <w:rPr>
          <w:rFonts w:ascii="Calibri" w:hAnsi="Calibri" w:cs="Calibri"/>
          <w:lang w:eastAsia="de-CH"/>
        </w:rPr>
        <w:t>Takayanagi</w:t>
      </w:r>
      <w:r w:rsidRPr="008D1781">
        <w:rPr>
          <w:rFonts w:ascii="Calibri" w:hAnsi="Calibri" w:cs="Calibri"/>
          <w:vertAlign w:val="superscript"/>
          <w:lang w:eastAsia="de-CH"/>
        </w:rPr>
        <w:t>a</w:t>
      </w:r>
      <w:proofErr w:type="spellEnd"/>
      <w:r w:rsidRPr="008D1781">
        <w:rPr>
          <w:rFonts w:ascii="Calibri" w:hAnsi="Calibri"/>
        </w:rPr>
        <w:t xml:space="preserve">, Tomoko </w:t>
      </w:r>
      <w:proofErr w:type="spellStart"/>
      <w:r w:rsidRPr="008D1781">
        <w:rPr>
          <w:rFonts w:ascii="Calibri" w:hAnsi="Calibri" w:cs="Calibri"/>
          <w:lang w:eastAsia="de-CH"/>
        </w:rPr>
        <w:t>Takahashi</w:t>
      </w:r>
      <w:r w:rsidRPr="008D1781">
        <w:rPr>
          <w:rFonts w:ascii="Calibri" w:hAnsi="Calibri" w:cs="Calibri"/>
          <w:vertAlign w:val="superscript"/>
          <w:lang w:eastAsia="de-CH"/>
        </w:rPr>
        <w:t>a</w:t>
      </w:r>
      <w:proofErr w:type="spellEnd"/>
    </w:p>
    <w:bookmarkEnd w:id="0"/>
    <w:p w:rsidR="008D1781" w:rsidRPr="008D1781" w:rsidRDefault="008D1781" w:rsidP="008D1781">
      <w:pPr>
        <w:spacing w:line="360" w:lineRule="auto"/>
        <w:rPr>
          <w:rFonts w:ascii="Calibri" w:hAnsi="Calibri"/>
        </w:rPr>
      </w:pPr>
      <w:r w:rsidRPr="008D1781">
        <w:rPr>
          <w:rFonts w:ascii="Calibri" w:hAnsi="Calibri" w:cs="Calibri"/>
          <w:vertAlign w:val="superscript"/>
          <w:lang w:eastAsia="de-CH"/>
        </w:rPr>
        <w:t>a</w:t>
      </w:r>
      <w:r w:rsidRPr="008D1781">
        <w:rPr>
          <w:rFonts w:ascii="Calibri" w:hAnsi="Calibri"/>
        </w:rPr>
        <w:t xml:space="preserve"> Division of Pathophysiology, Department of Pharmaceutical Sciences, Faculty of Pharmaceutical Sciences, Tohoku Medical and Pharmaceutical University, Sendai, Miyagi, Japan </w:t>
      </w:r>
    </w:p>
    <w:p w:rsidR="008D1781" w:rsidRPr="008D1781" w:rsidRDefault="008D1781" w:rsidP="008D1781">
      <w:pPr>
        <w:spacing w:line="360" w:lineRule="auto"/>
        <w:rPr>
          <w:rFonts w:ascii="Calibri" w:hAnsi="Calibri"/>
        </w:rPr>
      </w:pPr>
      <w:proofErr w:type="gramStart"/>
      <w:r w:rsidRPr="008D1781">
        <w:rPr>
          <w:rFonts w:ascii="Calibri" w:hAnsi="Calibri" w:cs="Calibri"/>
          <w:vertAlign w:val="superscript"/>
          <w:lang w:eastAsia="de-CH"/>
        </w:rPr>
        <w:t>b</w:t>
      </w:r>
      <w:proofErr w:type="gramEnd"/>
      <w:r w:rsidRPr="008D1781">
        <w:rPr>
          <w:rFonts w:ascii="Calibri" w:hAnsi="Calibri"/>
        </w:rPr>
        <w:t xml:space="preserve"> Department of Pharmacy, Tohoku Medical Pharmaceutical University Wakabayashi Hospital, Sendai, Miyagi, Japan</w:t>
      </w:r>
    </w:p>
    <w:p w:rsidR="008D1781" w:rsidRPr="008D1781" w:rsidRDefault="008D1781" w:rsidP="008D1781">
      <w:pPr>
        <w:spacing w:line="360" w:lineRule="auto"/>
        <w:rPr>
          <w:rFonts w:ascii="Calibri" w:hAnsi="Calibri"/>
        </w:rPr>
      </w:pPr>
      <w:r w:rsidRPr="008D1781">
        <w:rPr>
          <w:rFonts w:ascii="Calibri" w:hAnsi="Calibri" w:cs="Calibri"/>
          <w:vertAlign w:val="superscript"/>
          <w:lang w:eastAsia="de-CH"/>
        </w:rPr>
        <w:t>c</w:t>
      </w:r>
      <w:r w:rsidRPr="008D1781">
        <w:rPr>
          <w:rFonts w:ascii="Calibri" w:hAnsi="Calibri"/>
        </w:rPr>
        <w:t xml:space="preserve"> Center for Medical Education, Faculty of Medicine, Tohoku Medical and Pharmaceutical University, Sendai, Miyagi, Japan</w:t>
      </w:r>
    </w:p>
    <w:p w:rsidR="008D1781" w:rsidRDefault="008D1781" w:rsidP="001812F9">
      <w:pPr>
        <w:pStyle w:val="Default"/>
        <w:spacing w:line="360" w:lineRule="auto"/>
        <w:rPr>
          <w:rFonts w:ascii="Times New Roman" w:eastAsiaTheme="minorEastAsia" w:hAnsi="Times New Roman" w:cs="Times New Roman"/>
          <w:b/>
          <w:sz w:val="22"/>
        </w:rPr>
      </w:pPr>
    </w:p>
    <w:p w:rsidR="008D1781" w:rsidRPr="008D1781" w:rsidRDefault="008D1781" w:rsidP="001812F9">
      <w:pPr>
        <w:pStyle w:val="Default"/>
        <w:spacing w:line="360" w:lineRule="auto"/>
        <w:rPr>
          <w:rFonts w:ascii="Times New Roman" w:eastAsiaTheme="minorEastAsia" w:hAnsi="Times New Roman" w:cs="Times New Roman"/>
          <w:b/>
          <w:sz w:val="22"/>
        </w:rPr>
      </w:pPr>
    </w:p>
    <w:p w:rsidR="001812F9" w:rsidRPr="008D1781" w:rsidRDefault="007D72A0" w:rsidP="001812F9">
      <w:pPr>
        <w:pStyle w:val="Default"/>
        <w:spacing w:line="360" w:lineRule="auto"/>
        <w:rPr>
          <w:rFonts w:ascii="Calibri" w:eastAsia="Times New Roman" w:hAnsi="Calibri" w:cs="Calibri"/>
          <w:b/>
        </w:rPr>
      </w:pPr>
      <w:r w:rsidRPr="007D72A0">
        <w:rPr>
          <w:rFonts w:ascii="Calibri" w:eastAsia="Times New Roman" w:hAnsi="Calibri" w:cs="Calibri"/>
          <w:b/>
        </w:rPr>
        <w:t xml:space="preserve">Supplementary </w:t>
      </w:r>
      <w:r w:rsidR="001812F9" w:rsidRPr="008D1781">
        <w:rPr>
          <w:rFonts w:ascii="Calibri" w:eastAsia="Times New Roman" w:hAnsi="Calibri" w:cs="Calibri"/>
          <w:b/>
        </w:rPr>
        <w:t>Material and Methods</w:t>
      </w:r>
    </w:p>
    <w:p w:rsidR="001812F9" w:rsidRPr="008D1781" w:rsidRDefault="001812F9" w:rsidP="001812F9">
      <w:pPr>
        <w:pStyle w:val="Default"/>
        <w:spacing w:line="360" w:lineRule="auto"/>
        <w:rPr>
          <w:rFonts w:ascii="Calibri" w:eastAsia="Times New Roman" w:hAnsi="Calibri" w:cs="Calibri"/>
          <w:i/>
          <w:sz w:val="22"/>
        </w:rPr>
      </w:pPr>
      <w:r w:rsidRPr="008D1781">
        <w:rPr>
          <w:rFonts w:ascii="Calibri" w:eastAsia="Times New Roman" w:hAnsi="Calibri" w:cs="Calibri"/>
          <w:i/>
          <w:sz w:val="22"/>
        </w:rPr>
        <w:t xml:space="preserve">Mice and Protocols for </w:t>
      </w:r>
      <w:proofErr w:type="spellStart"/>
      <w:r w:rsidRPr="008D1781">
        <w:rPr>
          <w:rFonts w:ascii="Calibri" w:eastAsia="Times New Roman" w:hAnsi="Calibri" w:cs="Calibri"/>
          <w:i/>
          <w:sz w:val="22"/>
        </w:rPr>
        <w:t>Tolerization</w:t>
      </w:r>
      <w:proofErr w:type="spellEnd"/>
      <w:r w:rsidRPr="008D1781">
        <w:rPr>
          <w:rFonts w:ascii="Calibri" w:eastAsia="Times New Roman" w:hAnsi="Calibri" w:cs="Calibri"/>
          <w:i/>
          <w:sz w:val="22"/>
        </w:rPr>
        <w:t>, Sensitization, Antigen Challenge, and Stress Exposure</w:t>
      </w:r>
    </w:p>
    <w:p w:rsidR="001812F9" w:rsidRPr="008D1781" w:rsidRDefault="001812F9" w:rsidP="001812F9">
      <w:pPr>
        <w:pStyle w:val="Default"/>
        <w:spacing w:line="360" w:lineRule="auto"/>
        <w:rPr>
          <w:rFonts w:ascii="Calibri" w:eastAsia="Times New Roman" w:hAnsi="Calibri" w:cs="Calibri"/>
          <w:sz w:val="22"/>
        </w:rPr>
      </w:pPr>
      <w:r w:rsidRPr="008D1781">
        <w:rPr>
          <w:rFonts w:ascii="Calibri" w:eastAsia="Times New Roman" w:hAnsi="Calibri" w:cs="Calibri"/>
          <w:sz w:val="22"/>
        </w:rPr>
        <w:t>We used female BALB/c IL-17A knockout (KO) mice (ge</w:t>
      </w:r>
      <w:r w:rsidR="00404084" w:rsidRPr="008D1781">
        <w:rPr>
          <w:rFonts w:ascii="Calibri" w:eastAsia="Times New Roman" w:hAnsi="Calibri" w:cs="Calibri"/>
          <w:sz w:val="22"/>
        </w:rPr>
        <w:t xml:space="preserve">nerated by </w:t>
      </w:r>
      <w:proofErr w:type="spellStart"/>
      <w:r w:rsidR="00404084" w:rsidRPr="008D1781">
        <w:rPr>
          <w:rFonts w:ascii="Calibri" w:eastAsia="Times New Roman" w:hAnsi="Calibri" w:cs="Calibri"/>
          <w:sz w:val="22"/>
        </w:rPr>
        <w:t>Yoichiro</w:t>
      </w:r>
      <w:proofErr w:type="spellEnd"/>
      <w:r w:rsidR="00404084" w:rsidRPr="008D1781">
        <w:rPr>
          <w:rFonts w:ascii="Calibri" w:eastAsia="Times New Roman" w:hAnsi="Calibri" w:cs="Calibri"/>
          <w:sz w:val="22"/>
        </w:rPr>
        <w:t xml:space="preserve"> </w:t>
      </w:r>
      <w:proofErr w:type="spellStart"/>
      <w:r w:rsidR="00404084" w:rsidRPr="008D1781">
        <w:rPr>
          <w:rFonts w:ascii="Calibri" w:eastAsia="Times New Roman" w:hAnsi="Calibri" w:cs="Calibri"/>
          <w:sz w:val="22"/>
        </w:rPr>
        <w:t>Iwakura</w:t>
      </w:r>
      <w:proofErr w:type="spellEnd"/>
      <w:r w:rsidR="00404084" w:rsidRPr="008D1781">
        <w:rPr>
          <w:rFonts w:ascii="Calibri" w:eastAsia="Times New Roman" w:hAnsi="Calibri" w:cs="Calibri"/>
          <w:sz w:val="22"/>
        </w:rPr>
        <w:t>) [30</w:t>
      </w:r>
      <w:r w:rsidRPr="008D1781">
        <w:rPr>
          <w:rFonts w:ascii="Calibri" w:eastAsia="Times New Roman" w:hAnsi="Calibri" w:cs="Calibri"/>
          <w:sz w:val="22"/>
        </w:rPr>
        <w:t>] for the asthma model as described in the Material and Methods section of the manuscript. Mice were housed under a 12-h light/dark cycle at a constant temperature</w:t>
      </w:r>
      <w:r w:rsidRPr="008D1781">
        <w:rPr>
          <w:rFonts w:ascii="Calibri" w:eastAsiaTheme="minorEastAsia" w:hAnsi="Calibri" w:cs="Calibri"/>
          <w:sz w:val="22"/>
        </w:rPr>
        <w:t xml:space="preserve"> of 23±1</w:t>
      </w:r>
      <w:r w:rsidRPr="008D1781">
        <w:rPr>
          <w:rFonts w:ascii="ＭＳ ゴシック" w:eastAsia="ＭＳ ゴシック" w:hAnsi="ＭＳ ゴシック" w:cs="ＭＳ ゴシック" w:hint="eastAsia"/>
          <w:sz w:val="22"/>
        </w:rPr>
        <w:t>℃</w:t>
      </w:r>
      <w:r w:rsidRPr="008D1781">
        <w:rPr>
          <w:rFonts w:ascii="Calibri" w:eastAsia="Times New Roman" w:hAnsi="Calibri" w:cs="Calibri"/>
          <w:sz w:val="22"/>
        </w:rPr>
        <w:t>. Sterilized food and water were provided ad libitum.</w:t>
      </w:r>
      <w:r w:rsidRPr="008D1781" w:rsidDel="00C910A0">
        <w:rPr>
          <w:rFonts w:ascii="Calibri" w:eastAsia="Times New Roman" w:hAnsi="Calibri" w:cs="Calibri"/>
          <w:sz w:val="22"/>
        </w:rPr>
        <w:t xml:space="preserve"> </w:t>
      </w:r>
    </w:p>
    <w:p w:rsidR="001812F9" w:rsidRPr="008D1781" w:rsidRDefault="001812F9" w:rsidP="001812F9">
      <w:pPr>
        <w:pStyle w:val="Default"/>
        <w:spacing w:line="360" w:lineRule="auto"/>
        <w:rPr>
          <w:rFonts w:ascii="Calibri" w:eastAsia="Times New Roman" w:hAnsi="Calibri" w:cs="Calibri"/>
          <w:sz w:val="22"/>
        </w:rPr>
      </w:pPr>
    </w:p>
    <w:p w:rsidR="001812F9" w:rsidRPr="008D1781" w:rsidRDefault="001812F9" w:rsidP="001812F9">
      <w:pPr>
        <w:pStyle w:val="Default"/>
        <w:spacing w:line="360" w:lineRule="auto"/>
        <w:rPr>
          <w:rFonts w:ascii="Calibri" w:eastAsia="Times New Roman" w:hAnsi="Calibri" w:cs="Calibri"/>
          <w:sz w:val="22"/>
        </w:rPr>
      </w:pPr>
    </w:p>
    <w:p w:rsidR="001812F9" w:rsidRPr="008D1781" w:rsidRDefault="001812F9" w:rsidP="001812F9">
      <w:pPr>
        <w:pStyle w:val="Default"/>
        <w:spacing w:line="360" w:lineRule="auto"/>
        <w:rPr>
          <w:rFonts w:ascii="Calibri" w:eastAsia="Times New Roman" w:hAnsi="Calibri" w:cs="Calibri"/>
          <w:b/>
        </w:rPr>
      </w:pPr>
      <w:r w:rsidRPr="008D1781">
        <w:rPr>
          <w:rFonts w:ascii="Calibri" w:eastAsia="Times New Roman" w:hAnsi="Calibri" w:cs="Calibri"/>
          <w:b/>
        </w:rPr>
        <w:lastRenderedPageBreak/>
        <w:t>Supplementary Figure legends</w:t>
      </w:r>
    </w:p>
    <w:p w:rsidR="008D1781" w:rsidRPr="008D1781" w:rsidRDefault="001812F9" w:rsidP="008D1781">
      <w:pPr>
        <w:pStyle w:val="Default"/>
        <w:spacing w:line="360" w:lineRule="auto"/>
        <w:rPr>
          <w:rFonts w:ascii="Calibri" w:eastAsia="Times New Roman" w:hAnsi="Calibri" w:cs="Calibri"/>
          <w:sz w:val="22"/>
        </w:rPr>
      </w:pPr>
      <w:r w:rsidRPr="008D1781">
        <w:rPr>
          <w:rFonts w:ascii="Calibri" w:eastAsia="Times New Roman" w:hAnsi="Calibri" w:cs="Calibri"/>
          <w:sz w:val="22"/>
        </w:rPr>
        <w:t>Fig. S1. IL-17A KO mic</w:t>
      </w:r>
      <w:r w:rsidRPr="008D1781">
        <w:rPr>
          <w:rFonts w:ascii="Calibri" w:eastAsia="Times New Roman" w:hAnsi="Calibri" w:cs="Calibri"/>
          <w:color w:val="auto"/>
          <w:sz w:val="22"/>
        </w:rPr>
        <w:t>e</w:t>
      </w:r>
      <w:r w:rsidR="00357B83" w:rsidRPr="008D1781">
        <w:rPr>
          <w:rFonts w:ascii="Calibri" w:eastAsia="Times New Roman" w:hAnsi="Calibri" w:cs="Calibri"/>
          <w:color w:val="auto"/>
          <w:sz w:val="22"/>
        </w:rPr>
        <w:t xml:space="preserve"> (the BALB/c background)</w:t>
      </w:r>
      <w:r w:rsidRPr="008D1781">
        <w:rPr>
          <w:rFonts w:ascii="Calibri" w:eastAsia="Times New Roman" w:hAnsi="Calibri" w:cs="Calibri"/>
          <w:color w:val="auto"/>
          <w:sz w:val="22"/>
        </w:rPr>
        <w:t xml:space="preserve"> showe</w:t>
      </w:r>
      <w:r w:rsidRPr="008D1781">
        <w:rPr>
          <w:rFonts w:ascii="Calibri" w:eastAsia="Times New Roman" w:hAnsi="Calibri" w:cs="Calibri"/>
          <w:sz w:val="22"/>
        </w:rPr>
        <w:t xml:space="preserve">d decreased neutrophilic inflammation but not eosinophilic inflammation. BAL was collected on day 5 after OVA inhalation from the mice in the four groups. The cells in BAL fluid were stained with a Diff-Quick solution, and cell composition was determined via light microscopy. (A) Schematic representation of the protocols used for </w:t>
      </w:r>
      <w:proofErr w:type="spellStart"/>
      <w:r w:rsidRPr="008D1781">
        <w:rPr>
          <w:rFonts w:ascii="Calibri" w:eastAsia="Times New Roman" w:hAnsi="Calibri" w:cs="Calibri"/>
          <w:sz w:val="22"/>
        </w:rPr>
        <w:t>tolerization</w:t>
      </w:r>
      <w:proofErr w:type="spellEnd"/>
      <w:r w:rsidRPr="008D1781">
        <w:rPr>
          <w:rFonts w:ascii="Calibri" w:eastAsia="Times New Roman" w:hAnsi="Calibri" w:cs="Calibri"/>
          <w:sz w:val="22"/>
        </w:rPr>
        <w:t xml:space="preserve">, stress exposure, sensitization, and antigen challenge. (B) Cell composition in BAL fluid of mice. </w:t>
      </w:r>
    </w:p>
    <w:p w:rsidR="008D1781" w:rsidRDefault="008D1781" w:rsidP="00F719F3">
      <w:pPr>
        <w:pStyle w:val="EndNoteBibliography"/>
        <w:spacing w:line="360" w:lineRule="auto"/>
        <w:ind w:left="720" w:hanging="720"/>
        <w:rPr>
          <w:rFonts w:ascii="Calibri" w:eastAsia="Times New Roman" w:hAnsi="Calibri" w:cs="Calibri"/>
          <w:b/>
          <w:bCs/>
          <w:szCs w:val="26"/>
        </w:rPr>
      </w:pPr>
    </w:p>
    <w:p w:rsidR="008D1781" w:rsidRDefault="008D1781" w:rsidP="00F719F3">
      <w:pPr>
        <w:pStyle w:val="EndNoteBibliography"/>
        <w:spacing w:line="360" w:lineRule="auto"/>
        <w:ind w:left="720" w:hanging="720"/>
        <w:rPr>
          <w:rFonts w:ascii="Calibri" w:eastAsia="Times New Roman" w:hAnsi="Calibri" w:cs="Calibri"/>
          <w:b/>
          <w:bCs/>
          <w:szCs w:val="26"/>
        </w:rPr>
      </w:pPr>
    </w:p>
    <w:p w:rsidR="00F719F3" w:rsidRPr="008D1781" w:rsidRDefault="00F719F3" w:rsidP="00F719F3">
      <w:pPr>
        <w:pStyle w:val="EndNoteBibliography"/>
        <w:spacing w:line="360" w:lineRule="auto"/>
        <w:ind w:left="720" w:hanging="720"/>
        <w:rPr>
          <w:rFonts w:ascii="Calibri" w:eastAsia="Times New Roman" w:hAnsi="Calibri" w:cs="Calibri"/>
          <w:b/>
          <w:bCs/>
          <w:szCs w:val="26"/>
        </w:rPr>
      </w:pPr>
      <w:r w:rsidRPr="008D1781">
        <w:rPr>
          <w:rFonts w:ascii="Calibri" w:eastAsia="Times New Roman" w:hAnsi="Calibri" w:cs="Calibri"/>
          <w:b/>
          <w:bCs/>
          <w:szCs w:val="26"/>
        </w:rPr>
        <w:t>Reference</w:t>
      </w:r>
    </w:p>
    <w:p w:rsidR="00F719F3" w:rsidRDefault="00F719F3"/>
    <w:p w:rsidR="00F719F3" w:rsidRPr="00E235F8" w:rsidRDefault="00404084" w:rsidP="00F719F3">
      <w:pPr>
        <w:pStyle w:val="EndNoteBibliography"/>
        <w:spacing w:line="360" w:lineRule="auto"/>
        <w:ind w:left="720" w:hanging="720"/>
        <w:rPr>
          <w:rFonts w:ascii="Calibri" w:hAnsi="Calibri"/>
          <w:sz w:val="18"/>
        </w:rPr>
      </w:pPr>
      <w:r>
        <w:rPr>
          <w:rFonts w:ascii="Calibri" w:hAnsi="Calibri"/>
          <w:sz w:val="18"/>
        </w:rPr>
        <w:t>30</w:t>
      </w:r>
      <w:r w:rsidR="00F719F3" w:rsidRPr="000C57F3">
        <w:rPr>
          <w:rFonts w:ascii="Calibri" w:hAnsi="Calibri" w:cs="Calibri"/>
          <w:sz w:val="18"/>
          <w:szCs w:val="18"/>
        </w:rPr>
        <w:t xml:space="preserve"> </w:t>
      </w:r>
      <w:proofErr w:type="spellStart"/>
      <w:r w:rsidR="00F719F3" w:rsidRPr="00E235F8">
        <w:rPr>
          <w:rFonts w:ascii="Calibri" w:hAnsi="Calibri"/>
          <w:sz w:val="18"/>
        </w:rPr>
        <w:t>Nakae</w:t>
      </w:r>
      <w:proofErr w:type="spellEnd"/>
      <w:r w:rsidR="00F719F3" w:rsidRPr="00E235F8">
        <w:rPr>
          <w:rFonts w:ascii="Calibri" w:hAnsi="Calibri"/>
          <w:sz w:val="18"/>
        </w:rPr>
        <w:t xml:space="preserve"> S, Komiyama Y, </w:t>
      </w:r>
      <w:proofErr w:type="spellStart"/>
      <w:r w:rsidR="00F719F3" w:rsidRPr="00E235F8">
        <w:rPr>
          <w:rFonts w:ascii="Calibri" w:hAnsi="Calibri"/>
          <w:sz w:val="18"/>
        </w:rPr>
        <w:t>Nambu</w:t>
      </w:r>
      <w:proofErr w:type="spellEnd"/>
      <w:r w:rsidR="00F719F3" w:rsidRPr="00E235F8">
        <w:rPr>
          <w:rFonts w:ascii="Calibri" w:hAnsi="Calibri"/>
          <w:sz w:val="18"/>
        </w:rPr>
        <w:t xml:space="preserve"> A, </w:t>
      </w:r>
      <w:proofErr w:type="spellStart"/>
      <w:r w:rsidR="00F719F3" w:rsidRPr="00E235F8">
        <w:rPr>
          <w:rFonts w:ascii="Calibri" w:hAnsi="Calibri"/>
          <w:sz w:val="18"/>
        </w:rPr>
        <w:t>Sudo</w:t>
      </w:r>
      <w:proofErr w:type="spellEnd"/>
      <w:r w:rsidR="00F719F3" w:rsidRPr="00E235F8">
        <w:rPr>
          <w:rFonts w:ascii="Calibri" w:hAnsi="Calibri"/>
          <w:sz w:val="18"/>
        </w:rPr>
        <w:t xml:space="preserve"> K, Iwase M, </w:t>
      </w:r>
      <w:proofErr w:type="gramStart"/>
      <w:r w:rsidR="00F719F3" w:rsidRPr="00E235F8">
        <w:rPr>
          <w:rFonts w:ascii="Calibri" w:hAnsi="Calibri"/>
          <w:sz w:val="18"/>
        </w:rPr>
        <w:t>Homma</w:t>
      </w:r>
      <w:proofErr w:type="gramEnd"/>
      <w:r w:rsidR="00F719F3" w:rsidRPr="00E235F8">
        <w:rPr>
          <w:rFonts w:ascii="Calibri" w:hAnsi="Calibri"/>
          <w:sz w:val="18"/>
        </w:rPr>
        <w:t xml:space="preserve"> I, et al. Antigen-specific T cell sensitization is impaired in IL-17-deficient mice, causing suppression of allergic cellular and humoral responses. Immunity. 2002 Sep</w:t>
      </w:r>
      <w:proofErr w:type="gramStart"/>
      <w:r w:rsidR="00F719F3" w:rsidRPr="00E235F8">
        <w:rPr>
          <w:rFonts w:ascii="Calibri" w:hAnsi="Calibri"/>
          <w:sz w:val="18"/>
        </w:rPr>
        <w:t>;17</w:t>
      </w:r>
      <w:proofErr w:type="gramEnd"/>
      <w:r w:rsidR="00F719F3" w:rsidRPr="00E235F8">
        <w:rPr>
          <w:rFonts w:ascii="Calibri" w:hAnsi="Calibri"/>
          <w:sz w:val="18"/>
        </w:rPr>
        <w:t>(3):375</w:t>
      </w:r>
      <w:r w:rsidR="00F719F3" w:rsidRPr="000C57F3">
        <w:rPr>
          <w:rFonts w:ascii="Calibri" w:hAnsi="Calibri" w:cs="Calibri"/>
          <w:sz w:val="18"/>
          <w:szCs w:val="18"/>
        </w:rPr>
        <w:t>–</w:t>
      </w:r>
      <w:r w:rsidR="00F719F3" w:rsidRPr="00E235F8">
        <w:rPr>
          <w:rFonts w:ascii="Calibri" w:hAnsi="Calibri"/>
          <w:sz w:val="18"/>
        </w:rPr>
        <w:t>87.</w:t>
      </w:r>
    </w:p>
    <w:p w:rsidR="00F719F3" w:rsidRPr="00BA0E4D" w:rsidRDefault="00F719F3" w:rsidP="00F719F3">
      <w:pPr>
        <w:pStyle w:val="Default"/>
        <w:spacing w:line="360" w:lineRule="auto"/>
        <w:rPr>
          <w:rFonts w:ascii="Calibri" w:hAnsi="Calibri"/>
          <w:sz w:val="18"/>
        </w:rPr>
      </w:pPr>
    </w:p>
    <w:p w:rsidR="00BA0E4D" w:rsidRDefault="00BA0E4D">
      <w:pPr>
        <w:widowControl/>
        <w:jc w:val="left"/>
      </w:pPr>
      <w:r>
        <w:br w:type="page"/>
      </w:r>
    </w:p>
    <w:p w:rsidR="00BA0E4D" w:rsidRDefault="001F2D82"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-960755</wp:posOffset>
            </wp:positionH>
            <wp:positionV relativeFrom="page">
              <wp:posOffset>1457325</wp:posOffset>
            </wp:positionV>
            <wp:extent cx="7252970" cy="5476875"/>
            <wp:effectExtent l="0" t="0" r="0" b="0"/>
            <wp:wrapTopAndBottom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2970" cy="547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719F3" w:rsidRDefault="00F719F3"/>
    <w:sectPr w:rsidR="00F719F3" w:rsidSect="001812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701" w:bottom="1701" w:left="1701" w:header="851" w:footer="992" w:gutter="0"/>
      <w:lnNumType w:countBy="1" w:restart="continuous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020A" w:rsidRDefault="00DD020A" w:rsidP="00F719F3">
      <w:r>
        <w:separator/>
      </w:r>
    </w:p>
  </w:endnote>
  <w:endnote w:type="continuationSeparator" w:id="0">
    <w:p w:rsidR="00DD020A" w:rsidRDefault="00DD020A" w:rsidP="00F71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06A" w:rsidRDefault="0071106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06A" w:rsidRDefault="0071106A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06A" w:rsidRDefault="0071106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020A" w:rsidRDefault="00DD020A" w:rsidP="00F719F3">
      <w:r>
        <w:separator/>
      </w:r>
    </w:p>
  </w:footnote>
  <w:footnote w:type="continuationSeparator" w:id="0">
    <w:p w:rsidR="00DD020A" w:rsidRDefault="00DD020A" w:rsidP="00F719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06A" w:rsidRDefault="0071106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9F3" w:rsidRPr="0071106A" w:rsidRDefault="00F719F3" w:rsidP="0071106A">
    <w:pPr>
      <w:pStyle w:val="a4"/>
    </w:pPr>
    <w:bookmarkStart w:id="1" w:name="_GoBack"/>
    <w:bookmarkEnd w:id="1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06A" w:rsidRDefault="0071106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2F9"/>
    <w:rsid w:val="0001226F"/>
    <w:rsid w:val="001812F9"/>
    <w:rsid w:val="00195F13"/>
    <w:rsid w:val="001F2D82"/>
    <w:rsid w:val="00357B83"/>
    <w:rsid w:val="00404084"/>
    <w:rsid w:val="0071106A"/>
    <w:rsid w:val="007D72A0"/>
    <w:rsid w:val="008D1781"/>
    <w:rsid w:val="00BA0E4D"/>
    <w:rsid w:val="00C04245"/>
    <w:rsid w:val="00DD020A"/>
    <w:rsid w:val="00E032B4"/>
    <w:rsid w:val="00ED2A5D"/>
    <w:rsid w:val="00EF113C"/>
    <w:rsid w:val="00EF4C92"/>
    <w:rsid w:val="00F07520"/>
    <w:rsid w:val="00F67D7F"/>
    <w:rsid w:val="00F71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812F9"/>
    <w:pPr>
      <w:widowControl w:val="0"/>
    </w:pPr>
    <w:rPr>
      <w:rFonts w:ascii="Myriad Pro" w:eastAsia="Myriad Pro" w:hAnsi="Myriad Pro" w:cs="Myriad Pro"/>
      <w:color w:val="000000"/>
      <w:sz w:val="24"/>
    </w:rPr>
  </w:style>
  <w:style w:type="character" w:styleId="a3">
    <w:name w:val="line number"/>
    <w:basedOn w:val="a0"/>
    <w:uiPriority w:val="99"/>
    <w:semiHidden/>
    <w:unhideWhenUsed/>
    <w:rsid w:val="001812F9"/>
  </w:style>
  <w:style w:type="paragraph" w:styleId="a4">
    <w:name w:val="header"/>
    <w:basedOn w:val="a"/>
    <w:link w:val="a5"/>
    <w:uiPriority w:val="99"/>
    <w:unhideWhenUsed/>
    <w:rsid w:val="00F719F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719F3"/>
  </w:style>
  <w:style w:type="paragraph" w:styleId="a6">
    <w:name w:val="footer"/>
    <w:basedOn w:val="a"/>
    <w:link w:val="a7"/>
    <w:uiPriority w:val="99"/>
    <w:unhideWhenUsed/>
    <w:rsid w:val="00F719F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719F3"/>
  </w:style>
  <w:style w:type="paragraph" w:customStyle="1" w:styleId="EndNoteBibliography">
    <w:name w:val="EndNote Bibliography"/>
    <w:basedOn w:val="a"/>
    <w:rsid w:val="00F719F3"/>
    <w:pPr>
      <w:jc w:val="left"/>
    </w:pPr>
    <w:rPr>
      <w:rFonts w:ascii="Myriad Pro" w:eastAsia="Myriad Pro" w:hAnsi="Myriad Pro" w:cs="Myriad Pr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812F9"/>
    <w:pPr>
      <w:widowControl w:val="0"/>
    </w:pPr>
    <w:rPr>
      <w:rFonts w:ascii="Myriad Pro" w:eastAsia="Myriad Pro" w:hAnsi="Myriad Pro" w:cs="Myriad Pro"/>
      <w:color w:val="000000"/>
      <w:sz w:val="24"/>
    </w:rPr>
  </w:style>
  <w:style w:type="character" w:styleId="a3">
    <w:name w:val="line number"/>
    <w:basedOn w:val="a0"/>
    <w:uiPriority w:val="99"/>
    <w:semiHidden/>
    <w:unhideWhenUsed/>
    <w:rsid w:val="001812F9"/>
  </w:style>
  <w:style w:type="paragraph" w:styleId="a4">
    <w:name w:val="header"/>
    <w:basedOn w:val="a"/>
    <w:link w:val="a5"/>
    <w:uiPriority w:val="99"/>
    <w:unhideWhenUsed/>
    <w:rsid w:val="00F719F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719F3"/>
  </w:style>
  <w:style w:type="paragraph" w:styleId="a6">
    <w:name w:val="footer"/>
    <w:basedOn w:val="a"/>
    <w:link w:val="a7"/>
    <w:uiPriority w:val="99"/>
    <w:unhideWhenUsed/>
    <w:rsid w:val="00F719F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719F3"/>
  </w:style>
  <w:style w:type="paragraph" w:customStyle="1" w:styleId="EndNoteBibliography">
    <w:name w:val="EndNote Bibliography"/>
    <w:basedOn w:val="a"/>
    <w:rsid w:val="00F719F3"/>
    <w:pPr>
      <w:jc w:val="left"/>
    </w:pPr>
    <w:rPr>
      <w:rFonts w:ascii="Myriad Pro" w:eastAsia="Myriad Pro" w:hAnsi="Myriad Pro" w:cs="Myriad Pr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Kawano Tasuku</dc:creator>
  <cp:keywords/>
  <dc:description/>
  <cp:lastModifiedBy>Tasuku Kawano</cp:lastModifiedBy>
  <cp:revision>6</cp:revision>
  <dcterms:created xsi:type="dcterms:W3CDTF">2022-12-23T06:37:00Z</dcterms:created>
  <dcterms:modified xsi:type="dcterms:W3CDTF">2022-12-29T18:21:00Z</dcterms:modified>
</cp:coreProperties>
</file>