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5E" w:rsidRPr="00851B9E" w:rsidRDefault="00882A5E" w:rsidP="00882A5E">
      <w:pPr>
        <w:tabs>
          <w:tab w:val="left" w:pos="3281"/>
        </w:tabs>
        <w:spacing w:line="480" w:lineRule="auto"/>
        <w:rPr>
          <w:rFonts w:ascii="Arial" w:eastAsia="Arial" w:hAnsi="Arial" w:cs="Arial"/>
          <w:b/>
          <w:sz w:val="20"/>
          <w:szCs w:val="20"/>
          <w:lang w:val="en-GB"/>
        </w:rPr>
      </w:pPr>
      <w:r w:rsidRPr="00851B9E">
        <w:rPr>
          <w:rFonts w:ascii="Arial" w:eastAsia="Arial" w:hAnsi="Arial" w:cs="Arial"/>
          <w:b/>
          <w:sz w:val="20"/>
          <w:szCs w:val="20"/>
          <w:lang w:val="en-GB"/>
        </w:rPr>
        <w:t>Methods</w:t>
      </w:r>
    </w:p>
    <w:p w:rsidR="00882A5E" w:rsidRPr="006E22C9" w:rsidRDefault="00882A5E" w:rsidP="00882A5E">
      <w:pPr>
        <w:spacing w:after="0" w:line="480" w:lineRule="auto"/>
        <w:ind w:right="102"/>
        <w:rPr>
          <w:rFonts w:ascii="Arial" w:eastAsia="Arial" w:hAnsi="Arial" w:cs="Arial"/>
          <w:i/>
          <w:sz w:val="20"/>
          <w:szCs w:val="20"/>
          <w:lang w:val="en-GB"/>
        </w:rPr>
      </w:pPr>
      <w:r w:rsidRPr="006E22C9">
        <w:rPr>
          <w:rFonts w:ascii="Arial" w:eastAsia="Arial" w:hAnsi="Arial" w:cs="Arial"/>
          <w:i/>
          <w:sz w:val="20"/>
          <w:szCs w:val="20"/>
          <w:lang w:val="en-GB"/>
        </w:rPr>
        <w:t xml:space="preserve">Study </w:t>
      </w:r>
      <w:r w:rsidR="002D0CD9" w:rsidRPr="006E22C9">
        <w:rPr>
          <w:rFonts w:ascii="Arial" w:eastAsia="Arial" w:hAnsi="Arial" w:cs="Arial"/>
          <w:i/>
          <w:sz w:val="20"/>
          <w:szCs w:val="20"/>
          <w:lang w:val="en-GB"/>
        </w:rPr>
        <w:t>Design</w:t>
      </w:r>
    </w:p>
    <w:p w:rsidR="00882A5E" w:rsidRPr="00851B9E" w:rsidRDefault="00882A5E" w:rsidP="00882A5E">
      <w:pPr>
        <w:spacing w:after="0" w:line="480" w:lineRule="auto"/>
        <w:ind w:right="102"/>
        <w:rPr>
          <w:rFonts w:ascii="Arial" w:eastAsia="Arial" w:hAnsi="Arial" w:cs="Arial"/>
          <w:sz w:val="20"/>
          <w:szCs w:val="20"/>
          <w:lang w:val="en-GB"/>
        </w:rPr>
      </w:pPr>
      <w:r w:rsidRPr="00851B9E">
        <w:rPr>
          <w:rFonts w:ascii="Arial" w:eastAsia="Arial" w:hAnsi="Arial" w:cs="Arial"/>
          <w:sz w:val="20"/>
          <w:szCs w:val="20"/>
          <w:lang w:val="en-GB"/>
        </w:rPr>
        <w:t>This was an investigator-initiated, single</w:t>
      </w:r>
      <w:r w:rsidR="002D0CD9" w:rsidRPr="00851B9E">
        <w:rPr>
          <w:rFonts w:ascii="Arial" w:eastAsia="Arial" w:hAnsi="Arial" w:cs="Arial"/>
          <w:sz w:val="20"/>
          <w:szCs w:val="20"/>
          <w:lang w:val="en-GB"/>
        </w:rPr>
        <w:t>-</w:t>
      </w:r>
      <w:r w:rsidRPr="00851B9E">
        <w:rPr>
          <w:rFonts w:ascii="Arial" w:eastAsia="Arial" w:hAnsi="Arial" w:cs="Arial"/>
          <w:sz w:val="20"/>
          <w:szCs w:val="20"/>
          <w:lang w:val="en-GB"/>
        </w:rPr>
        <w:t>cent</w:t>
      </w:r>
      <w:r w:rsidR="002D0CD9" w:rsidRPr="00851B9E">
        <w:rPr>
          <w:rFonts w:ascii="Arial" w:eastAsia="Arial" w:hAnsi="Arial" w:cs="Arial"/>
          <w:sz w:val="20"/>
          <w:szCs w:val="20"/>
          <w:lang w:val="en-GB"/>
        </w:rPr>
        <w:t>r</w:t>
      </w:r>
      <w:r w:rsidRPr="00851B9E">
        <w:rPr>
          <w:rFonts w:ascii="Arial" w:eastAsia="Arial" w:hAnsi="Arial" w:cs="Arial"/>
          <w:sz w:val="20"/>
          <w:szCs w:val="20"/>
          <w:lang w:val="en-GB"/>
        </w:rPr>
        <w:t>e, rando</w:t>
      </w:r>
      <w:bookmarkStart w:id="0" w:name="_GoBack"/>
      <w:bookmarkEnd w:id="0"/>
      <w:r w:rsidRPr="00851B9E">
        <w:rPr>
          <w:rFonts w:ascii="Arial" w:eastAsia="Arial" w:hAnsi="Arial" w:cs="Arial"/>
          <w:sz w:val="20"/>
          <w:szCs w:val="20"/>
          <w:lang w:val="en-GB"/>
        </w:rPr>
        <w:t xml:space="preserve">mized, assessor-blinded study conducted in the </w:t>
      </w:r>
      <w:r w:rsidR="003D0545" w:rsidRPr="00851B9E">
        <w:rPr>
          <w:rFonts w:ascii="Arial" w:eastAsia="Arial" w:hAnsi="Arial" w:cs="Arial"/>
          <w:sz w:val="20"/>
          <w:szCs w:val="20"/>
          <w:lang w:val="en-GB"/>
        </w:rPr>
        <w:t xml:space="preserve">Department </w:t>
      </w:r>
      <w:r w:rsidRPr="00851B9E">
        <w:rPr>
          <w:rFonts w:ascii="Arial" w:eastAsia="Arial" w:hAnsi="Arial" w:cs="Arial"/>
          <w:sz w:val="20"/>
          <w:szCs w:val="20"/>
          <w:lang w:val="en-GB"/>
        </w:rPr>
        <w:t>of Dermatology in the Erasmus Medical Cent</w:t>
      </w:r>
      <w:r w:rsidR="00EF1E3B">
        <w:rPr>
          <w:rFonts w:ascii="Arial" w:eastAsia="Arial" w:hAnsi="Arial" w:cs="Arial"/>
          <w:sz w:val="20"/>
          <w:szCs w:val="20"/>
          <w:lang w:val="en-GB"/>
        </w:rPr>
        <w:t>r</w:t>
      </w:r>
      <w:r w:rsidR="003D0545">
        <w:rPr>
          <w:rFonts w:ascii="Arial" w:eastAsia="Arial" w:hAnsi="Arial" w:cs="Arial"/>
          <w:sz w:val="20"/>
          <w:szCs w:val="20"/>
          <w:lang w:val="en-GB"/>
        </w:rPr>
        <w:t>e</w:t>
      </w:r>
      <w:r w:rsidRPr="00851B9E">
        <w:rPr>
          <w:rFonts w:ascii="Arial" w:eastAsia="Arial" w:hAnsi="Arial" w:cs="Arial"/>
          <w:sz w:val="20"/>
          <w:szCs w:val="20"/>
          <w:lang w:val="en-GB"/>
        </w:rPr>
        <w:t xml:space="preserve">, Rotterdam, </w:t>
      </w:r>
      <w:r w:rsidR="003D0545" w:rsidRPr="00851B9E">
        <w:rPr>
          <w:rFonts w:ascii="Arial" w:eastAsia="Arial" w:hAnsi="Arial" w:cs="Arial"/>
          <w:sz w:val="20"/>
          <w:szCs w:val="20"/>
          <w:lang w:val="en-GB"/>
        </w:rPr>
        <w:t>t</w:t>
      </w:r>
      <w:r w:rsidRPr="00851B9E">
        <w:rPr>
          <w:rFonts w:ascii="Arial" w:eastAsia="Arial" w:hAnsi="Arial" w:cs="Arial"/>
          <w:sz w:val="20"/>
          <w:szCs w:val="20"/>
          <w:lang w:val="en-GB"/>
        </w:rPr>
        <w:t>he Netherlands</w:t>
      </w:r>
      <w:r w:rsidR="003D0545">
        <w:rPr>
          <w:rFonts w:ascii="Arial" w:eastAsia="Arial" w:hAnsi="Arial" w:cs="Arial"/>
          <w:sz w:val="20"/>
          <w:szCs w:val="20"/>
          <w:lang w:val="en-GB"/>
        </w:rPr>
        <w:t>,</w:t>
      </w:r>
      <w:r w:rsidRPr="00851B9E">
        <w:rPr>
          <w:rFonts w:ascii="Arial" w:eastAsia="Arial" w:hAnsi="Arial" w:cs="Arial"/>
          <w:sz w:val="20"/>
          <w:szCs w:val="20"/>
          <w:lang w:val="en-GB"/>
        </w:rPr>
        <w:t xml:space="preserve"> between July 2013 and June 2015. This study was approved by the Institutional Review Board of the Erasmus University Medical Cent</w:t>
      </w:r>
      <w:r w:rsidR="00EF1E3B">
        <w:rPr>
          <w:rFonts w:ascii="Arial" w:eastAsia="Arial" w:hAnsi="Arial" w:cs="Arial"/>
          <w:sz w:val="20"/>
          <w:szCs w:val="20"/>
          <w:lang w:val="en-GB"/>
        </w:rPr>
        <w:t>r</w:t>
      </w:r>
      <w:r w:rsidRPr="00851B9E">
        <w:rPr>
          <w:rFonts w:ascii="Arial" w:eastAsia="Arial" w:hAnsi="Arial" w:cs="Arial"/>
          <w:sz w:val="20"/>
          <w:szCs w:val="20"/>
          <w:lang w:val="en-GB"/>
        </w:rPr>
        <w:t>e Rotterdam (</w:t>
      </w:r>
      <w:proofErr w:type="spellStart"/>
      <w:r w:rsidRPr="00851B9E">
        <w:rPr>
          <w:rFonts w:ascii="Arial" w:eastAsia="Arial" w:hAnsi="Arial" w:cs="Arial"/>
          <w:sz w:val="20"/>
          <w:szCs w:val="20"/>
          <w:lang w:val="en-GB"/>
        </w:rPr>
        <w:t>MEC</w:t>
      </w:r>
      <w:proofErr w:type="spellEnd"/>
      <w:r w:rsidRPr="00851B9E">
        <w:rPr>
          <w:rFonts w:ascii="Arial" w:eastAsia="Arial" w:hAnsi="Arial" w:cs="Arial"/>
          <w:sz w:val="20"/>
          <w:szCs w:val="20"/>
          <w:lang w:val="en-GB"/>
        </w:rPr>
        <w:t>-2011-500). All patients provided written informed consent. The study was conducted according to the guidelines of Good Clinical Practice. The trial is registered in the European Clinical Trials Database (EudraCT) under</w:t>
      </w:r>
      <w:r w:rsidRPr="00851B9E">
        <w:rPr>
          <w:rFonts w:ascii="Arial" w:hAnsi="Arial" w:cs="Arial"/>
          <w:sz w:val="20"/>
          <w:szCs w:val="20"/>
          <w:lang w:val="en-GB"/>
        </w:rPr>
        <w:t xml:space="preserve"> </w:t>
      </w:r>
      <w:r w:rsidRPr="00851B9E">
        <w:rPr>
          <w:rFonts w:ascii="Arial" w:eastAsia="Arial" w:hAnsi="Arial" w:cs="Arial"/>
          <w:sz w:val="20"/>
          <w:szCs w:val="20"/>
          <w:lang w:val="en-GB"/>
        </w:rPr>
        <w:t xml:space="preserve">EudraCT </w:t>
      </w:r>
      <w:r w:rsidR="00D90E66">
        <w:rPr>
          <w:rFonts w:ascii="Arial" w:eastAsia="Arial" w:hAnsi="Arial" w:cs="Arial"/>
          <w:sz w:val="20"/>
          <w:szCs w:val="20"/>
          <w:lang w:val="en-GB"/>
        </w:rPr>
        <w:t>No.</w:t>
      </w:r>
      <w:r w:rsidRPr="00851B9E">
        <w:rPr>
          <w:rFonts w:ascii="Arial" w:eastAsia="Arial" w:hAnsi="Arial" w:cs="Arial"/>
          <w:sz w:val="20"/>
          <w:szCs w:val="20"/>
          <w:lang w:val="en-GB"/>
        </w:rPr>
        <w:t xml:space="preserve"> 2011-005685-38. </w:t>
      </w:r>
      <w:proofErr w:type="gramStart"/>
      <w:r w:rsidRPr="00851B9E">
        <w:rPr>
          <w:rFonts w:ascii="Arial" w:eastAsia="Arial" w:hAnsi="Arial" w:cs="Arial"/>
          <w:sz w:val="20"/>
          <w:szCs w:val="20"/>
          <w:lang w:val="en-GB"/>
        </w:rPr>
        <w:t>This</w:t>
      </w:r>
      <w:proofErr w:type="gramEnd"/>
      <w:r w:rsidRPr="00851B9E">
        <w:rPr>
          <w:rFonts w:ascii="Arial" w:eastAsia="Arial" w:hAnsi="Arial" w:cs="Arial"/>
          <w:sz w:val="20"/>
          <w:szCs w:val="20"/>
          <w:lang w:val="en-GB"/>
        </w:rPr>
        <w:t xml:space="preserve"> investigator-initiated study was supported by a grant of Pfizer Pharmaceuticals. Pfizer was not involved in any study procedure, but Pfizer was granted the right to read, but not to edit</w:t>
      </w:r>
      <w:r w:rsidR="00D90E66">
        <w:rPr>
          <w:rFonts w:ascii="Arial" w:eastAsia="Arial" w:hAnsi="Arial" w:cs="Arial"/>
          <w:sz w:val="20"/>
          <w:szCs w:val="20"/>
          <w:lang w:val="en-GB"/>
        </w:rPr>
        <w:t>,</w:t>
      </w:r>
      <w:r w:rsidRPr="00851B9E">
        <w:rPr>
          <w:rFonts w:ascii="Arial" w:eastAsia="Arial" w:hAnsi="Arial" w:cs="Arial"/>
          <w:sz w:val="20"/>
          <w:szCs w:val="20"/>
          <w:lang w:val="en-GB"/>
        </w:rPr>
        <w:t xml:space="preserve"> the manuscript prior to submission for publication. Provision and reimbursement of </w:t>
      </w:r>
      <w:proofErr w:type="spellStart"/>
      <w:r w:rsidRPr="00851B9E">
        <w:rPr>
          <w:rFonts w:ascii="Arial" w:eastAsia="Arial" w:hAnsi="Arial" w:cs="Arial"/>
          <w:sz w:val="20"/>
          <w:szCs w:val="20"/>
          <w:lang w:val="en-GB"/>
        </w:rPr>
        <w:t>etanercept</w:t>
      </w:r>
      <w:proofErr w:type="spellEnd"/>
      <w:r w:rsidRPr="00851B9E">
        <w:rPr>
          <w:rFonts w:ascii="Arial" w:eastAsia="Arial" w:hAnsi="Arial" w:cs="Arial"/>
          <w:sz w:val="20"/>
          <w:szCs w:val="20"/>
          <w:lang w:val="en-GB"/>
        </w:rPr>
        <w:t xml:space="preserve"> medication was executed via the Dutch health insurance.</w:t>
      </w:r>
    </w:p>
    <w:p w:rsidR="00882A5E" w:rsidRPr="00851B9E" w:rsidRDefault="00882A5E" w:rsidP="00882A5E">
      <w:pPr>
        <w:spacing w:after="0" w:line="480" w:lineRule="auto"/>
        <w:ind w:right="102"/>
        <w:rPr>
          <w:rFonts w:ascii="Arial" w:eastAsia="Arial" w:hAnsi="Arial" w:cs="Arial"/>
          <w:b/>
          <w:sz w:val="20"/>
          <w:szCs w:val="20"/>
          <w:lang w:val="en-GB"/>
        </w:rPr>
      </w:pPr>
    </w:p>
    <w:p w:rsidR="00882A5E" w:rsidRPr="006E22C9" w:rsidRDefault="00882A5E" w:rsidP="00882A5E">
      <w:pPr>
        <w:spacing w:after="0" w:line="480" w:lineRule="auto"/>
        <w:ind w:right="102"/>
        <w:rPr>
          <w:rFonts w:ascii="Arial" w:eastAsia="Arial" w:hAnsi="Arial" w:cs="Arial"/>
          <w:i/>
          <w:sz w:val="20"/>
          <w:szCs w:val="20"/>
          <w:lang w:val="en-GB"/>
        </w:rPr>
      </w:pPr>
      <w:r w:rsidRPr="006E22C9">
        <w:rPr>
          <w:rFonts w:ascii="Arial" w:eastAsia="Arial" w:hAnsi="Arial" w:cs="Arial"/>
          <w:i/>
          <w:sz w:val="20"/>
          <w:szCs w:val="20"/>
          <w:lang w:val="en-GB"/>
        </w:rPr>
        <w:t>Patients</w:t>
      </w:r>
    </w:p>
    <w:p w:rsidR="00882A5E" w:rsidRPr="00851B9E" w:rsidRDefault="00882A5E" w:rsidP="00882A5E">
      <w:pPr>
        <w:spacing w:after="0" w:line="480" w:lineRule="auto"/>
        <w:ind w:right="102"/>
        <w:rPr>
          <w:rFonts w:ascii="Arial" w:eastAsia="Arial" w:hAnsi="Arial" w:cs="Arial"/>
          <w:sz w:val="20"/>
          <w:szCs w:val="20"/>
          <w:lang w:val="en-GB"/>
        </w:rPr>
      </w:pPr>
      <w:r w:rsidRPr="00851B9E">
        <w:rPr>
          <w:rFonts w:ascii="Arial" w:eastAsia="Arial" w:hAnsi="Arial" w:cs="Arial"/>
          <w:sz w:val="20"/>
          <w:szCs w:val="20"/>
          <w:lang w:val="en-GB"/>
        </w:rPr>
        <w:t xml:space="preserve">All included patients were 18 years or older, had </w:t>
      </w:r>
      <w:r w:rsidR="00D90E66">
        <w:rPr>
          <w:rFonts w:ascii="Arial" w:eastAsia="Arial" w:hAnsi="Arial" w:cs="Arial"/>
          <w:sz w:val="20"/>
          <w:szCs w:val="20"/>
          <w:lang w:val="en-GB"/>
        </w:rPr>
        <w:t xml:space="preserve">had </w:t>
      </w:r>
      <w:r w:rsidRPr="00851B9E">
        <w:rPr>
          <w:rFonts w:ascii="Arial" w:eastAsia="Arial" w:hAnsi="Arial" w:cs="Arial"/>
          <w:sz w:val="20"/>
          <w:szCs w:val="20"/>
          <w:lang w:val="en-GB"/>
        </w:rPr>
        <w:t>stable, moderate</w:t>
      </w:r>
      <w:r w:rsidR="00D90E66">
        <w:rPr>
          <w:rFonts w:ascii="Arial" w:eastAsia="Arial" w:hAnsi="Arial" w:cs="Arial"/>
          <w:sz w:val="20"/>
          <w:szCs w:val="20"/>
          <w:lang w:val="en-GB"/>
        </w:rPr>
        <w:t>-</w:t>
      </w:r>
      <w:r w:rsidRPr="00851B9E">
        <w:rPr>
          <w:rFonts w:ascii="Arial" w:eastAsia="Arial" w:hAnsi="Arial" w:cs="Arial"/>
          <w:sz w:val="20"/>
          <w:szCs w:val="20"/>
          <w:lang w:val="en-GB"/>
        </w:rPr>
        <w:t>to</w:t>
      </w:r>
      <w:r w:rsidR="00D90E66">
        <w:rPr>
          <w:rFonts w:ascii="Arial" w:eastAsia="Arial" w:hAnsi="Arial" w:cs="Arial"/>
          <w:sz w:val="20"/>
          <w:szCs w:val="20"/>
          <w:lang w:val="en-GB"/>
        </w:rPr>
        <w:t>-</w:t>
      </w:r>
      <w:r w:rsidRPr="00851B9E">
        <w:rPr>
          <w:rFonts w:ascii="Arial" w:eastAsia="Arial" w:hAnsi="Arial" w:cs="Arial"/>
          <w:sz w:val="20"/>
          <w:szCs w:val="20"/>
          <w:lang w:val="en-GB"/>
        </w:rPr>
        <w:t>severe plaque</w:t>
      </w:r>
      <w:r w:rsidR="00D90E66">
        <w:rPr>
          <w:rFonts w:ascii="Arial" w:eastAsia="Arial" w:hAnsi="Arial" w:cs="Arial"/>
          <w:sz w:val="20"/>
          <w:szCs w:val="20"/>
          <w:lang w:val="en-GB"/>
        </w:rPr>
        <w:t xml:space="preserve"> </w:t>
      </w:r>
      <w:r w:rsidRPr="00851B9E">
        <w:rPr>
          <w:rFonts w:ascii="Arial" w:eastAsia="Arial" w:hAnsi="Arial" w:cs="Arial"/>
          <w:sz w:val="20"/>
          <w:szCs w:val="20"/>
          <w:lang w:val="en-GB"/>
        </w:rPr>
        <w:t xml:space="preserve">psoriasis for more than 6 months, affecting more than 10% </w:t>
      </w:r>
      <w:r w:rsidR="00D90E66">
        <w:rPr>
          <w:rFonts w:ascii="Arial" w:eastAsia="Arial" w:hAnsi="Arial" w:cs="Arial"/>
          <w:sz w:val="20"/>
          <w:szCs w:val="20"/>
          <w:lang w:val="en-GB"/>
        </w:rPr>
        <w:t xml:space="preserve">of the </w:t>
      </w:r>
      <w:r w:rsidRPr="00851B9E">
        <w:rPr>
          <w:rFonts w:ascii="Arial" w:eastAsia="Arial" w:hAnsi="Arial" w:cs="Arial"/>
          <w:sz w:val="20"/>
          <w:szCs w:val="20"/>
          <w:lang w:val="en-GB"/>
        </w:rPr>
        <w:t xml:space="preserve">body surface area, had a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w:t>
      </w:r>
      <w:r w:rsidR="00D90E66">
        <w:rPr>
          <w:rFonts w:ascii="Arial" w:eastAsia="Arial" w:hAnsi="Arial" w:cs="Arial"/>
          <w:sz w:val="20"/>
          <w:szCs w:val="20"/>
          <w:lang w:val="en-GB"/>
        </w:rPr>
        <w:t>&gt;</w:t>
      </w:r>
      <w:r w:rsidRPr="00851B9E">
        <w:rPr>
          <w:rFonts w:ascii="Arial" w:eastAsia="Arial" w:hAnsi="Arial" w:cs="Arial"/>
          <w:sz w:val="20"/>
          <w:szCs w:val="20"/>
          <w:lang w:val="en-GB"/>
        </w:rPr>
        <w:t>10 at screening and at baseline, and were ca</w:t>
      </w:r>
      <w:r w:rsidRPr="00851B9E">
        <w:rPr>
          <w:rFonts w:ascii="Arial" w:eastAsia="Arial" w:hAnsi="Arial" w:cs="Arial"/>
          <w:spacing w:val="-1"/>
          <w:sz w:val="20"/>
          <w:szCs w:val="20"/>
          <w:lang w:val="en-GB"/>
        </w:rPr>
        <w:t>n</w:t>
      </w:r>
      <w:r w:rsidRPr="00851B9E">
        <w:rPr>
          <w:rFonts w:ascii="Arial" w:eastAsia="Arial" w:hAnsi="Arial" w:cs="Arial"/>
          <w:sz w:val="20"/>
          <w:szCs w:val="20"/>
          <w:lang w:val="en-GB"/>
        </w:rPr>
        <w:t>dida</w:t>
      </w:r>
      <w:r w:rsidRPr="00851B9E">
        <w:rPr>
          <w:rFonts w:ascii="Arial" w:eastAsia="Arial" w:hAnsi="Arial" w:cs="Arial"/>
          <w:spacing w:val="-2"/>
          <w:sz w:val="20"/>
          <w:szCs w:val="20"/>
          <w:lang w:val="en-GB"/>
        </w:rPr>
        <w:t>t</w:t>
      </w:r>
      <w:r w:rsidRPr="00851B9E">
        <w:rPr>
          <w:rFonts w:ascii="Arial" w:eastAsia="Arial" w:hAnsi="Arial" w:cs="Arial"/>
          <w:sz w:val="20"/>
          <w:szCs w:val="20"/>
          <w:lang w:val="en-GB"/>
        </w:rPr>
        <w:t>es for biologic treatment according</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to the appro</w:t>
      </w:r>
      <w:r w:rsidRPr="00851B9E">
        <w:rPr>
          <w:rFonts w:ascii="Arial" w:eastAsia="Arial" w:hAnsi="Arial" w:cs="Arial"/>
          <w:spacing w:val="-2"/>
          <w:sz w:val="20"/>
          <w:szCs w:val="20"/>
          <w:lang w:val="en-GB"/>
        </w:rPr>
        <w:t>v</w:t>
      </w:r>
      <w:r w:rsidRPr="00851B9E">
        <w:rPr>
          <w:rFonts w:ascii="Arial" w:eastAsia="Arial" w:hAnsi="Arial" w:cs="Arial"/>
          <w:sz w:val="20"/>
          <w:szCs w:val="20"/>
          <w:lang w:val="en-GB"/>
        </w:rPr>
        <w:t>ed pr</w:t>
      </w:r>
      <w:r w:rsidRPr="00851B9E">
        <w:rPr>
          <w:rFonts w:ascii="Arial" w:eastAsia="Arial" w:hAnsi="Arial" w:cs="Arial"/>
          <w:spacing w:val="-1"/>
          <w:sz w:val="20"/>
          <w:szCs w:val="20"/>
          <w:lang w:val="en-GB"/>
        </w:rPr>
        <w:t>o</w:t>
      </w:r>
      <w:r w:rsidRPr="00851B9E">
        <w:rPr>
          <w:rFonts w:ascii="Arial" w:eastAsia="Arial" w:hAnsi="Arial" w:cs="Arial"/>
          <w:sz w:val="20"/>
          <w:szCs w:val="20"/>
          <w:lang w:val="en-GB"/>
        </w:rPr>
        <w:t>d</w:t>
      </w:r>
      <w:r w:rsidRPr="00851B9E">
        <w:rPr>
          <w:rFonts w:ascii="Arial" w:eastAsia="Arial" w:hAnsi="Arial" w:cs="Arial"/>
          <w:spacing w:val="-1"/>
          <w:sz w:val="20"/>
          <w:szCs w:val="20"/>
          <w:lang w:val="en-GB"/>
        </w:rPr>
        <w:t>u</w:t>
      </w:r>
      <w:r w:rsidRPr="00851B9E">
        <w:rPr>
          <w:rFonts w:ascii="Arial" w:eastAsia="Arial" w:hAnsi="Arial" w:cs="Arial"/>
          <w:spacing w:val="1"/>
          <w:sz w:val="20"/>
          <w:szCs w:val="20"/>
          <w:lang w:val="en-GB"/>
        </w:rPr>
        <w:t>c</w:t>
      </w:r>
      <w:r w:rsidRPr="00851B9E">
        <w:rPr>
          <w:rFonts w:ascii="Arial" w:eastAsia="Arial" w:hAnsi="Arial" w:cs="Arial"/>
          <w:sz w:val="20"/>
          <w:szCs w:val="20"/>
          <w:lang w:val="en-GB"/>
        </w:rPr>
        <w:t>t labe</w:t>
      </w:r>
      <w:r w:rsidR="00D90E66">
        <w:rPr>
          <w:rFonts w:ascii="Arial" w:eastAsia="Arial" w:hAnsi="Arial" w:cs="Arial"/>
          <w:sz w:val="20"/>
          <w:szCs w:val="20"/>
          <w:lang w:val="en-GB"/>
        </w:rPr>
        <w:t>l</w:t>
      </w:r>
      <w:r w:rsidRPr="00851B9E">
        <w:rPr>
          <w:rFonts w:ascii="Arial" w:eastAsia="Arial" w:hAnsi="Arial" w:cs="Arial"/>
          <w:sz w:val="20"/>
          <w:szCs w:val="20"/>
          <w:lang w:val="en-GB"/>
        </w:rPr>
        <w:t>ling and to Du</w:t>
      </w:r>
      <w:r w:rsidRPr="00851B9E">
        <w:rPr>
          <w:rFonts w:ascii="Arial" w:eastAsia="Arial" w:hAnsi="Arial" w:cs="Arial"/>
          <w:spacing w:val="-2"/>
          <w:sz w:val="20"/>
          <w:szCs w:val="20"/>
          <w:lang w:val="en-GB"/>
        </w:rPr>
        <w:t>t</w:t>
      </w:r>
      <w:r w:rsidRPr="00851B9E">
        <w:rPr>
          <w:rFonts w:ascii="Arial" w:eastAsia="Arial" w:hAnsi="Arial" w:cs="Arial"/>
          <w:spacing w:val="1"/>
          <w:sz w:val="20"/>
          <w:szCs w:val="20"/>
          <w:lang w:val="en-GB"/>
        </w:rPr>
        <w:t>c</w:t>
      </w:r>
      <w:r w:rsidRPr="00851B9E">
        <w:rPr>
          <w:rFonts w:ascii="Arial" w:eastAsia="Arial" w:hAnsi="Arial" w:cs="Arial"/>
          <w:sz w:val="20"/>
          <w:szCs w:val="20"/>
          <w:lang w:val="en-GB"/>
        </w:rPr>
        <w:t>h gu</w:t>
      </w:r>
      <w:r w:rsidRPr="00851B9E">
        <w:rPr>
          <w:rFonts w:ascii="Arial" w:eastAsia="Arial" w:hAnsi="Arial" w:cs="Arial"/>
          <w:spacing w:val="-1"/>
          <w:sz w:val="20"/>
          <w:szCs w:val="20"/>
          <w:lang w:val="en-GB"/>
        </w:rPr>
        <w:t>i</w:t>
      </w:r>
      <w:r w:rsidRPr="00851B9E">
        <w:rPr>
          <w:rFonts w:ascii="Arial" w:eastAsia="Arial" w:hAnsi="Arial" w:cs="Arial"/>
          <w:sz w:val="20"/>
          <w:szCs w:val="20"/>
          <w:lang w:val="en-GB"/>
        </w:rPr>
        <w:t>delin</w:t>
      </w:r>
      <w:r w:rsidRPr="00851B9E">
        <w:rPr>
          <w:rFonts w:ascii="Arial" w:eastAsia="Arial" w:hAnsi="Arial" w:cs="Arial"/>
          <w:spacing w:val="-1"/>
          <w:sz w:val="20"/>
          <w:szCs w:val="20"/>
          <w:lang w:val="en-GB"/>
        </w:rPr>
        <w:t>e</w:t>
      </w:r>
      <w:r w:rsidRPr="00851B9E">
        <w:rPr>
          <w:rFonts w:ascii="Arial" w:eastAsia="Arial" w:hAnsi="Arial" w:cs="Arial"/>
          <w:sz w:val="20"/>
          <w:szCs w:val="20"/>
          <w:lang w:val="en-GB"/>
        </w:rPr>
        <w:t xml:space="preserve">s. </w:t>
      </w:r>
    </w:p>
    <w:p w:rsidR="00882A5E" w:rsidRPr="00851B9E" w:rsidRDefault="00882A5E" w:rsidP="00882A5E">
      <w:pPr>
        <w:tabs>
          <w:tab w:val="left" w:pos="840"/>
        </w:tabs>
        <w:spacing w:after="0" w:line="480" w:lineRule="auto"/>
        <w:ind w:right="-20"/>
        <w:rPr>
          <w:rFonts w:ascii="Arial" w:eastAsia="Arial" w:hAnsi="Arial" w:cs="Arial"/>
          <w:sz w:val="20"/>
          <w:szCs w:val="20"/>
          <w:lang w:val="en-GB"/>
        </w:rPr>
      </w:pPr>
      <w:r w:rsidRPr="00851B9E">
        <w:rPr>
          <w:rFonts w:ascii="Arial" w:eastAsia="Arial" w:hAnsi="Arial" w:cs="Arial"/>
          <w:sz w:val="20"/>
          <w:szCs w:val="20"/>
          <w:lang w:val="en-GB"/>
        </w:rPr>
        <w:t xml:space="preserve">Patients were recruited from the dermatology outpatient clinic from our hospital. Patients were excluded if they had any other subtype of </w:t>
      </w:r>
      <w:r w:rsidRPr="00851B9E">
        <w:rPr>
          <w:rFonts w:ascii="Arial" w:eastAsia="Arial" w:hAnsi="Arial" w:cs="Arial"/>
          <w:spacing w:val="-1"/>
          <w:sz w:val="20"/>
          <w:szCs w:val="20"/>
          <w:lang w:val="en-GB"/>
        </w:rPr>
        <w:t>p</w:t>
      </w:r>
      <w:r w:rsidRPr="00851B9E">
        <w:rPr>
          <w:rFonts w:ascii="Arial" w:eastAsia="Arial" w:hAnsi="Arial" w:cs="Arial"/>
          <w:spacing w:val="1"/>
          <w:sz w:val="20"/>
          <w:szCs w:val="20"/>
          <w:lang w:val="en-GB"/>
        </w:rPr>
        <w:t>s</w:t>
      </w:r>
      <w:r w:rsidRPr="00851B9E">
        <w:rPr>
          <w:rFonts w:ascii="Arial" w:eastAsia="Arial" w:hAnsi="Arial" w:cs="Arial"/>
          <w:spacing w:val="-1"/>
          <w:sz w:val="20"/>
          <w:szCs w:val="20"/>
          <w:lang w:val="en-GB"/>
        </w:rPr>
        <w:t>o</w:t>
      </w:r>
      <w:r w:rsidRPr="00851B9E">
        <w:rPr>
          <w:rFonts w:ascii="Arial" w:eastAsia="Arial" w:hAnsi="Arial" w:cs="Arial"/>
          <w:sz w:val="20"/>
          <w:szCs w:val="20"/>
          <w:lang w:val="en-GB"/>
        </w:rPr>
        <w:t>r</w:t>
      </w:r>
      <w:r w:rsidRPr="00851B9E">
        <w:rPr>
          <w:rFonts w:ascii="Arial" w:eastAsia="Arial" w:hAnsi="Arial" w:cs="Arial"/>
          <w:spacing w:val="-1"/>
          <w:sz w:val="20"/>
          <w:szCs w:val="20"/>
          <w:lang w:val="en-GB"/>
        </w:rPr>
        <w:t>i</w:t>
      </w:r>
      <w:r w:rsidRPr="00851B9E">
        <w:rPr>
          <w:rFonts w:ascii="Arial" w:eastAsia="Arial" w:hAnsi="Arial" w:cs="Arial"/>
          <w:sz w:val="20"/>
          <w:szCs w:val="20"/>
          <w:lang w:val="en-GB"/>
        </w:rPr>
        <w:t>as</w:t>
      </w:r>
      <w:r w:rsidRPr="00851B9E">
        <w:rPr>
          <w:rFonts w:ascii="Arial" w:eastAsia="Arial" w:hAnsi="Arial" w:cs="Arial"/>
          <w:spacing w:val="-1"/>
          <w:sz w:val="20"/>
          <w:szCs w:val="20"/>
          <w:lang w:val="en-GB"/>
        </w:rPr>
        <w:t>i</w:t>
      </w:r>
      <w:r w:rsidRPr="00851B9E">
        <w:rPr>
          <w:rFonts w:ascii="Arial" w:eastAsia="Arial" w:hAnsi="Arial" w:cs="Arial"/>
          <w:sz w:val="20"/>
          <w:szCs w:val="20"/>
          <w:lang w:val="en-GB"/>
        </w:rPr>
        <w:t>s or previo</w:t>
      </w:r>
      <w:r w:rsidRPr="00851B9E">
        <w:rPr>
          <w:rFonts w:ascii="Arial" w:eastAsia="Arial" w:hAnsi="Arial" w:cs="Arial"/>
          <w:spacing w:val="-1"/>
          <w:sz w:val="20"/>
          <w:szCs w:val="20"/>
          <w:lang w:val="en-GB"/>
        </w:rPr>
        <w:t>u</w:t>
      </w:r>
      <w:r w:rsidRPr="00851B9E">
        <w:rPr>
          <w:rFonts w:ascii="Arial" w:eastAsia="Arial" w:hAnsi="Arial" w:cs="Arial"/>
          <w:sz w:val="20"/>
          <w:szCs w:val="20"/>
          <w:lang w:val="en-GB"/>
        </w:rPr>
        <w:t>s tre</w:t>
      </w:r>
      <w:r w:rsidRPr="00851B9E">
        <w:rPr>
          <w:rFonts w:ascii="Arial" w:eastAsia="Arial" w:hAnsi="Arial" w:cs="Arial"/>
          <w:spacing w:val="-1"/>
          <w:sz w:val="20"/>
          <w:szCs w:val="20"/>
          <w:lang w:val="en-GB"/>
        </w:rPr>
        <w:t>a</w:t>
      </w:r>
      <w:r w:rsidRPr="00851B9E">
        <w:rPr>
          <w:rFonts w:ascii="Arial" w:eastAsia="Arial" w:hAnsi="Arial" w:cs="Arial"/>
          <w:sz w:val="20"/>
          <w:szCs w:val="20"/>
          <w:lang w:val="en-GB"/>
        </w:rPr>
        <w:t>tment failure</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 xml:space="preserve">on </w:t>
      </w:r>
      <w:proofErr w:type="spellStart"/>
      <w:r w:rsidRPr="00851B9E">
        <w:rPr>
          <w:rFonts w:ascii="Arial" w:eastAsia="Arial" w:hAnsi="Arial" w:cs="Arial"/>
          <w:sz w:val="20"/>
          <w:szCs w:val="20"/>
          <w:lang w:val="en-GB"/>
        </w:rPr>
        <w:t>etan</w:t>
      </w:r>
      <w:r w:rsidRPr="00851B9E">
        <w:rPr>
          <w:rFonts w:ascii="Arial" w:eastAsia="Arial" w:hAnsi="Arial" w:cs="Arial"/>
          <w:spacing w:val="-1"/>
          <w:sz w:val="20"/>
          <w:szCs w:val="20"/>
          <w:lang w:val="en-GB"/>
        </w:rPr>
        <w:t>e</w:t>
      </w:r>
      <w:r w:rsidRPr="00851B9E">
        <w:rPr>
          <w:rFonts w:ascii="Arial" w:eastAsia="Arial" w:hAnsi="Arial" w:cs="Arial"/>
          <w:sz w:val="20"/>
          <w:szCs w:val="20"/>
          <w:lang w:val="en-GB"/>
        </w:rPr>
        <w:t>rcept</w:t>
      </w:r>
      <w:proofErr w:type="spellEnd"/>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 xml:space="preserve">or fumarates </w:t>
      </w:r>
      <w:r w:rsidRPr="00851B9E">
        <w:rPr>
          <w:rFonts w:ascii="Arial" w:hAnsi="Arial" w:cs="Arial"/>
          <w:sz w:val="20"/>
          <w:szCs w:val="20"/>
          <w:lang w:val="en-GB"/>
        </w:rPr>
        <w:t>or had a clinically significant adverse event with prior use of both drugs.</w:t>
      </w:r>
      <w:r w:rsidRPr="00851B9E">
        <w:rPr>
          <w:rFonts w:ascii="Arial" w:eastAsia="Arial" w:hAnsi="Arial" w:cs="Arial"/>
          <w:sz w:val="20"/>
          <w:szCs w:val="20"/>
          <w:lang w:val="en-GB"/>
        </w:rPr>
        <w:t xml:space="preserve"> Pregnant or lactating women were not eligible.</w:t>
      </w:r>
    </w:p>
    <w:p w:rsidR="00882A5E" w:rsidRPr="00851B9E" w:rsidRDefault="00882A5E" w:rsidP="00882A5E">
      <w:pPr>
        <w:tabs>
          <w:tab w:val="left" w:pos="840"/>
        </w:tabs>
        <w:spacing w:after="0" w:line="480" w:lineRule="auto"/>
        <w:ind w:right="-20"/>
        <w:rPr>
          <w:rFonts w:ascii="Arial" w:eastAsia="Arial" w:hAnsi="Arial" w:cs="Arial"/>
          <w:sz w:val="20"/>
          <w:szCs w:val="20"/>
          <w:lang w:val="en-GB"/>
        </w:rPr>
      </w:pPr>
      <w:r w:rsidRPr="00851B9E">
        <w:rPr>
          <w:rFonts w:ascii="Arial" w:hAnsi="Arial" w:cs="Arial"/>
          <w:sz w:val="20"/>
          <w:szCs w:val="20"/>
          <w:lang w:val="en-GB"/>
        </w:rPr>
        <w:t xml:space="preserve">Patients with severe recalcitrant psoriasis who </w:t>
      </w:r>
      <w:r w:rsidR="00D90E66">
        <w:rPr>
          <w:rFonts w:ascii="Arial" w:hAnsi="Arial" w:cs="Arial"/>
          <w:sz w:val="20"/>
          <w:szCs w:val="20"/>
          <w:lang w:val="en-GB"/>
        </w:rPr>
        <w:t xml:space="preserve">had </w:t>
      </w:r>
      <w:r w:rsidRPr="00851B9E">
        <w:rPr>
          <w:rFonts w:ascii="Arial" w:hAnsi="Arial" w:cs="Arial"/>
          <w:sz w:val="20"/>
          <w:szCs w:val="20"/>
          <w:lang w:val="en-GB"/>
        </w:rPr>
        <w:t xml:space="preserve">experienced </w:t>
      </w:r>
      <w:r w:rsidR="00D90E66">
        <w:rPr>
          <w:rFonts w:ascii="Arial" w:hAnsi="Arial" w:cs="Arial"/>
          <w:sz w:val="20"/>
          <w:szCs w:val="20"/>
          <w:lang w:val="en-GB"/>
        </w:rPr>
        <w:t xml:space="preserve">a </w:t>
      </w:r>
      <w:r w:rsidRPr="00851B9E">
        <w:rPr>
          <w:rFonts w:ascii="Arial" w:hAnsi="Arial" w:cs="Arial"/>
          <w:sz w:val="20"/>
          <w:szCs w:val="20"/>
          <w:lang w:val="en-GB"/>
        </w:rPr>
        <w:t xml:space="preserve">lack of efficacy during prior use of other biologics were also eligible, in order to represent real-life daily practice. </w:t>
      </w:r>
      <w:r w:rsidRPr="00851B9E">
        <w:rPr>
          <w:rFonts w:ascii="Arial" w:eastAsia="Arial" w:hAnsi="Arial" w:cs="Arial"/>
          <w:sz w:val="20"/>
          <w:szCs w:val="20"/>
          <w:lang w:val="en-GB"/>
        </w:rPr>
        <w:t>The wash</w:t>
      </w:r>
      <w:r w:rsidR="00D90E66">
        <w:rPr>
          <w:rFonts w:ascii="Arial" w:eastAsia="Arial" w:hAnsi="Arial" w:cs="Arial"/>
          <w:sz w:val="20"/>
          <w:szCs w:val="20"/>
          <w:lang w:val="en-GB"/>
        </w:rPr>
        <w:t>-</w:t>
      </w:r>
      <w:r w:rsidRPr="00851B9E">
        <w:rPr>
          <w:rFonts w:ascii="Arial" w:eastAsia="Arial" w:hAnsi="Arial" w:cs="Arial"/>
          <w:sz w:val="20"/>
          <w:szCs w:val="20"/>
          <w:lang w:val="en-GB"/>
        </w:rPr>
        <w:t xml:space="preserve">out period for a TNF-blocking agent or any other biologic was </w:t>
      </w:r>
      <w:r w:rsidR="00D90E66">
        <w:rPr>
          <w:rFonts w:ascii="Arial" w:eastAsia="Arial" w:hAnsi="Arial" w:cs="Arial"/>
          <w:sz w:val="20"/>
          <w:szCs w:val="20"/>
          <w:lang w:val="en-GB"/>
        </w:rPr>
        <w:t>3</w:t>
      </w:r>
      <w:r w:rsidRPr="00851B9E">
        <w:rPr>
          <w:rFonts w:ascii="Arial" w:eastAsia="Arial" w:hAnsi="Arial" w:cs="Arial"/>
          <w:sz w:val="20"/>
          <w:szCs w:val="20"/>
          <w:lang w:val="en-GB"/>
        </w:rPr>
        <w:t xml:space="preserve"> months</w:t>
      </w:r>
      <w:r w:rsidR="00D90E66">
        <w:rPr>
          <w:rFonts w:ascii="Arial" w:eastAsia="Arial" w:hAnsi="Arial" w:cs="Arial"/>
          <w:sz w:val="20"/>
          <w:szCs w:val="20"/>
          <w:lang w:val="en-GB"/>
        </w:rPr>
        <w:t>,</w:t>
      </w:r>
      <w:r w:rsidRPr="00851B9E">
        <w:rPr>
          <w:rFonts w:ascii="Arial" w:eastAsia="Arial" w:hAnsi="Arial" w:cs="Arial"/>
          <w:sz w:val="20"/>
          <w:szCs w:val="20"/>
          <w:lang w:val="en-GB"/>
        </w:rPr>
        <w:t xml:space="preserve"> and for other systemic treatments (including fumarates) or UV therapy </w:t>
      </w:r>
      <w:r w:rsidR="00D90E66">
        <w:rPr>
          <w:rFonts w:ascii="Arial" w:eastAsia="Arial" w:hAnsi="Arial" w:cs="Arial"/>
          <w:sz w:val="20"/>
          <w:szCs w:val="20"/>
          <w:lang w:val="en-GB"/>
        </w:rPr>
        <w:t xml:space="preserve">it </w:t>
      </w:r>
      <w:r w:rsidRPr="00851B9E">
        <w:rPr>
          <w:rFonts w:ascii="Arial" w:eastAsia="Arial" w:hAnsi="Arial" w:cs="Arial"/>
          <w:sz w:val="20"/>
          <w:szCs w:val="20"/>
          <w:lang w:val="en-GB"/>
        </w:rPr>
        <w:t xml:space="preserve">was </w:t>
      </w:r>
      <w:r w:rsidR="00D90E66">
        <w:rPr>
          <w:rFonts w:ascii="Arial" w:eastAsia="Arial" w:hAnsi="Arial" w:cs="Arial"/>
          <w:sz w:val="20"/>
          <w:szCs w:val="20"/>
          <w:lang w:val="en-GB"/>
        </w:rPr>
        <w:t>4</w:t>
      </w:r>
      <w:r w:rsidRPr="00851B9E">
        <w:rPr>
          <w:rFonts w:ascii="Arial" w:eastAsia="Arial" w:hAnsi="Arial" w:cs="Arial"/>
          <w:sz w:val="20"/>
          <w:szCs w:val="20"/>
          <w:lang w:val="en-GB"/>
        </w:rPr>
        <w:t xml:space="preserve"> weeks. All patients were screened for </w:t>
      </w:r>
      <w:r w:rsidRPr="00851B9E">
        <w:rPr>
          <w:rFonts w:ascii="Arial" w:hAnsi="Arial" w:cs="Arial"/>
          <w:sz w:val="20"/>
          <w:szCs w:val="20"/>
          <w:lang w:val="en-GB"/>
        </w:rPr>
        <w:t>hepatitis B and C, HIV and (latent) tuberculosis according to the Dutch psoriasis treatment guidelines.</w:t>
      </w:r>
    </w:p>
    <w:p w:rsidR="00882A5E" w:rsidRPr="00851B9E" w:rsidRDefault="00882A5E" w:rsidP="00882A5E">
      <w:pPr>
        <w:tabs>
          <w:tab w:val="left" w:pos="840"/>
        </w:tabs>
        <w:spacing w:after="0" w:line="480" w:lineRule="auto"/>
        <w:ind w:right="-20"/>
        <w:rPr>
          <w:rFonts w:ascii="Arial" w:hAnsi="Arial" w:cs="Arial"/>
          <w:b/>
          <w:sz w:val="20"/>
          <w:szCs w:val="20"/>
          <w:lang w:val="en-GB"/>
        </w:rPr>
      </w:pPr>
    </w:p>
    <w:p w:rsidR="00882A5E" w:rsidRPr="006E22C9" w:rsidRDefault="00882A5E" w:rsidP="00882A5E">
      <w:pPr>
        <w:tabs>
          <w:tab w:val="left" w:pos="840"/>
        </w:tabs>
        <w:spacing w:after="0" w:line="480" w:lineRule="auto"/>
        <w:ind w:right="-20"/>
        <w:rPr>
          <w:rFonts w:ascii="Arial" w:hAnsi="Arial" w:cs="Arial"/>
          <w:i/>
          <w:sz w:val="20"/>
          <w:szCs w:val="20"/>
          <w:lang w:val="en-GB"/>
        </w:rPr>
      </w:pPr>
      <w:r w:rsidRPr="006E22C9">
        <w:rPr>
          <w:rFonts w:ascii="Arial" w:hAnsi="Arial" w:cs="Arial"/>
          <w:i/>
          <w:sz w:val="20"/>
          <w:szCs w:val="20"/>
          <w:lang w:val="en-GB"/>
        </w:rPr>
        <w:lastRenderedPageBreak/>
        <w:t xml:space="preserve">Study </w:t>
      </w:r>
      <w:r w:rsidR="00D90E66" w:rsidRPr="006E22C9">
        <w:rPr>
          <w:rFonts w:ascii="Arial" w:hAnsi="Arial" w:cs="Arial"/>
          <w:i/>
          <w:sz w:val="20"/>
          <w:szCs w:val="20"/>
          <w:lang w:val="en-GB"/>
        </w:rPr>
        <w:t>Objectives</w:t>
      </w:r>
    </w:p>
    <w:p w:rsidR="00882A5E" w:rsidRPr="00851B9E" w:rsidRDefault="00882A5E" w:rsidP="00882A5E">
      <w:pPr>
        <w:spacing w:after="0" w:line="480" w:lineRule="auto"/>
        <w:ind w:right="100"/>
        <w:rPr>
          <w:rFonts w:ascii="Arial" w:eastAsia="Arial" w:hAnsi="Arial" w:cs="Arial"/>
          <w:sz w:val="20"/>
          <w:szCs w:val="20"/>
          <w:lang w:val="en-GB"/>
        </w:rPr>
      </w:pPr>
      <w:r w:rsidRPr="00851B9E">
        <w:rPr>
          <w:rFonts w:ascii="Arial" w:eastAsia="Arial" w:hAnsi="Arial" w:cs="Arial"/>
          <w:sz w:val="20"/>
          <w:szCs w:val="20"/>
          <w:lang w:val="en-GB"/>
        </w:rPr>
        <w:t>The primary obj</w:t>
      </w:r>
      <w:r w:rsidRPr="00851B9E">
        <w:rPr>
          <w:rFonts w:ascii="Arial" w:eastAsia="Arial" w:hAnsi="Arial" w:cs="Arial"/>
          <w:spacing w:val="-1"/>
          <w:sz w:val="20"/>
          <w:szCs w:val="20"/>
          <w:lang w:val="en-GB"/>
        </w:rPr>
        <w:t>e</w:t>
      </w:r>
      <w:r w:rsidRPr="00851B9E">
        <w:rPr>
          <w:rFonts w:ascii="Arial" w:eastAsia="Arial" w:hAnsi="Arial" w:cs="Arial"/>
          <w:spacing w:val="1"/>
          <w:sz w:val="20"/>
          <w:szCs w:val="20"/>
          <w:lang w:val="en-GB"/>
        </w:rPr>
        <w:t>c</w:t>
      </w:r>
      <w:r w:rsidRPr="00851B9E">
        <w:rPr>
          <w:rFonts w:ascii="Arial" w:eastAsia="Arial" w:hAnsi="Arial" w:cs="Arial"/>
          <w:sz w:val="20"/>
          <w:szCs w:val="20"/>
          <w:lang w:val="en-GB"/>
        </w:rPr>
        <w:t>tive</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of</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this</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st</w:t>
      </w:r>
      <w:r w:rsidRPr="00851B9E">
        <w:rPr>
          <w:rFonts w:ascii="Arial" w:eastAsia="Arial" w:hAnsi="Arial" w:cs="Arial"/>
          <w:spacing w:val="-1"/>
          <w:sz w:val="20"/>
          <w:szCs w:val="20"/>
          <w:lang w:val="en-GB"/>
        </w:rPr>
        <w:t>u</w:t>
      </w:r>
      <w:r w:rsidRPr="00851B9E">
        <w:rPr>
          <w:rFonts w:ascii="Arial" w:eastAsia="Arial" w:hAnsi="Arial" w:cs="Arial"/>
          <w:sz w:val="20"/>
          <w:szCs w:val="20"/>
          <w:lang w:val="en-GB"/>
        </w:rPr>
        <w:t>dy</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was</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to</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com</w:t>
      </w:r>
      <w:r w:rsidRPr="00851B9E">
        <w:rPr>
          <w:rFonts w:ascii="Arial" w:eastAsia="Arial" w:hAnsi="Arial" w:cs="Arial"/>
          <w:spacing w:val="-1"/>
          <w:sz w:val="20"/>
          <w:szCs w:val="20"/>
          <w:lang w:val="en-GB"/>
        </w:rPr>
        <w:t>p</w:t>
      </w:r>
      <w:r w:rsidRPr="00851B9E">
        <w:rPr>
          <w:rFonts w:ascii="Arial" w:eastAsia="Arial" w:hAnsi="Arial" w:cs="Arial"/>
          <w:sz w:val="20"/>
          <w:szCs w:val="20"/>
          <w:lang w:val="en-GB"/>
        </w:rPr>
        <w:t>are</w:t>
      </w:r>
      <w:r w:rsidRPr="00851B9E">
        <w:rPr>
          <w:rFonts w:ascii="Arial" w:eastAsia="Arial" w:hAnsi="Arial" w:cs="Arial"/>
          <w:spacing w:val="3"/>
          <w:sz w:val="20"/>
          <w:szCs w:val="20"/>
          <w:lang w:val="en-GB"/>
        </w:rPr>
        <w:t xml:space="preserve"> </w:t>
      </w:r>
      <w:r w:rsidRPr="00851B9E">
        <w:rPr>
          <w:rFonts w:ascii="Arial" w:eastAsia="Arial" w:hAnsi="Arial" w:cs="Arial"/>
          <w:sz w:val="20"/>
          <w:szCs w:val="20"/>
          <w:lang w:val="en-GB"/>
        </w:rPr>
        <w:t>the</w:t>
      </w:r>
      <w:r w:rsidRPr="00851B9E">
        <w:rPr>
          <w:rFonts w:ascii="Arial" w:eastAsia="Arial" w:hAnsi="Arial" w:cs="Arial"/>
          <w:spacing w:val="1"/>
          <w:sz w:val="20"/>
          <w:szCs w:val="20"/>
          <w:lang w:val="en-GB"/>
        </w:rPr>
        <w:t xml:space="preserve"> clinical efficacy </w:t>
      </w:r>
      <w:r w:rsidRPr="00851B9E">
        <w:rPr>
          <w:rFonts w:ascii="Arial" w:eastAsia="Arial" w:hAnsi="Arial" w:cs="Arial"/>
          <w:sz w:val="20"/>
          <w:szCs w:val="20"/>
          <w:lang w:val="en-GB"/>
        </w:rPr>
        <w:t>of</w:t>
      </w:r>
      <w:r w:rsidRPr="00851B9E">
        <w:rPr>
          <w:rFonts w:ascii="Arial" w:eastAsia="Arial" w:hAnsi="Arial" w:cs="Arial"/>
          <w:spacing w:val="1"/>
          <w:sz w:val="20"/>
          <w:szCs w:val="20"/>
          <w:lang w:val="en-GB"/>
        </w:rPr>
        <w:t xml:space="preserve"> the combination therapy of </w:t>
      </w:r>
      <w:proofErr w:type="spellStart"/>
      <w:r w:rsidRPr="00851B9E">
        <w:rPr>
          <w:rFonts w:ascii="Arial" w:eastAsia="Arial" w:hAnsi="Arial" w:cs="Arial"/>
          <w:sz w:val="20"/>
          <w:szCs w:val="20"/>
          <w:lang w:val="en-GB"/>
        </w:rPr>
        <w:t>etanercept</w:t>
      </w:r>
      <w:proofErr w:type="spellEnd"/>
      <w:r w:rsidRPr="00851B9E">
        <w:rPr>
          <w:rFonts w:ascii="Arial" w:eastAsia="Arial" w:hAnsi="Arial" w:cs="Arial"/>
          <w:spacing w:val="1"/>
          <w:sz w:val="20"/>
          <w:szCs w:val="20"/>
          <w:lang w:val="en-GB"/>
        </w:rPr>
        <w:t xml:space="preserve"> and</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fumarates with</w:t>
      </w:r>
      <w:r w:rsidRPr="00851B9E">
        <w:rPr>
          <w:rFonts w:ascii="Arial" w:eastAsia="Arial" w:hAnsi="Arial" w:cs="Arial"/>
          <w:spacing w:val="2"/>
          <w:sz w:val="20"/>
          <w:szCs w:val="20"/>
          <w:lang w:val="en-GB"/>
        </w:rPr>
        <w:t xml:space="preserve"> </w:t>
      </w:r>
      <w:proofErr w:type="spellStart"/>
      <w:r w:rsidRPr="00851B9E">
        <w:rPr>
          <w:rFonts w:ascii="Arial" w:eastAsia="Arial" w:hAnsi="Arial" w:cs="Arial"/>
          <w:sz w:val="20"/>
          <w:szCs w:val="20"/>
          <w:lang w:val="en-GB"/>
        </w:rPr>
        <w:t>etanercept</w:t>
      </w:r>
      <w:proofErr w:type="spellEnd"/>
      <w:r w:rsidRPr="00851B9E">
        <w:rPr>
          <w:rFonts w:ascii="Arial" w:eastAsia="Arial" w:hAnsi="Arial" w:cs="Arial"/>
          <w:spacing w:val="2"/>
          <w:sz w:val="20"/>
          <w:szCs w:val="20"/>
          <w:lang w:val="en-GB"/>
        </w:rPr>
        <w:t xml:space="preserve"> monotherapy per label after 24 weeks. The clinical efficacy was expressed as the</w:t>
      </w:r>
      <w:r w:rsidRPr="00851B9E">
        <w:rPr>
          <w:rFonts w:ascii="Arial" w:eastAsia="Arial" w:hAnsi="Arial" w:cs="Arial"/>
          <w:sz w:val="20"/>
          <w:szCs w:val="20"/>
          <w:lang w:val="en-GB"/>
        </w:rPr>
        <w:t xml:space="preserve"> proportion</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of</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pa</w:t>
      </w:r>
      <w:r w:rsidRPr="00851B9E">
        <w:rPr>
          <w:rFonts w:ascii="Arial" w:eastAsia="Arial" w:hAnsi="Arial" w:cs="Arial"/>
          <w:spacing w:val="-1"/>
          <w:sz w:val="20"/>
          <w:szCs w:val="20"/>
          <w:lang w:val="en-GB"/>
        </w:rPr>
        <w:t>t</w:t>
      </w:r>
      <w:r w:rsidRPr="00851B9E">
        <w:rPr>
          <w:rFonts w:ascii="Arial" w:eastAsia="Arial" w:hAnsi="Arial" w:cs="Arial"/>
          <w:sz w:val="20"/>
          <w:szCs w:val="20"/>
          <w:lang w:val="en-GB"/>
        </w:rPr>
        <w:t>ients</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ach</w:t>
      </w:r>
      <w:r w:rsidRPr="00851B9E">
        <w:rPr>
          <w:rFonts w:ascii="Arial" w:eastAsia="Arial" w:hAnsi="Arial" w:cs="Arial"/>
          <w:spacing w:val="-1"/>
          <w:sz w:val="20"/>
          <w:szCs w:val="20"/>
          <w:lang w:val="en-GB"/>
        </w:rPr>
        <w:t>i</w:t>
      </w:r>
      <w:r w:rsidRPr="00851B9E">
        <w:rPr>
          <w:rFonts w:ascii="Arial" w:eastAsia="Arial" w:hAnsi="Arial" w:cs="Arial"/>
          <w:sz w:val="20"/>
          <w:szCs w:val="20"/>
          <w:lang w:val="en-GB"/>
        </w:rPr>
        <w:t>eving at least 75%</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 xml:space="preserve">reduction in their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after treatment. Additionally a longitudinal analysis was performed to assess the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reduction per week for each group. </w:t>
      </w:r>
    </w:p>
    <w:p w:rsidR="00882A5E" w:rsidRPr="00851B9E" w:rsidRDefault="00882A5E" w:rsidP="00882A5E">
      <w:pPr>
        <w:spacing w:line="480" w:lineRule="auto"/>
        <w:rPr>
          <w:rFonts w:ascii="Arial" w:eastAsia="Arial" w:hAnsi="Arial" w:cs="Arial"/>
          <w:b/>
          <w:sz w:val="20"/>
          <w:szCs w:val="20"/>
          <w:lang w:val="en-GB"/>
        </w:rPr>
      </w:pPr>
      <w:r w:rsidRPr="00851B9E">
        <w:rPr>
          <w:rFonts w:ascii="Arial" w:eastAsia="Arial" w:hAnsi="Arial" w:cs="Arial"/>
          <w:sz w:val="20"/>
          <w:szCs w:val="20"/>
          <w:lang w:val="en-GB"/>
        </w:rPr>
        <w:t>Secondary objectives were to evaluate the efficacy at week</w:t>
      </w:r>
      <w:r w:rsidR="00D90E66">
        <w:rPr>
          <w:rFonts w:ascii="Arial" w:eastAsia="Arial" w:hAnsi="Arial" w:cs="Arial"/>
          <w:sz w:val="20"/>
          <w:szCs w:val="20"/>
          <w:lang w:val="en-GB"/>
        </w:rPr>
        <w:t>s</w:t>
      </w:r>
      <w:r w:rsidRPr="00851B9E">
        <w:rPr>
          <w:rFonts w:ascii="Arial" w:eastAsia="Arial" w:hAnsi="Arial" w:cs="Arial"/>
          <w:sz w:val="20"/>
          <w:szCs w:val="20"/>
          <w:lang w:val="en-GB"/>
        </w:rPr>
        <w:t xml:space="preserve"> 12 and 48, the proportion of patients with a PGA clear or almost clear, the change in </w:t>
      </w:r>
      <w:proofErr w:type="spellStart"/>
      <w:r w:rsidRPr="00851B9E">
        <w:rPr>
          <w:rFonts w:ascii="Arial" w:eastAsia="Arial" w:hAnsi="Arial" w:cs="Arial"/>
          <w:sz w:val="20"/>
          <w:szCs w:val="20"/>
          <w:lang w:val="en-GB"/>
        </w:rPr>
        <w:t>DLQI</w:t>
      </w:r>
      <w:proofErr w:type="spellEnd"/>
      <w:r w:rsidRPr="00851B9E">
        <w:rPr>
          <w:rFonts w:ascii="Arial" w:eastAsia="Arial" w:hAnsi="Arial" w:cs="Arial"/>
          <w:sz w:val="20"/>
          <w:szCs w:val="20"/>
          <w:lang w:val="en-GB"/>
        </w:rPr>
        <w:t xml:space="preserve"> score, and treatment satisfaction (visual analog</w:t>
      </w:r>
      <w:r w:rsidR="00D90E66">
        <w:rPr>
          <w:rFonts w:ascii="Arial" w:eastAsia="Arial" w:hAnsi="Arial" w:cs="Arial"/>
          <w:sz w:val="20"/>
          <w:szCs w:val="20"/>
          <w:lang w:val="en-GB"/>
        </w:rPr>
        <w:t>ue</w:t>
      </w:r>
      <w:r w:rsidRPr="00851B9E">
        <w:rPr>
          <w:rFonts w:ascii="Arial" w:eastAsia="Arial" w:hAnsi="Arial" w:cs="Arial"/>
          <w:sz w:val="20"/>
          <w:szCs w:val="20"/>
          <w:lang w:val="en-GB"/>
        </w:rPr>
        <w:t xml:space="preserve"> scale) scores after 12, 24 and 48 weeks. Drug survival after </w:t>
      </w:r>
      <w:r w:rsidR="00D90E66">
        <w:rPr>
          <w:rFonts w:ascii="Arial" w:eastAsia="Arial" w:hAnsi="Arial" w:cs="Arial"/>
          <w:sz w:val="20"/>
          <w:szCs w:val="20"/>
          <w:lang w:val="en-GB"/>
        </w:rPr>
        <w:t>1</w:t>
      </w:r>
      <w:r w:rsidRPr="00851B9E">
        <w:rPr>
          <w:rFonts w:ascii="Arial" w:eastAsia="Arial" w:hAnsi="Arial" w:cs="Arial"/>
          <w:sz w:val="20"/>
          <w:szCs w:val="20"/>
          <w:lang w:val="en-GB"/>
        </w:rPr>
        <w:t xml:space="preserve"> year was assessed by a post hoc analysis and was defined as the proportion of patients who were still </w:t>
      </w:r>
      <w:r w:rsidR="00D90E66">
        <w:rPr>
          <w:rFonts w:ascii="Arial" w:eastAsia="Arial" w:hAnsi="Arial" w:cs="Arial"/>
          <w:sz w:val="20"/>
          <w:szCs w:val="20"/>
          <w:lang w:val="en-GB"/>
        </w:rPr>
        <w:t>under</w:t>
      </w:r>
      <w:r w:rsidRPr="00851B9E">
        <w:rPr>
          <w:rFonts w:ascii="Arial" w:eastAsia="Arial" w:hAnsi="Arial" w:cs="Arial"/>
          <w:sz w:val="20"/>
          <w:szCs w:val="20"/>
          <w:lang w:val="en-GB"/>
        </w:rPr>
        <w:t xml:space="preserve"> the treatment they </w:t>
      </w:r>
      <w:r w:rsidR="00D90E66">
        <w:rPr>
          <w:rFonts w:ascii="Arial" w:eastAsia="Arial" w:hAnsi="Arial" w:cs="Arial"/>
          <w:sz w:val="20"/>
          <w:szCs w:val="20"/>
          <w:lang w:val="en-GB"/>
        </w:rPr>
        <w:t>had</w:t>
      </w:r>
      <w:r w:rsidRPr="00851B9E">
        <w:rPr>
          <w:rFonts w:ascii="Arial" w:eastAsia="Arial" w:hAnsi="Arial" w:cs="Arial"/>
          <w:sz w:val="20"/>
          <w:szCs w:val="20"/>
          <w:lang w:val="en-GB"/>
        </w:rPr>
        <w:t xml:space="preserve"> originally </w:t>
      </w:r>
      <w:r w:rsidR="00D90E66">
        <w:rPr>
          <w:rFonts w:ascii="Arial" w:eastAsia="Arial" w:hAnsi="Arial" w:cs="Arial"/>
          <w:sz w:val="20"/>
          <w:szCs w:val="20"/>
          <w:lang w:val="en-GB"/>
        </w:rPr>
        <w:t xml:space="preserve">been </w:t>
      </w:r>
      <w:r w:rsidRPr="00851B9E">
        <w:rPr>
          <w:rFonts w:ascii="Arial" w:eastAsia="Arial" w:hAnsi="Arial" w:cs="Arial"/>
          <w:sz w:val="20"/>
          <w:szCs w:val="20"/>
          <w:lang w:val="en-GB"/>
        </w:rPr>
        <w:t xml:space="preserve">randomized to and who also achieved at least </w:t>
      </w:r>
      <w:r w:rsidR="00D90E66">
        <w:rPr>
          <w:rFonts w:ascii="Arial" w:eastAsia="Arial" w:hAnsi="Arial" w:cs="Arial"/>
          <w:sz w:val="20"/>
          <w:szCs w:val="20"/>
          <w:lang w:val="en-GB"/>
        </w:rPr>
        <w:t xml:space="preserve">a </w:t>
      </w:r>
      <w:r w:rsidRPr="00851B9E">
        <w:rPr>
          <w:rFonts w:ascii="Arial" w:eastAsia="Arial" w:hAnsi="Arial" w:cs="Arial"/>
          <w:sz w:val="20"/>
          <w:szCs w:val="20"/>
          <w:lang w:val="en-GB"/>
        </w:rPr>
        <w:t xml:space="preserve">75% reduction in their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Adverse events were collected through the entire study period. </w:t>
      </w:r>
    </w:p>
    <w:p w:rsidR="00882A5E" w:rsidRPr="006E22C9" w:rsidRDefault="00882A5E" w:rsidP="00882A5E">
      <w:pPr>
        <w:spacing w:after="0" w:line="480" w:lineRule="auto"/>
        <w:ind w:right="100"/>
        <w:rPr>
          <w:rFonts w:ascii="Arial" w:eastAsia="Arial" w:hAnsi="Arial" w:cs="Arial"/>
          <w:i/>
          <w:sz w:val="20"/>
          <w:szCs w:val="20"/>
          <w:lang w:val="en-GB"/>
        </w:rPr>
      </w:pPr>
      <w:r w:rsidRPr="006E22C9">
        <w:rPr>
          <w:rFonts w:ascii="Arial" w:eastAsia="Arial" w:hAnsi="Arial" w:cs="Arial"/>
          <w:i/>
          <w:sz w:val="20"/>
          <w:szCs w:val="20"/>
          <w:lang w:val="en-GB"/>
        </w:rPr>
        <w:t xml:space="preserve">Study </w:t>
      </w:r>
      <w:r w:rsidR="00D90E66" w:rsidRPr="006E22C9">
        <w:rPr>
          <w:rFonts w:ascii="Arial" w:eastAsia="Arial" w:hAnsi="Arial" w:cs="Arial"/>
          <w:i/>
          <w:sz w:val="20"/>
          <w:szCs w:val="20"/>
          <w:lang w:val="en-GB"/>
        </w:rPr>
        <w:t>Procedures</w:t>
      </w:r>
    </w:p>
    <w:p w:rsidR="00882A5E" w:rsidRPr="00851B9E" w:rsidRDefault="00882A5E" w:rsidP="00882A5E">
      <w:pPr>
        <w:spacing w:after="0" w:line="480" w:lineRule="auto"/>
        <w:ind w:right="100"/>
        <w:rPr>
          <w:rFonts w:ascii="Arial" w:eastAsia="Arial" w:hAnsi="Arial" w:cs="Arial"/>
          <w:sz w:val="20"/>
          <w:szCs w:val="20"/>
          <w:lang w:val="en-GB"/>
        </w:rPr>
      </w:pPr>
      <w:r w:rsidRPr="00851B9E">
        <w:rPr>
          <w:rFonts w:ascii="Arial" w:eastAsia="Arial" w:hAnsi="Arial" w:cs="Arial"/>
          <w:sz w:val="20"/>
          <w:szCs w:val="20"/>
          <w:lang w:val="en-GB"/>
        </w:rPr>
        <w:t>Using</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a com</w:t>
      </w:r>
      <w:r w:rsidRPr="00851B9E">
        <w:rPr>
          <w:rFonts w:ascii="Arial" w:eastAsia="Arial" w:hAnsi="Arial" w:cs="Arial"/>
          <w:spacing w:val="-1"/>
          <w:sz w:val="20"/>
          <w:szCs w:val="20"/>
          <w:lang w:val="en-GB"/>
        </w:rPr>
        <w:t>p</w:t>
      </w:r>
      <w:r w:rsidRPr="00851B9E">
        <w:rPr>
          <w:rFonts w:ascii="Arial" w:eastAsia="Arial" w:hAnsi="Arial" w:cs="Arial"/>
          <w:sz w:val="20"/>
          <w:szCs w:val="20"/>
          <w:lang w:val="en-GB"/>
        </w:rPr>
        <w:t>uter-g</w:t>
      </w:r>
      <w:r w:rsidRPr="00851B9E">
        <w:rPr>
          <w:rFonts w:ascii="Arial" w:eastAsia="Arial" w:hAnsi="Arial" w:cs="Arial"/>
          <w:spacing w:val="-1"/>
          <w:sz w:val="20"/>
          <w:szCs w:val="20"/>
          <w:lang w:val="en-GB"/>
        </w:rPr>
        <w:t>e</w:t>
      </w:r>
      <w:r w:rsidRPr="00851B9E">
        <w:rPr>
          <w:rFonts w:ascii="Arial" w:eastAsia="Arial" w:hAnsi="Arial" w:cs="Arial"/>
          <w:sz w:val="20"/>
          <w:szCs w:val="20"/>
          <w:lang w:val="en-GB"/>
        </w:rPr>
        <w:t>nerat</w:t>
      </w:r>
      <w:r w:rsidRPr="00851B9E">
        <w:rPr>
          <w:rFonts w:ascii="Arial" w:eastAsia="Arial" w:hAnsi="Arial" w:cs="Arial"/>
          <w:spacing w:val="-1"/>
          <w:sz w:val="20"/>
          <w:szCs w:val="20"/>
          <w:lang w:val="en-GB"/>
        </w:rPr>
        <w:t>e</w:t>
      </w:r>
      <w:r w:rsidRPr="00851B9E">
        <w:rPr>
          <w:rFonts w:ascii="Arial" w:eastAsia="Arial" w:hAnsi="Arial" w:cs="Arial"/>
          <w:sz w:val="20"/>
          <w:szCs w:val="20"/>
          <w:lang w:val="en-GB"/>
        </w:rPr>
        <w:t>d</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r</w:t>
      </w:r>
      <w:r w:rsidRPr="00851B9E">
        <w:rPr>
          <w:rFonts w:ascii="Arial" w:eastAsia="Arial" w:hAnsi="Arial" w:cs="Arial"/>
          <w:spacing w:val="-1"/>
          <w:sz w:val="20"/>
          <w:szCs w:val="20"/>
          <w:lang w:val="en-GB"/>
        </w:rPr>
        <w:t>a</w:t>
      </w:r>
      <w:r w:rsidRPr="00851B9E">
        <w:rPr>
          <w:rFonts w:ascii="Arial" w:eastAsia="Arial" w:hAnsi="Arial" w:cs="Arial"/>
          <w:sz w:val="20"/>
          <w:szCs w:val="20"/>
          <w:lang w:val="en-GB"/>
        </w:rPr>
        <w:t>n</w:t>
      </w:r>
      <w:r w:rsidRPr="00851B9E">
        <w:rPr>
          <w:rFonts w:ascii="Arial" w:eastAsia="Arial" w:hAnsi="Arial" w:cs="Arial"/>
          <w:spacing w:val="-1"/>
          <w:sz w:val="20"/>
          <w:szCs w:val="20"/>
          <w:lang w:val="en-GB"/>
        </w:rPr>
        <w:t>d</w:t>
      </w:r>
      <w:r w:rsidRPr="00851B9E">
        <w:rPr>
          <w:rFonts w:ascii="Arial" w:eastAsia="Arial" w:hAnsi="Arial" w:cs="Arial"/>
          <w:sz w:val="20"/>
          <w:szCs w:val="20"/>
          <w:lang w:val="en-GB"/>
        </w:rPr>
        <w:t>omizati</w:t>
      </w:r>
      <w:r w:rsidRPr="00851B9E">
        <w:rPr>
          <w:rFonts w:ascii="Arial" w:eastAsia="Arial" w:hAnsi="Arial" w:cs="Arial"/>
          <w:spacing w:val="-1"/>
          <w:sz w:val="20"/>
          <w:szCs w:val="20"/>
          <w:lang w:val="en-GB"/>
        </w:rPr>
        <w:t>o</w:t>
      </w:r>
      <w:r w:rsidRPr="00851B9E">
        <w:rPr>
          <w:rFonts w:ascii="Arial" w:eastAsia="Arial" w:hAnsi="Arial" w:cs="Arial"/>
          <w:sz w:val="20"/>
          <w:szCs w:val="20"/>
          <w:lang w:val="en-GB"/>
        </w:rPr>
        <w:t>n</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list, patients were randomized</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 xml:space="preserve">at baseline to a 1:1 ratio to </w:t>
      </w:r>
      <w:proofErr w:type="gramStart"/>
      <w:r w:rsidRPr="00851B9E">
        <w:rPr>
          <w:rFonts w:ascii="Arial" w:eastAsia="Arial" w:hAnsi="Arial" w:cs="Arial"/>
          <w:sz w:val="20"/>
          <w:szCs w:val="20"/>
          <w:lang w:val="en-GB"/>
        </w:rPr>
        <w:t>receive</w:t>
      </w:r>
      <w:proofErr w:type="gramEnd"/>
      <w:r w:rsidRPr="00851B9E">
        <w:rPr>
          <w:rFonts w:ascii="Arial" w:eastAsia="Arial" w:hAnsi="Arial" w:cs="Arial"/>
          <w:sz w:val="20"/>
          <w:szCs w:val="20"/>
          <w:lang w:val="en-GB"/>
        </w:rPr>
        <w:t xml:space="preserve"> either </w:t>
      </w:r>
      <w:proofErr w:type="spellStart"/>
      <w:r w:rsidRPr="00851B9E">
        <w:rPr>
          <w:rFonts w:ascii="Arial" w:eastAsia="Arial" w:hAnsi="Arial" w:cs="Arial"/>
          <w:sz w:val="20"/>
          <w:szCs w:val="20"/>
          <w:lang w:val="en-GB"/>
        </w:rPr>
        <w:t>etanercept</w:t>
      </w:r>
      <w:proofErr w:type="spellEnd"/>
      <w:r w:rsidRPr="00851B9E">
        <w:rPr>
          <w:rFonts w:ascii="Arial" w:eastAsia="Arial" w:hAnsi="Arial" w:cs="Arial"/>
          <w:sz w:val="20"/>
          <w:szCs w:val="20"/>
          <w:lang w:val="en-GB"/>
        </w:rPr>
        <w:t xml:space="preserve"> combined with oral fumarates (combination group) or </w:t>
      </w:r>
      <w:proofErr w:type="spellStart"/>
      <w:r w:rsidRPr="00851B9E">
        <w:rPr>
          <w:rFonts w:ascii="Arial" w:eastAsia="Arial" w:hAnsi="Arial" w:cs="Arial"/>
          <w:sz w:val="20"/>
          <w:szCs w:val="20"/>
          <w:lang w:val="en-GB"/>
        </w:rPr>
        <w:t>etanercept</w:t>
      </w:r>
      <w:proofErr w:type="spellEnd"/>
      <w:r w:rsidRPr="00851B9E">
        <w:rPr>
          <w:rFonts w:ascii="Arial" w:eastAsia="Arial" w:hAnsi="Arial" w:cs="Arial"/>
          <w:sz w:val="20"/>
          <w:szCs w:val="20"/>
          <w:lang w:val="en-GB"/>
        </w:rPr>
        <w:t xml:space="preserve"> only (monotherapy group). Patients and the study physicians were not blinded for the allocated treatment group. The independent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assessor (</w:t>
      </w:r>
      <w:proofErr w:type="spellStart"/>
      <w:r w:rsidRPr="00851B9E">
        <w:rPr>
          <w:rFonts w:ascii="Arial" w:eastAsia="Arial" w:hAnsi="Arial" w:cs="Arial"/>
          <w:sz w:val="20"/>
          <w:szCs w:val="20"/>
          <w:lang w:val="en-GB"/>
        </w:rPr>
        <w:t>E</w:t>
      </w:r>
      <w:r w:rsidR="00276174">
        <w:rPr>
          <w:rFonts w:ascii="Arial" w:eastAsia="Arial" w:hAnsi="Arial" w:cs="Arial"/>
          <w:sz w:val="20"/>
          <w:szCs w:val="20"/>
          <w:lang w:val="en-GB"/>
        </w:rPr>
        <w:t>.</w:t>
      </w:r>
      <w:r w:rsidRPr="00851B9E">
        <w:rPr>
          <w:rFonts w:ascii="Arial" w:eastAsia="Arial" w:hAnsi="Arial" w:cs="Arial"/>
          <w:sz w:val="20"/>
          <w:szCs w:val="20"/>
          <w:lang w:val="en-GB"/>
        </w:rPr>
        <w:t>P</w:t>
      </w:r>
      <w:r w:rsidR="00276174">
        <w:rPr>
          <w:rFonts w:ascii="Arial" w:eastAsia="Arial" w:hAnsi="Arial" w:cs="Arial"/>
          <w:sz w:val="20"/>
          <w:szCs w:val="20"/>
          <w:lang w:val="en-GB"/>
        </w:rPr>
        <w:t>.</w:t>
      </w:r>
      <w:r w:rsidR="00BA7D97">
        <w:rPr>
          <w:rFonts w:ascii="Arial" w:eastAsia="Arial" w:hAnsi="Arial" w:cs="Arial"/>
          <w:sz w:val="20"/>
          <w:szCs w:val="20"/>
          <w:lang w:val="en-GB"/>
        </w:rPr>
        <w:t>P</w:t>
      </w:r>
      <w:proofErr w:type="spellEnd"/>
      <w:r w:rsidR="00BA7D97">
        <w:rPr>
          <w:rFonts w:ascii="Arial" w:eastAsia="Arial" w:hAnsi="Arial" w:cs="Arial"/>
          <w:sz w:val="20"/>
          <w:szCs w:val="20"/>
          <w:lang w:val="en-GB"/>
        </w:rPr>
        <w:t>.</w:t>
      </w:r>
      <w:r w:rsidRPr="00851B9E">
        <w:rPr>
          <w:rFonts w:ascii="Arial" w:eastAsia="Arial" w:hAnsi="Arial" w:cs="Arial"/>
          <w:sz w:val="20"/>
          <w:szCs w:val="20"/>
          <w:lang w:val="en-GB"/>
        </w:rPr>
        <w:t>) was blinded to treatment throughout the course of the study.</w:t>
      </w:r>
    </w:p>
    <w:p w:rsidR="00882A5E" w:rsidRPr="00851B9E" w:rsidRDefault="00882A5E" w:rsidP="00882A5E">
      <w:pPr>
        <w:spacing w:after="0" w:line="480" w:lineRule="auto"/>
        <w:ind w:right="100"/>
        <w:rPr>
          <w:rFonts w:ascii="Arial" w:eastAsia="Arial" w:hAnsi="Arial" w:cs="Arial"/>
          <w:sz w:val="20"/>
          <w:szCs w:val="20"/>
          <w:lang w:val="en-GB"/>
        </w:rPr>
      </w:pPr>
      <w:r w:rsidRPr="00851B9E">
        <w:rPr>
          <w:rFonts w:ascii="Arial" w:eastAsia="Arial" w:hAnsi="Arial" w:cs="Arial"/>
          <w:sz w:val="20"/>
          <w:szCs w:val="20"/>
          <w:lang w:val="en-GB"/>
        </w:rPr>
        <w:t xml:space="preserve">All patients received </w:t>
      </w:r>
      <w:proofErr w:type="spellStart"/>
      <w:r w:rsidRPr="00851B9E">
        <w:rPr>
          <w:rFonts w:ascii="Arial" w:eastAsia="Arial" w:hAnsi="Arial" w:cs="Arial"/>
          <w:sz w:val="20"/>
          <w:szCs w:val="20"/>
          <w:lang w:val="en-GB"/>
        </w:rPr>
        <w:t>etanercept</w:t>
      </w:r>
      <w:proofErr w:type="spellEnd"/>
      <w:r w:rsidRPr="00851B9E">
        <w:rPr>
          <w:rFonts w:ascii="Arial" w:eastAsia="Arial" w:hAnsi="Arial" w:cs="Arial"/>
          <w:sz w:val="20"/>
          <w:szCs w:val="20"/>
          <w:lang w:val="en-GB"/>
        </w:rPr>
        <w:t xml:space="preserve"> 50 mg subcutaneously twice weekly for 12 weeks followed by 50 mg once weekly for an additional 12 weeks. Subjects randomized to the combination group were treated with additional fumarates, of which the daily dose was gradually increased </w:t>
      </w:r>
      <w:r w:rsidR="00276174">
        <w:rPr>
          <w:rFonts w:ascii="Arial" w:eastAsia="Arial" w:hAnsi="Arial" w:cs="Arial"/>
          <w:sz w:val="20"/>
          <w:szCs w:val="20"/>
          <w:lang w:val="en-GB"/>
        </w:rPr>
        <w:t>with</w:t>
      </w:r>
      <w:r w:rsidRPr="00851B9E">
        <w:rPr>
          <w:rFonts w:ascii="Arial" w:eastAsia="Arial" w:hAnsi="Arial" w:cs="Arial"/>
          <w:sz w:val="20"/>
          <w:szCs w:val="20"/>
          <w:lang w:val="en-GB"/>
        </w:rPr>
        <w:t xml:space="preserve">in 4 weeks from 215 mg once daily up to a maximum of 215 mg </w:t>
      </w:r>
      <w:r w:rsidR="00276174">
        <w:rPr>
          <w:rFonts w:ascii="Arial" w:eastAsia="Arial" w:hAnsi="Arial" w:cs="Arial"/>
          <w:sz w:val="20"/>
          <w:szCs w:val="20"/>
          <w:lang w:val="en-GB"/>
        </w:rPr>
        <w:t>4</w:t>
      </w:r>
      <w:r w:rsidRPr="00851B9E">
        <w:rPr>
          <w:rFonts w:ascii="Arial" w:eastAsia="Arial" w:hAnsi="Arial" w:cs="Arial"/>
          <w:sz w:val="20"/>
          <w:szCs w:val="20"/>
          <w:lang w:val="en-GB"/>
        </w:rPr>
        <w:t xml:space="preserve"> times a day. A large batch of enteric-coated tablets containing a total of 215 mg </w:t>
      </w:r>
      <w:proofErr w:type="spellStart"/>
      <w:r w:rsidRPr="00851B9E">
        <w:rPr>
          <w:rFonts w:ascii="Arial" w:eastAsia="Arial" w:hAnsi="Arial" w:cs="Arial"/>
          <w:sz w:val="20"/>
          <w:szCs w:val="20"/>
          <w:lang w:val="en-GB"/>
        </w:rPr>
        <w:t>fumaric</w:t>
      </w:r>
      <w:proofErr w:type="spellEnd"/>
      <w:r w:rsidRPr="00851B9E">
        <w:rPr>
          <w:rFonts w:ascii="Arial" w:eastAsia="Arial" w:hAnsi="Arial" w:cs="Arial"/>
          <w:sz w:val="20"/>
          <w:szCs w:val="20"/>
          <w:lang w:val="en-GB"/>
        </w:rPr>
        <w:t xml:space="preserve"> acid esters (120 mg </w:t>
      </w:r>
      <w:proofErr w:type="spellStart"/>
      <w:r w:rsidRPr="00851B9E">
        <w:rPr>
          <w:rFonts w:ascii="Arial" w:eastAsia="Arial" w:hAnsi="Arial" w:cs="Arial"/>
          <w:sz w:val="20"/>
          <w:szCs w:val="20"/>
          <w:lang w:val="en-GB"/>
        </w:rPr>
        <w:t>dimethylfumarate</w:t>
      </w:r>
      <w:proofErr w:type="spellEnd"/>
      <w:r w:rsidRPr="00851B9E">
        <w:rPr>
          <w:rFonts w:ascii="Arial" w:eastAsia="Arial" w:hAnsi="Arial" w:cs="Arial"/>
          <w:sz w:val="20"/>
          <w:szCs w:val="20"/>
          <w:lang w:val="en-GB"/>
        </w:rPr>
        <w:t xml:space="preserve"> and 95 mg calcium</w:t>
      </w:r>
      <w:r w:rsidR="00276174">
        <w:rPr>
          <w:rFonts w:ascii="Arial" w:eastAsia="Arial" w:hAnsi="Arial" w:cs="Arial"/>
          <w:sz w:val="20"/>
          <w:szCs w:val="20"/>
          <w:lang w:val="en-GB"/>
        </w:rPr>
        <w:t xml:space="preserve"> </w:t>
      </w:r>
      <w:r w:rsidRPr="00851B9E">
        <w:rPr>
          <w:rFonts w:ascii="Arial" w:eastAsia="Arial" w:hAnsi="Arial" w:cs="Arial"/>
          <w:sz w:val="20"/>
          <w:szCs w:val="20"/>
          <w:lang w:val="en-GB"/>
        </w:rPr>
        <w:t>mono</w:t>
      </w:r>
      <w:r w:rsidR="00276174">
        <w:rPr>
          <w:rFonts w:ascii="Arial" w:eastAsia="Arial" w:hAnsi="Arial" w:cs="Arial"/>
          <w:sz w:val="20"/>
          <w:szCs w:val="20"/>
          <w:lang w:val="en-GB"/>
        </w:rPr>
        <w:t>-</w:t>
      </w:r>
      <w:proofErr w:type="spellStart"/>
      <w:r w:rsidRPr="00851B9E">
        <w:rPr>
          <w:rFonts w:ascii="Arial" w:eastAsia="Arial" w:hAnsi="Arial" w:cs="Arial"/>
          <w:sz w:val="20"/>
          <w:szCs w:val="20"/>
          <w:lang w:val="en-GB"/>
        </w:rPr>
        <w:t>ethylfumarate</w:t>
      </w:r>
      <w:proofErr w:type="spellEnd"/>
      <w:r w:rsidRPr="00851B9E">
        <w:rPr>
          <w:rFonts w:ascii="Arial" w:eastAsia="Arial" w:hAnsi="Arial" w:cs="Arial"/>
          <w:sz w:val="20"/>
          <w:szCs w:val="20"/>
          <w:lang w:val="en-GB"/>
        </w:rPr>
        <w:t xml:space="preserve">) was specifically manufactured for this trial by </w:t>
      </w:r>
      <w:proofErr w:type="spellStart"/>
      <w:r w:rsidRPr="00851B9E">
        <w:rPr>
          <w:rFonts w:ascii="Arial" w:eastAsia="Arial" w:hAnsi="Arial" w:cs="Arial"/>
          <w:sz w:val="20"/>
          <w:szCs w:val="20"/>
          <w:lang w:val="en-GB"/>
        </w:rPr>
        <w:t>Fagron</w:t>
      </w:r>
      <w:proofErr w:type="spellEnd"/>
      <w:r w:rsidRPr="00851B9E">
        <w:rPr>
          <w:rFonts w:ascii="Arial" w:eastAsia="Arial" w:hAnsi="Arial" w:cs="Arial"/>
          <w:sz w:val="20"/>
          <w:szCs w:val="20"/>
          <w:lang w:val="en-GB"/>
        </w:rPr>
        <w:t xml:space="preserve"> (</w:t>
      </w:r>
      <w:proofErr w:type="spellStart"/>
      <w:r w:rsidRPr="00851B9E">
        <w:rPr>
          <w:rFonts w:ascii="Arial" w:eastAsia="Arial" w:hAnsi="Arial" w:cs="Arial"/>
          <w:sz w:val="20"/>
          <w:szCs w:val="20"/>
          <w:lang w:val="en-GB"/>
        </w:rPr>
        <w:t>Capelle</w:t>
      </w:r>
      <w:proofErr w:type="spellEnd"/>
      <w:r w:rsidRPr="00851B9E">
        <w:rPr>
          <w:rFonts w:ascii="Arial" w:eastAsia="Arial" w:hAnsi="Arial" w:cs="Arial"/>
          <w:sz w:val="20"/>
          <w:szCs w:val="20"/>
          <w:lang w:val="en-GB"/>
        </w:rPr>
        <w:t xml:space="preserve"> </w:t>
      </w:r>
      <w:proofErr w:type="spellStart"/>
      <w:r w:rsidRPr="00851B9E">
        <w:rPr>
          <w:rFonts w:ascii="Arial" w:eastAsia="Arial" w:hAnsi="Arial" w:cs="Arial"/>
          <w:sz w:val="20"/>
          <w:szCs w:val="20"/>
          <w:lang w:val="en-GB"/>
        </w:rPr>
        <w:t>aan</w:t>
      </w:r>
      <w:proofErr w:type="spellEnd"/>
      <w:r w:rsidRPr="00851B9E">
        <w:rPr>
          <w:rFonts w:ascii="Arial" w:eastAsia="Arial" w:hAnsi="Arial" w:cs="Arial"/>
          <w:sz w:val="20"/>
          <w:szCs w:val="20"/>
          <w:lang w:val="en-GB"/>
        </w:rPr>
        <w:t xml:space="preserve"> den </w:t>
      </w:r>
      <w:proofErr w:type="spellStart"/>
      <w:r w:rsidRPr="00851B9E">
        <w:rPr>
          <w:rFonts w:ascii="Arial" w:eastAsia="Arial" w:hAnsi="Arial" w:cs="Arial"/>
          <w:sz w:val="20"/>
          <w:szCs w:val="20"/>
          <w:lang w:val="en-GB"/>
        </w:rPr>
        <w:t>IJssel</w:t>
      </w:r>
      <w:proofErr w:type="spellEnd"/>
      <w:r w:rsidRPr="00851B9E">
        <w:rPr>
          <w:rFonts w:ascii="Arial" w:eastAsia="Arial" w:hAnsi="Arial" w:cs="Arial"/>
          <w:sz w:val="20"/>
          <w:szCs w:val="20"/>
          <w:lang w:val="en-GB"/>
        </w:rPr>
        <w:t xml:space="preserve">, </w:t>
      </w:r>
      <w:r w:rsidR="00276174" w:rsidRPr="00851B9E">
        <w:rPr>
          <w:rFonts w:ascii="Arial" w:eastAsia="Arial" w:hAnsi="Arial" w:cs="Arial"/>
          <w:sz w:val="20"/>
          <w:szCs w:val="20"/>
          <w:lang w:val="en-GB"/>
        </w:rPr>
        <w:t>t</w:t>
      </w:r>
      <w:r w:rsidRPr="00851B9E">
        <w:rPr>
          <w:rFonts w:ascii="Arial" w:eastAsia="Arial" w:hAnsi="Arial" w:cs="Arial"/>
          <w:sz w:val="20"/>
          <w:szCs w:val="20"/>
          <w:lang w:val="en-GB"/>
        </w:rPr>
        <w:t>he Netherlands).</w:t>
      </w:r>
    </w:p>
    <w:p w:rsidR="00882A5E" w:rsidRPr="00851B9E" w:rsidRDefault="00882A5E" w:rsidP="00882A5E">
      <w:pPr>
        <w:spacing w:after="0" w:line="480" w:lineRule="auto"/>
        <w:ind w:right="100"/>
        <w:rPr>
          <w:rFonts w:ascii="Arial" w:hAnsi="Arial" w:cs="Arial"/>
          <w:sz w:val="20"/>
          <w:szCs w:val="20"/>
          <w:lang w:val="en-GB"/>
        </w:rPr>
      </w:pPr>
      <w:r w:rsidRPr="00851B9E">
        <w:rPr>
          <w:rFonts w:ascii="Arial" w:eastAsia="Arial" w:hAnsi="Arial" w:cs="Arial"/>
          <w:sz w:val="20"/>
          <w:szCs w:val="20"/>
          <w:lang w:val="en-GB"/>
        </w:rPr>
        <w:t xml:space="preserve">Patients in the monotherapy group who did not achieve a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-75 response after 24 weeks were switched to the combination therapy (</w:t>
      </w:r>
      <w:r w:rsidR="005070AF">
        <w:rPr>
          <w:rFonts w:ascii="Arial" w:eastAsia="Arial" w:hAnsi="Arial" w:cs="Arial"/>
          <w:sz w:val="20"/>
          <w:szCs w:val="20"/>
          <w:lang w:val="en-GB"/>
        </w:rPr>
        <w:t xml:space="preserve">suppl. </w:t>
      </w:r>
      <w:r w:rsidR="00276174" w:rsidRPr="00851B9E">
        <w:rPr>
          <w:rFonts w:ascii="Arial" w:eastAsia="Arial" w:hAnsi="Arial" w:cs="Arial"/>
          <w:sz w:val="20"/>
          <w:szCs w:val="20"/>
          <w:lang w:val="en-GB"/>
        </w:rPr>
        <w:t>f</w:t>
      </w:r>
      <w:r w:rsidRPr="00851B9E">
        <w:rPr>
          <w:rFonts w:ascii="Arial" w:eastAsia="Arial" w:hAnsi="Arial" w:cs="Arial"/>
          <w:sz w:val="20"/>
          <w:szCs w:val="20"/>
          <w:lang w:val="en-GB"/>
        </w:rPr>
        <w:t>ig. 1</w:t>
      </w:r>
      <w:r w:rsidR="00BA7D97">
        <w:rPr>
          <w:rFonts w:ascii="Arial" w:eastAsia="Arial" w:hAnsi="Arial" w:cs="Arial"/>
          <w:sz w:val="20"/>
          <w:szCs w:val="20"/>
          <w:lang w:val="en-GB"/>
        </w:rPr>
        <w:t>, 2</w:t>
      </w:r>
      <w:r w:rsidRPr="00851B9E">
        <w:rPr>
          <w:rFonts w:ascii="Arial" w:eastAsia="Arial" w:hAnsi="Arial" w:cs="Arial"/>
          <w:sz w:val="20"/>
          <w:szCs w:val="20"/>
          <w:lang w:val="en-GB"/>
        </w:rPr>
        <w:t>). Patient visits were scheduled at week</w:t>
      </w:r>
      <w:r w:rsidR="005070AF">
        <w:rPr>
          <w:rFonts w:ascii="Arial" w:eastAsia="Arial" w:hAnsi="Arial" w:cs="Arial"/>
          <w:sz w:val="20"/>
          <w:szCs w:val="20"/>
          <w:lang w:val="en-GB"/>
        </w:rPr>
        <w:t>s</w:t>
      </w:r>
      <w:r w:rsidRPr="00851B9E">
        <w:rPr>
          <w:rFonts w:ascii="Arial" w:eastAsia="Arial" w:hAnsi="Arial" w:cs="Arial"/>
          <w:sz w:val="20"/>
          <w:szCs w:val="20"/>
          <w:lang w:val="en-GB"/>
        </w:rPr>
        <w:t xml:space="preserve"> 4, 8, 12, 16, 20, 24, 28, 32, 36, 40 and 48. At each study visit, data were collected </w:t>
      </w:r>
      <w:r w:rsidRPr="00851B9E">
        <w:rPr>
          <w:rFonts w:ascii="Arial" w:hAnsi="Arial" w:cs="Arial"/>
          <w:sz w:val="20"/>
          <w:szCs w:val="20"/>
          <w:lang w:val="en-GB"/>
        </w:rPr>
        <w:t xml:space="preserve">on </w:t>
      </w:r>
      <w:proofErr w:type="spellStart"/>
      <w:r w:rsidRPr="00851B9E">
        <w:rPr>
          <w:rFonts w:ascii="Arial" w:hAnsi="Arial" w:cs="Arial"/>
          <w:sz w:val="20"/>
          <w:szCs w:val="20"/>
          <w:lang w:val="en-GB"/>
        </w:rPr>
        <w:t>PASI</w:t>
      </w:r>
      <w:proofErr w:type="spellEnd"/>
      <w:r w:rsidRPr="00851B9E">
        <w:rPr>
          <w:rFonts w:ascii="Arial" w:hAnsi="Arial" w:cs="Arial"/>
          <w:sz w:val="20"/>
          <w:szCs w:val="20"/>
          <w:lang w:val="en-GB"/>
        </w:rPr>
        <w:t xml:space="preserve"> and PGA scores</w:t>
      </w:r>
      <w:r w:rsidRPr="00851B9E">
        <w:rPr>
          <w:rFonts w:ascii="Arial" w:eastAsia="Arial" w:hAnsi="Arial" w:cs="Arial"/>
          <w:sz w:val="20"/>
          <w:szCs w:val="20"/>
          <w:lang w:val="en-GB"/>
        </w:rPr>
        <w:t xml:space="preserve">, tolerability, adverse events and </w:t>
      </w:r>
      <w:r w:rsidRPr="00851B9E">
        <w:rPr>
          <w:rFonts w:ascii="Arial" w:hAnsi="Arial" w:cs="Arial"/>
          <w:sz w:val="20"/>
          <w:szCs w:val="20"/>
          <w:lang w:val="en-GB"/>
        </w:rPr>
        <w:t xml:space="preserve">laboratory testing (full blood count, aspartate aminotransferase, alanine </w:t>
      </w:r>
      <w:r w:rsidRPr="00851B9E">
        <w:rPr>
          <w:rFonts w:ascii="Arial" w:hAnsi="Arial" w:cs="Arial"/>
          <w:sz w:val="20"/>
          <w:szCs w:val="20"/>
          <w:lang w:val="en-GB"/>
        </w:rPr>
        <w:lastRenderedPageBreak/>
        <w:t xml:space="preserve">aminotransferase, bilirubin, </w:t>
      </w:r>
      <w:r w:rsidR="005070AF" w:rsidRPr="005070AF">
        <w:rPr>
          <w:rFonts w:ascii="Arial" w:hAnsi="Arial" w:cs="Arial"/>
          <w:sz w:val="20"/>
          <w:szCs w:val="20"/>
          <w:lang w:val="en-GB"/>
        </w:rPr>
        <w:t>γ</w:t>
      </w:r>
      <w:r w:rsidR="005070AF">
        <w:rPr>
          <w:rFonts w:ascii="Arial" w:hAnsi="Arial" w:cs="Arial"/>
          <w:sz w:val="20"/>
          <w:szCs w:val="20"/>
          <w:lang w:val="en-GB"/>
        </w:rPr>
        <w:t>-</w:t>
      </w:r>
      <w:proofErr w:type="spellStart"/>
      <w:r w:rsidR="005070AF">
        <w:rPr>
          <w:rFonts w:ascii="Arial" w:hAnsi="Arial" w:cs="Arial"/>
          <w:sz w:val="20"/>
          <w:szCs w:val="20"/>
          <w:lang w:val="en-GB"/>
        </w:rPr>
        <w:t>glutamyltransferase</w:t>
      </w:r>
      <w:proofErr w:type="spellEnd"/>
      <w:r w:rsidRPr="00851B9E">
        <w:rPr>
          <w:rFonts w:ascii="Arial" w:hAnsi="Arial" w:cs="Arial"/>
          <w:sz w:val="20"/>
          <w:szCs w:val="20"/>
          <w:lang w:val="en-GB"/>
        </w:rPr>
        <w:t xml:space="preserve">, serum creatinine, sedimentation rate, C-reactive protein and urine analysis). Patients were asked to fill in the </w:t>
      </w:r>
      <w:proofErr w:type="spellStart"/>
      <w:r w:rsidRPr="00851B9E">
        <w:rPr>
          <w:rFonts w:ascii="Arial" w:hAnsi="Arial" w:cs="Arial"/>
          <w:sz w:val="20"/>
          <w:szCs w:val="20"/>
          <w:lang w:val="en-GB"/>
        </w:rPr>
        <w:t>DLQI</w:t>
      </w:r>
      <w:proofErr w:type="spellEnd"/>
      <w:r w:rsidRPr="00851B9E">
        <w:rPr>
          <w:rFonts w:ascii="Arial" w:hAnsi="Arial" w:cs="Arial"/>
          <w:sz w:val="20"/>
          <w:szCs w:val="20"/>
          <w:lang w:val="en-GB"/>
        </w:rPr>
        <w:t xml:space="preserve"> questionnaire and a </w:t>
      </w:r>
      <w:r w:rsidR="005070AF">
        <w:rPr>
          <w:rFonts w:ascii="Arial" w:hAnsi="Arial" w:cs="Arial"/>
          <w:sz w:val="20"/>
          <w:szCs w:val="20"/>
          <w:lang w:val="en-GB"/>
        </w:rPr>
        <w:t>visual analogue scale for</w:t>
      </w:r>
      <w:r w:rsidRPr="00851B9E">
        <w:rPr>
          <w:rFonts w:ascii="Arial" w:hAnsi="Arial" w:cs="Arial"/>
          <w:sz w:val="20"/>
          <w:szCs w:val="20"/>
          <w:lang w:val="en-GB"/>
        </w:rPr>
        <w:t xml:space="preserve"> treatment satisfaction on a monthly basis. Patient data were collected using the computer programme Open </w:t>
      </w:r>
      <w:proofErr w:type="spellStart"/>
      <w:r w:rsidRPr="00851B9E">
        <w:rPr>
          <w:rFonts w:ascii="Arial" w:hAnsi="Arial" w:cs="Arial"/>
          <w:sz w:val="20"/>
          <w:szCs w:val="20"/>
          <w:lang w:val="en-GB"/>
        </w:rPr>
        <w:t>Clinica</w:t>
      </w:r>
      <w:proofErr w:type="spellEnd"/>
      <w:r w:rsidRPr="00851B9E">
        <w:rPr>
          <w:rFonts w:ascii="Arial" w:hAnsi="Arial" w:cs="Arial"/>
          <w:sz w:val="20"/>
          <w:szCs w:val="20"/>
          <w:lang w:val="en-GB"/>
        </w:rPr>
        <w:t xml:space="preserve">. </w:t>
      </w:r>
    </w:p>
    <w:p w:rsidR="00882A5E" w:rsidRPr="00851B9E" w:rsidRDefault="00882A5E" w:rsidP="00882A5E">
      <w:pPr>
        <w:spacing w:line="480" w:lineRule="auto"/>
        <w:rPr>
          <w:rFonts w:ascii="Arial" w:hAnsi="Arial" w:cs="Arial"/>
          <w:sz w:val="20"/>
          <w:szCs w:val="20"/>
          <w:lang w:val="en-GB"/>
        </w:rPr>
      </w:pPr>
    </w:p>
    <w:p w:rsidR="00882A5E" w:rsidRPr="006E22C9" w:rsidRDefault="00882A5E" w:rsidP="00882A5E">
      <w:pPr>
        <w:spacing w:after="0" w:line="480" w:lineRule="auto"/>
        <w:ind w:right="100"/>
        <w:rPr>
          <w:rFonts w:ascii="Arial" w:eastAsia="Arial" w:hAnsi="Arial" w:cs="Arial"/>
          <w:i/>
          <w:sz w:val="20"/>
          <w:szCs w:val="20"/>
          <w:lang w:val="en-GB"/>
        </w:rPr>
      </w:pPr>
      <w:r w:rsidRPr="006E22C9">
        <w:rPr>
          <w:rFonts w:ascii="Arial" w:eastAsia="Arial" w:hAnsi="Arial" w:cs="Arial"/>
          <w:i/>
          <w:sz w:val="20"/>
          <w:szCs w:val="20"/>
          <w:lang w:val="en-GB"/>
        </w:rPr>
        <w:t xml:space="preserve">Statistical </w:t>
      </w:r>
      <w:r w:rsidR="005070AF" w:rsidRPr="006E22C9">
        <w:rPr>
          <w:rFonts w:ascii="Arial" w:eastAsia="Arial" w:hAnsi="Arial" w:cs="Arial"/>
          <w:i/>
          <w:sz w:val="20"/>
          <w:szCs w:val="20"/>
          <w:lang w:val="en-GB"/>
        </w:rPr>
        <w:t>Analysis</w:t>
      </w:r>
    </w:p>
    <w:p w:rsidR="00882A5E" w:rsidRPr="00851B9E" w:rsidRDefault="00882A5E" w:rsidP="00882A5E">
      <w:pPr>
        <w:spacing w:after="0" w:line="480" w:lineRule="auto"/>
        <w:ind w:right="102"/>
        <w:rPr>
          <w:rFonts w:ascii="Arial" w:eastAsia="Arial" w:hAnsi="Arial" w:cs="Arial"/>
          <w:sz w:val="20"/>
          <w:szCs w:val="20"/>
          <w:lang w:val="en-GB"/>
        </w:rPr>
      </w:pPr>
      <w:r w:rsidRPr="00851B9E">
        <w:rPr>
          <w:rFonts w:ascii="Arial" w:eastAsia="Arial" w:hAnsi="Arial" w:cs="Arial"/>
          <w:sz w:val="20"/>
          <w:szCs w:val="20"/>
          <w:lang w:val="en-GB"/>
        </w:rPr>
        <w:t>T</w:t>
      </w:r>
      <w:r w:rsidRPr="00851B9E">
        <w:rPr>
          <w:rFonts w:ascii="Arial" w:eastAsia="Arial" w:hAnsi="Arial" w:cs="Arial"/>
          <w:spacing w:val="2"/>
          <w:sz w:val="20"/>
          <w:szCs w:val="20"/>
          <w:lang w:val="en-GB"/>
        </w:rPr>
        <w:t xml:space="preserve">he </w:t>
      </w:r>
      <w:r w:rsidRPr="00851B9E">
        <w:rPr>
          <w:rFonts w:ascii="Arial" w:eastAsia="Arial" w:hAnsi="Arial" w:cs="Arial"/>
          <w:sz w:val="20"/>
          <w:szCs w:val="20"/>
          <w:lang w:val="en-GB"/>
        </w:rPr>
        <w:t>proportion</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of</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pa</w:t>
      </w:r>
      <w:r w:rsidRPr="00851B9E">
        <w:rPr>
          <w:rFonts w:ascii="Arial" w:eastAsia="Arial" w:hAnsi="Arial" w:cs="Arial"/>
          <w:spacing w:val="-1"/>
          <w:sz w:val="20"/>
          <w:szCs w:val="20"/>
          <w:lang w:val="en-GB"/>
        </w:rPr>
        <w:t>t</w:t>
      </w:r>
      <w:r w:rsidRPr="00851B9E">
        <w:rPr>
          <w:rFonts w:ascii="Arial" w:eastAsia="Arial" w:hAnsi="Arial" w:cs="Arial"/>
          <w:sz w:val="20"/>
          <w:szCs w:val="20"/>
          <w:lang w:val="en-GB"/>
        </w:rPr>
        <w:t>ients</w:t>
      </w:r>
      <w:r w:rsidRPr="00851B9E">
        <w:rPr>
          <w:rFonts w:ascii="Arial" w:eastAsia="Arial" w:hAnsi="Arial" w:cs="Arial"/>
          <w:spacing w:val="1"/>
          <w:sz w:val="20"/>
          <w:szCs w:val="20"/>
          <w:lang w:val="en-GB"/>
        </w:rPr>
        <w:t xml:space="preserve"> </w:t>
      </w:r>
      <w:r w:rsidRPr="00851B9E">
        <w:rPr>
          <w:rFonts w:ascii="Arial" w:eastAsia="Arial" w:hAnsi="Arial" w:cs="Arial"/>
          <w:sz w:val="20"/>
          <w:szCs w:val="20"/>
          <w:lang w:val="en-GB"/>
        </w:rPr>
        <w:t>ach</w:t>
      </w:r>
      <w:r w:rsidRPr="00851B9E">
        <w:rPr>
          <w:rFonts w:ascii="Arial" w:eastAsia="Arial" w:hAnsi="Arial" w:cs="Arial"/>
          <w:spacing w:val="-1"/>
          <w:sz w:val="20"/>
          <w:szCs w:val="20"/>
          <w:lang w:val="en-GB"/>
        </w:rPr>
        <w:t>i</w:t>
      </w:r>
      <w:r w:rsidRPr="00851B9E">
        <w:rPr>
          <w:rFonts w:ascii="Arial" w:eastAsia="Arial" w:hAnsi="Arial" w:cs="Arial"/>
          <w:sz w:val="20"/>
          <w:szCs w:val="20"/>
          <w:lang w:val="en-GB"/>
        </w:rPr>
        <w:t>eving</w:t>
      </w:r>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at least</w:t>
      </w:r>
      <w:r w:rsidRPr="00851B9E">
        <w:rPr>
          <w:rFonts w:ascii="Arial" w:eastAsia="Arial" w:hAnsi="Arial" w:cs="Arial"/>
          <w:spacing w:val="2"/>
          <w:sz w:val="20"/>
          <w:szCs w:val="20"/>
          <w:lang w:val="en-GB"/>
        </w:rPr>
        <w:t xml:space="preserve"> a </w:t>
      </w:r>
      <w:r w:rsidRPr="00851B9E">
        <w:rPr>
          <w:rFonts w:ascii="Arial" w:eastAsia="Arial" w:hAnsi="Arial" w:cs="Arial"/>
          <w:sz w:val="20"/>
          <w:szCs w:val="20"/>
          <w:lang w:val="en-GB"/>
        </w:rPr>
        <w:t>75%</w:t>
      </w:r>
      <w:r w:rsidRPr="00851B9E">
        <w:rPr>
          <w:rFonts w:ascii="Arial" w:eastAsia="Arial" w:hAnsi="Arial" w:cs="Arial"/>
          <w:spacing w:val="2"/>
          <w:sz w:val="20"/>
          <w:szCs w:val="20"/>
          <w:lang w:val="en-GB"/>
        </w:rPr>
        <w:t xml:space="preserve"> </w:t>
      </w:r>
      <w:proofErr w:type="spellStart"/>
      <w:r w:rsidRPr="00851B9E">
        <w:rPr>
          <w:rFonts w:ascii="Arial" w:eastAsia="Arial" w:hAnsi="Arial" w:cs="Arial"/>
          <w:sz w:val="20"/>
          <w:szCs w:val="20"/>
          <w:lang w:val="en-GB"/>
        </w:rPr>
        <w:t>PASI</w:t>
      </w:r>
      <w:proofErr w:type="spellEnd"/>
      <w:r w:rsidRPr="00851B9E">
        <w:rPr>
          <w:rFonts w:ascii="Arial" w:eastAsia="Arial" w:hAnsi="Arial" w:cs="Arial"/>
          <w:spacing w:val="2"/>
          <w:sz w:val="20"/>
          <w:szCs w:val="20"/>
          <w:lang w:val="en-GB"/>
        </w:rPr>
        <w:t xml:space="preserve"> </w:t>
      </w:r>
      <w:r w:rsidRPr="00851B9E">
        <w:rPr>
          <w:rFonts w:ascii="Arial" w:eastAsia="Arial" w:hAnsi="Arial" w:cs="Arial"/>
          <w:sz w:val="20"/>
          <w:szCs w:val="20"/>
          <w:lang w:val="en-GB"/>
        </w:rPr>
        <w:t>reduction aft</w:t>
      </w:r>
      <w:r w:rsidRPr="00851B9E">
        <w:rPr>
          <w:rFonts w:ascii="Arial" w:eastAsia="Arial" w:hAnsi="Arial" w:cs="Arial"/>
          <w:spacing w:val="-1"/>
          <w:sz w:val="20"/>
          <w:szCs w:val="20"/>
          <w:lang w:val="en-GB"/>
        </w:rPr>
        <w:t>e</w:t>
      </w:r>
      <w:r w:rsidRPr="00851B9E">
        <w:rPr>
          <w:rFonts w:ascii="Arial" w:eastAsia="Arial" w:hAnsi="Arial" w:cs="Arial"/>
          <w:sz w:val="20"/>
          <w:szCs w:val="20"/>
          <w:lang w:val="en-GB"/>
        </w:rPr>
        <w:t>r 12, 24 (primary objective) and 48 weeks of tr</w:t>
      </w:r>
      <w:r w:rsidRPr="00851B9E">
        <w:rPr>
          <w:rFonts w:ascii="Arial" w:eastAsia="Arial" w:hAnsi="Arial" w:cs="Arial"/>
          <w:spacing w:val="-1"/>
          <w:sz w:val="20"/>
          <w:szCs w:val="20"/>
          <w:lang w:val="en-GB"/>
        </w:rPr>
        <w:t>e</w:t>
      </w:r>
      <w:r w:rsidRPr="00851B9E">
        <w:rPr>
          <w:rFonts w:ascii="Arial" w:eastAsia="Arial" w:hAnsi="Arial" w:cs="Arial"/>
          <w:sz w:val="20"/>
          <w:szCs w:val="20"/>
          <w:lang w:val="en-GB"/>
        </w:rPr>
        <w:t>atment was analy</w:t>
      </w:r>
      <w:r w:rsidR="005070AF">
        <w:rPr>
          <w:rFonts w:ascii="Arial" w:eastAsia="Arial" w:hAnsi="Arial" w:cs="Arial"/>
          <w:sz w:val="20"/>
          <w:szCs w:val="20"/>
          <w:lang w:val="en-GB"/>
        </w:rPr>
        <w:t>s</w:t>
      </w:r>
      <w:r w:rsidRPr="00851B9E">
        <w:rPr>
          <w:rFonts w:ascii="Arial" w:eastAsia="Arial" w:hAnsi="Arial" w:cs="Arial"/>
          <w:sz w:val="20"/>
          <w:szCs w:val="20"/>
          <w:lang w:val="en-GB"/>
        </w:rPr>
        <w:t xml:space="preserve">ed using a </w:t>
      </w:r>
      <w:proofErr w:type="spellStart"/>
      <w:r w:rsidR="005070AF" w:rsidRPr="005070AF">
        <w:rPr>
          <w:rFonts w:ascii="Arial" w:eastAsia="Arial" w:hAnsi="Arial" w:cs="Arial"/>
          <w:sz w:val="20"/>
          <w:szCs w:val="20"/>
          <w:lang w:val="en-GB"/>
        </w:rPr>
        <w:t>χ</w:t>
      </w:r>
      <w:r w:rsidR="005070AF">
        <w:rPr>
          <w:rFonts w:ascii="Arial" w:eastAsia="Arial" w:hAnsi="Arial" w:cs="Arial"/>
          <w:sz w:val="20"/>
          <w:szCs w:val="20"/>
          <w:vertAlign w:val="superscript"/>
          <w:lang w:val="en-GB"/>
        </w:rPr>
        <w:t>2</w:t>
      </w:r>
      <w:proofErr w:type="spellEnd"/>
      <w:r w:rsidRPr="00851B9E">
        <w:rPr>
          <w:rFonts w:ascii="Arial" w:eastAsia="Arial" w:hAnsi="Arial" w:cs="Arial"/>
          <w:sz w:val="20"/>
          <w:szCs w:val="20"/>
          <w:lang w:val="en-GB"/>
        </w:rPr>
        <w:t xml:space="preserve"> or Fisher exact</w:t>
      </w:r>
      <w:r w:rsidR="005070AF">
        <w:rPr>
          <w:rFonts w:ascii="Arial" w:eastAsia="Arial" w:hAnsi="Arial" w:cs="Arial"/>
          <w:sz w:val="20"/>
          <w:szCs w:val="20"/>
          <w:lang w:val="en-GB"/>
        </w:rPr>
        <w:t xml:space="preserve"> </w:t>
      </w:r>
      <w:r w:rsidRPr="00851B9E">
        <w:rPr>
          <w:rFonts w:ascii="Arial" w:eastAsia="Arial" w:hAnsi="Arial" w:cs="Arial"/>
          <w:sz w:val="20"/>
          <w:szCs w:val="20"/>
          <w:lang w:val="en-GB"/>
        </w:rPr>
        <w:t>test</w:t>
      </w:r>
      <w:r w:rsidR="005070AF">
        <w:rPr>
          <w:rFonts w:ascii="Arial" w:eastAsia="Arial" w:hAnsi="Arial" w:cs="Arial"/>
          <w:sz w:val="20"/>
          <w:szCs w:val="20"/>
          <w:lang w:val="en-GB"/>
        </w:rPr>
        <w:t>,</w:t>
      </w:r>
      <w:r w:rsidRPr="00851B9E">
        <w:rPr>
          <w:rFonts w:ascii="Arial" w:eastAsia="Arial" w:hAnsi="Arial" w:cs="Arial"/>
          <w:sz w:val="20"/>
          <w:szCs w:val="20"/>
          <w:lang w:val="en-GB"/>
        </w:rPr>
        <w:t xml:space="preserve"> used for the outcomes of the PGA and for the proportion of patients achieving drug survival. Patients who switched to combination therapy after 24 weeks were considered as failures in the monotherapy group. Patients lost to follow-up were not included </w:t>
      </w:r>
      <w:r w:rsidR="005070AF">
        <w:rPr>
          <w:rFonts w:ascii="Arial" w:eastAsia="Arial" w:hAnsi="Arial" w:cs="Arial"/>
          <w:sz w:val="20"/>
          <w:szCs w:val="20"/>
          <w:lang w:val="en-GB"/>
        </w:rPr>
        <w:t>in</w:t>
      </w:r>
      <w:r w:rsidRPr="00851B9E">
        <w:rPr>
          <w:rFonts w:ascii="Arial" w:eastAsia="Arial" w:hAnsi="Arial" w:cs="Arial"/>
          <w:sz w:val="20"/>
          <w:szCs w:val="20"/>
          <w:lang w:val="en-GB"/>
        </w:rPr>
        <w:t xml:space="preserve"> the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-75 response and PGA score analyses. For the longitudinal analysis</w:t>
      </w:r>
      <w:r w:rsidR="005070AF">
        <w:rPr>
          <w:rFonts w:ascii="Arial" w:eastAsia="Arial" w:hAnsi="Arial" w:cs="Arial"/>
          <w:sz w:val="20"/>
          <w:szCs w:val="20"/>
          <w:lang w:val="en-GB"/>
        </w:rPr>
        <w:t>,</w:t>
      </w:r>
      <w:r w:rsidRPr="00851B9E">
        <w:rPr>
          <w:rFonts w:ascii="Arial" w:eastAsia="Arial" w:hAnsi="Arial" w:cs="Arial"/>
          <w:sz w:val="20"/>
          <w:szCs w:val="20"/>
          <w:lang w:val="en-GB"/>
        </w:rPr>
        <w:t xml:space="preserve"> a linear mixed model analysis was used to calculate the reduction in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score per week up to 48 weeks. We used the </w:t>
      </w:r>
      <w:proofErr w:type="spellStart"/>
      <w:r w:rsidRPr="00851B9E">
        <w:rPr>
          <w:rFonts w:ascii="Arial" w:eastAsia="Times New Roman" w:hAnsi="Arial" w:cs="Arial"/>
          <w:bCs/>
          <w:sz w:val="20"/>
          <w:szCs w:val="20"/>
          <w:lang w:val="en-GB"/>
        </w:rPr>
        <w:t>lme4</w:t>
      </w:r>
      <w:proofErr w:type="spellEnd"/>
      <w:r w:rsidRPr="00851B9E">
        <w:rPr>
          <w:rFonts w:ascii="Arial" w:eastAsia="Times New Roman" w:hAnsi="Arial" w:cs="Arial"/>
          <w:bCs/>
          <w:sz w:val="20"/>
          <w:szCs w:val="20"/>
          <w:lang w:val="en-GB"/>
        </w:rPr>
        <w:t xml:space="preserve"> package in R (</w:t>
      </w:r>
      <w:hyperlink r:id="rId5" w:tgtFrame="_blank" w:history="1">
        <w:r w:rsidRPr="006E22C9">
          <w:rPr>
            <w:rFonts w:ascii="Arial" w:eastAsia="Times New Roman" w:hAnsi="Arial" w:cs="Arial"/>
            <w:bCs/>
            <w:sz w:val="20"/>
            <w:szCs w:val="20"/>
            <w:lang w:val="en-GB"/>
          </w:rPr>
          <w:t>https://cran.r-project.org/web/packages/lme4/lme4.pdf</w:t>
        </w:r>
      </w:hyperlink>
      <w:r w:rsidRPr="00851B9E">
        <w:rPr>
          <w:rFonts w:ascii="Arial" w:eastAsia="Times New Roman" w:hAnsi="Arial" w:cs="Arial"/>
          <w:bCs/>
          <w:sz w:val="20"/>
          <w:szCs w:val="20"/>
          <w:lang w:val="en-GB"/>
        </w:rPr>
        <w:t>)</w:t>
      </w:r>
      <w:r w:rsidRPr="00851B9E">
        <w:rPr>
          <w:rFonts w:ascii="Arial" w:eastAsia="Arial" w:hAnsi="Arial" w:cs="Arial"/>
          <w:sz w:val="20"/>
          <w:szCs w:val="20"/>
          <w:lang w:val="en-GB"/>
        </w:rPr>
        <w:t xml:space="preserve">. Time and group, and the interaction, were predictors. We used log-transformed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in the regression model to achieve changes to be relative. </w:t>
      </w:r>
    </w:p>
    <w:p w:rsidR="00882A5E" w:rsidRPr="00851B9E" w:rsidRDefault="00882A5E" w:rsidP="00882A5E">
      <w:pPr>
        <w:spacing w:after="0" w:line="480" w:lineRule="auto"/>
        <w:ind w:right="102"/>
        <w:rPr>
          <w:rFonts w:ascii="Arial" w:eastAsia="Arial" w:hAnsi="Arial" w:cs="Arial"/>
          <w:sz w:val="20"/>
          <w:szCs w:val="20"/>
          <w:lang w:val="en-GB"/>
        </w:rPr>
      </w:pPr>
      <w:r w:rsidRPr="00851B9E">
        <w:rPr>
          <w:rFonts w:ascii="Arial" w:eastAsia="Arial" w:hAnsi="Arial" w:cs="Arial"/>
          <w:sz w:val="20"/>
          <w:szCs w:val="20"/>
          <w:lang w:val="en-GB"/>
        </w:rPr>
        <w:t xml:space="preserve">We used </w:t>
      </w:r>
      <w:r w:rsidR="005070AF">
        <w:rPr>
          <w:rFonts w:ascii="Arial" w:eastAsia="Arial" w:hAnsi="Arial" w:cs="Arial"/>
          <w:sz w:val="20"/>
          <w:szCs w:val="20"/>
          <w:lang w:val="en-GB"/>
        </w:rPr>
        <w:t xml:space="preserve">the </w:t>
      </w:r>
      <w:r w:rsidRPr="00851B9E">
        <w:rPr>
          <w:rFonts w:ascii="Arial" w:eastAsia="Arial" w:hAnsi="Arial" w:cs="Arial"/>
          <w:sz w:val="20"/>
          <w:szCs w:val="20"/>
          <w:lang w:val="en-GB"/>
        </w:rPr>
        <w:t>unpaired t</w:t>
      </w:r>
      <w:r w:rsidR="005070AF">
        <w:rPr>
          <w:rFonts w:ascii="Arial" w:eastAsia="Arial" w:hAnsi="Arial" w:cs="Arial"/>
          <w:sz w:val="20"/>
          <w:szCs w:val="20"/>
          <w:lang w:val="en-GB"/>
        </w:rPr>
        <w:t xml:space="preserve"> </w:t>
      </w:r>
      <w:r w:rsidRPr="00851B9E">
        <w:rPr>
          <w:rFonts w:ascii="Arial" w:eastAsia="Arial" w:hAnsi="Arial" w:cs="Arial"/>
          <w:sz w:val="20"/>
          <w:szCs w:val="20"/>
          <w:lang w:val="en-GB"/>
        </w:rPr>
        <w:t xml:space="preserve">test for comparing changes in </w:t>
      </w:r>
      <w:proofErr w:type="spellStart"/>
      <w:r w:rsidRPr="00851B9E">
        <w:rPr>
          <w:rFonts w:ascii="Arial" w:eastAsia="Arial" w:hAnsi="Arial" w:cs="Arial"/>
          <w:sz w:val="20"/>
          <w:szCs w:val="20"/>
          <w:lang w:val="en-GB"/>
        </w:rPr>
        <w:t>DLQI</w:t>
      </w:r>
      <w:proofErr w:type="spellEnd"/>
      <w:r w:rsidRPr="00851B9E">
        <w:rPr>
          <w:rFonts w:ascii="Arial" w:eastAsia="Arial" w:hAnsi="Arial" w:cs="Arial"/>
          <w:sz w:val="20"/>
          <w:szCs w:val="20"/>
          <w:lang w:val="en-GB"/>
        </w:rPr>
        <w:t xml:space="preserve"> and </w:t>
      </w:r>
      <w:r w:rsidR="005070AF">
        <w:rPr>
          <w:rFonts w:ascii="Arial" w:eastAsia="Arial" w:hAnsi="Arial" w:cs="Arial"/>
          <w:sz w:val="20"/>
          <w:szCs w:val="20"/>
          <w:lang w:val="en-GB"/>
        </w:rPr>
        <w:t>visual analogue scale</w:t>
      </w:r>
      <w:r w:rsidRPr="00851B9E">
        <w:rPr>
          <w:rFonts w:ascii="Arial" w:eastAsia="Arial" w:hAnsi="Arial" w:cs="Arial"/>
          <w:sz w:val="20"/>
          <w:szCs w:val="20"/>
          <w:lang w:val="en-GB"/>
        </w:rPr>
        <w:t xml:space="preserve"> score between the monotherapy and combination therapy at 12, 24 and 48 weeks. If the residuals were not normally distributed</w:t>
      </w:r>
      <w:r w:rsidR="005070AF">
        <w:rPr>
          <w:rFonts w:ascii="Arial" w:eastAsia="Arial" w:hAnsi="Arial" w:cs="Arial"/>
          <w:sz w:val="20"/>
          <w:szCs w:val="20"/>
          <w:lang w:val="en-GB"/>
        </w:rPr>
        <w:t>,</w:t>
      </w:r>
      <w:r w:rsidRPr="00851B9E">
        <w:rPr>
          <w:rFonts w:ascii="Arial" w:eastAsia="Arial" w:hAnsi="Arial" w:cs="Arial"/>
          <w:sz w:val="20"/>
          <w:szCs w:val="20"/>
          <w:lang w:val="en-GB"/>
        </w:rPr>
        <w:t xml:space="preserve"> we used the bootstrap option in SPSS. We used descriptive statistics by presenting the </w:t>
      </w:r>
      <w:proofErr w:type="spellStart"/>
      <w:r w:rsidRPr="00851B9E">
        <w:rPr>
          <w:rFonts w:ascii="Arial" w:eastAsia="Arial" w:hAnsi="Arial" w:cs="Arial"/>
          <w:sz w:val="20"/>
          <w:szCs w:val="20"/>
          <w:lang w:val="en-GB"/>
        </w:rPr>
        <w:t>PASI</w:t>
      </w:r>
      <w:proofErr w:type="spellEnd"/>
      <w:r w:rsidRPr="00851B9E">
        <w:rPr>
          <w:rFonts w:ascii="Arial" w:eastAsia="Arial" w:hAnsi="Arial" w:cs="Arial"/>
          <w:sz w:val="20"/>
          <w:szCs w:val="20"/>
          <w:lang w:val="en-GB"/>
        </w:rPr>
        <w:t xml:space="preserve"> score per patient in a graph. </w:t>
      </w:r>
    </w:p>
    <w:p w:rsidR="00111779" w:rsidRPr="00851B9E" w:rsidRDefault="006E22C9">
      <w:pPr>
        <w:rPr>
          <w:lang w:val="en-GB"/>
        </w:rPr>
      </w:pPr>
    </w:p>
    <w:sectPr w:rsidR="00111779" w:rsidRPr="00851B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5E"/>
    <w:rsid w:val="00251464"/>
    <w:rsid w:val="00276174"/>
    <w:rsid w:val="002D0CD9"/>
    <w:rsid w:val="002F0AEB"/>
    <w:rsid w:val="003D04F8"/>
    <w:rsid w:val="003D0545"/>
    <w:rsid w:val="005070AF"/>
    <w:rsid w:val="006E22C9"/>
    <w:rsid w:val="006F2B55"/>
    <w:rsid w:val="00851B9E"/>
    <w:rsid w:val="00882A5E"/>
    <w:rsid w:val="00B70BA5"/>
    <w:rsid w:val="00BA7D97"/>
    <w:rsid w:val="00D90E66"/>
    <w:rsid w:val="00EF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A5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A5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an.r-project.org/web/packages/lme4/lme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5070</Characters>
  <Application>Microsoft Office Word</Application>
  <DocSecurity>0</DocSecurity>
  <Lines>1690</Lines>
  <Paragraphs>680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van Bezooijen</dc:creator>
  <cp:lastModifiedBy>stoeckle</cp:lastModifiedBy>
  <cp:revision>3</cp:revision>
  <dcterms:created xsi:type="dcterms:W3CDTF">2016-07-29T13:43:00Z</dcterms:created>
  <dcterms:modified xsi:type="dcterms:W3CDTF">2016-07-29T13:44:00Z</dcterms:modified>
</cp:coreProperties>
</file>