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3" w:rsidRDefault="002E2A53" w:rsidP="002E2A53">
      <w:pPr>
        <w:rPr>
          <w:b/>
          <w:bCs/>
        </w:rPr>
      </w:pPr>
    </w:p>
    <w:p w:rsidR="00080EB7" w:rsidRPr="00080EB7" w:rsidRDefault="002E2A53" w:rsidP="00080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EB7">
        <w:rPr>
          <w:rFonts w:ascii="Times New Roman" w:hAnsi="Times New Roman" w:cs="Times New Roman"/>
          <w:b/>
          <w:bCs/>
          <w:sz w:val="28"/>
          <w:szCs w:val="28"/>
          <w:u w:val="single"/>
        </w:rPr>
        <w:t>Supplementary Material</w:t>
      </w:r>
      <w:r w:rsidRPr="00080EB7">
        <w:rPr>
          <w:rFonts w:ascii="Times New Roman" w:hAnsi="Times New Roman" w:cs="Times New Roman"/>
          <w:b/>
          <w:bCs/>
          <w:sz w:val="28"/>
          <w:szCs w:val="28"/>
        </w:rPr>
        <w:t xml:space="preserve"> to the manuscript by </w:t>
      </w:r>
      <w:proofErr w:type="spellStart"/>
      <w:r w:rsidRPr="00080EB7">
        <w:rPr>
          <w:rFonts w:ascii="Times New Roman" w:hAnsi="Times New Roman" w:cs="Times New Roman"/>
          <w:b/>
          <w:bCs/>
          <w:sz w:val="28"/>
          <w:szCs w:val="28"/>
        </w:rPr>
        <w:t>Loesch</w:t>
      </w:r>
      <w:proofErr w:type="spellEnd"/>
      <w:r w:rsidRPr="00080EB7">
        <w:rPr>
          <w:rFonts w:ascii="Times New Roman" w:hAnsi="Times New Roman" w:cs="Times New Roman"/>
          <w:b/>
          <w:bCs/>
          <w:sz w:val="28"/>
          <w:szCs w:val="28"/>
        </w:rPr>
        <w:t xml:space="preserve"> et al</w:t>
      </w:r>
      <w:r w:rsidR="00080EB7" w:rsidRPr="00080EB7">
        <w:rPr>
          <w:rFonts w:ascii="Times New Roman" w:hAnsi="Times New Roman" w:cs="Times New Roman"/>
          <w:b/>
          <w:bCs/>
          <w:sz w:val="28"/>
          <w:szCs w:val="28"/>
        </w:rPr>
        <w:t xml:space="preserve"> entitled</w:t>
      </w:r>
      <w:r w:rsidRPr="00080E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80EB7" w:rsidRPr="00080EB7" w:rsidRDefault="00080EB7" w:rsidP="00080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EB7">
        <w:rPr>
          <w:rFonts w:ascii="Times New Roman" w:hAnsi="Times New Roman" w:cs="Times New Roman"/>
          <w:b/>
          <w:bCs/>
          <w:sz w:val="28"/>
          <w:szCs w:val="28"/>
        </w:rPr>
        <w:t>Novel blood biomarkers are associated with the white matter lesion in Fragile X Tremor/Ataxia Syndrome.</w:t>
      </w:r>
    </w:p>
    <w:p w:rsidR="00080EB7" w:rsidRDefault="00080EB7" w:rsidP="002E2A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0EB7">
        <w:rPr>
          <w:rFonts w:ascii="Times New Roman" w:hAnsi="Times New Roman" w:cs="Times New Roman"/>
          <w:b/>
          <w:bCs/>
          <w:sz w:val="24"/>
          <w:szCs w:val="24"/>
        </w:rPr>
        <w:t>Isolation of PBMC and transformation with EBV 30</w:t>
      </w:r>
      <w:r w:rsidRPr="00080E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r w:rsidRPr="00080EB7">
        <w:rPr>
          <w:rFonts w:ascii="Times New Roman" w:hAnsi="Times New Roman" w:cs="Times New Roman"/>
          <w:bCs/>
          <w:sz w:val="24"/>
          <w:szCs w:val="24"/>
        </w:rPr>
        <w:t xml:space="preserve">Participant blood samples were diluted 1:1 with wash buffer (RPMI media, 1%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Glutamax</w:t>
      </w:r>
      <w:proofErr w:type="spellEnd"/>
      <w:proofErr w:type="gramStart"/>
      <w:r w:rsidRPr="00080EB7">
        <w:rPr>
          <w:rFonts w:ascii="Times New Roman" w:hAnsi="Times New Roman" w:cs="Times New Roman"/>
          <w:bCs/>
          <w:sz w:val="24"/>
          <w:szCs w:val="24"/>
        </w:rPr>
        <w:t>,  1</w:t>
      </w:r>
      <w:proofErr w:type="gramEnd"/>
      <w:r w:rsidRPr="00080EB7">
        <w:rPr>
          <w:rFonts w:ascii="Times New Roman" w:hAnsi="Times New Roman" w:cs="Times New Roman"/>
          <w:bCs/>
          <w:sz w:val="24"/>
          <w:szCs w:val="24"/>
        </w:rPr>
        <w:t>% Penicillin/Streptomycin)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) and peripheral blood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monocytic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cells (PBMCs) isolated from them by centrifugation (1,800 rpm/40 min with no brake) onto a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Ficoll-paque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Plus (Sigma-Aldrich) cushion. The  PBMCs were washed by two-fold serial centrifugation in wash buffer to remove any residual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Ficoll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then resuspended in 5ml  RPMI medium containing 1x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Glutamax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>, 1% Penicillin/Streptomycin and 10% Foetal Bovine Serum (FBS) 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). The viable cell density was estimated by microscopy after staining with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Trypan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Blue. An aliquot of 1 x 10</w:t>
      </w:r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viable PBMCs was transformed with EBV prepared from the cell line B95 in the presence of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cyclosporin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A8 (Sigma-Aldrich) to reduce the innate immune response and rejection of the virus.  </w:t>
      </w:r>
    </w:p>
    <w:p w:rsidR="002E2A53" w:rsidRPr="00080EB7" w:rsidRDefault="002E2A53" w:rsidP="002E2A5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EB7">
        <w:rPr>
          <w:rFonts w:ascii="Times New Roman" w:hAnsi="Times New Roman" w:cs="Times New Roman"/>
          <w:b/>
          <w:bCs/>
          <w:sz w:val="24"/>
          <w:szCs w:val="24"/>
        </w:rPr>
        <w:t>Cell Culture.</w:t>
      </w:r>
      <w:proofErr w:type="gramEnd"/>
      <w:r w:rsidRPr="00080E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Lymphoblastoid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 lines were maintained in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MEMAlpha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>) supplemented with 10% Foetal Bovine Serum (FBS)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>) and 1% Penicillin/Streptomycin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>) at 37°C in a humidified atmosphere of 5% CO</w:t>
      </w:r>
      <w:r w:rsidRPr="00080EB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. For the reactive oxygen species (ROS) assays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lymphoblastoid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 lines were grown at 37°C with 5% CO</w:t>
      </w:r>
      <w:r w:rsidRPr="00080EB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in 1640 RPMI medium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) supplemented with  100 UNITS/ml Penicillin and 100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μg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>/ml Streptomycin [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PenStrep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)], 5%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GlutaMax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) and 10%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Fetal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Bovine Serum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Gibco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E2A53" w:rsidRPr="00080EB7" w:rsidRDefault="002E2A53" w:rsidP="002E2A5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EB7">
        <w:rPr>
          <w:rFonts w:ascii="Times New Roman" w:hAnsi="Times New Roman" w:cs="Times New Roman"/>
          <w:b/>
          <w:bCs/>
          <w:sz w:val="24"/>
          <w:szCs w:val="24"/>
        </w:rPr>
        <w:t>Mitochondrial membrane potential and mitochondrial mass.</w:t>
      </w:r>
      <w:proofErr w:type="gramEnd"/>
      <w:r w:rsidRPr="00080E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r w:rsidRPr="00080EB7">
        <w:rPr>
          <w:rFonts w:ascii="Times New Roman" w:hAnsi="Times New Roman" w:cs="Times New Roman"/>
          <w:bCs/>
          <w:sz w:val="24"/>
          <w:szCs w:val="24"/>
        </w:rPr>
        <w:t xml:space="preserve">Two fluorescent mitochondrial stains were used to estimate mitochondrial mass and mitochondrial membrane potential -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MitoTracker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Red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CMXRos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MitoTracker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Green FM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ThermFisher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Scientific)</w:t>
      </w:r>
      <w:r w:rsidR="00E27497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E27497">
        <w:rPr>
          <w:rFonts w:ascii="Times New Roman" w:hAnsi="Times New Roman" w:cs="Times New Roman"/>
          <w:bCs/>
          <w:sz w:val="24"/>
          <w:szCs w:val="24"/>
        </w:rPr>
        <w:t>1</w:t>
      </w:r>
      <w:r w:rsidR="00E27497">
        <w:rPr>
          <w:rFonts w:ascii="Times New Roman" w:hAnsi="Times New Roman" w:cs="Times New Roman"/>
          <w:bCs/>
          <w:sz w:val="24"/>
          <w:szCs w:val="24"/>
        </w:rPr>
        <w:t>]</w:t>
      </w:r>
      <w:r w:rsidRPr="00080EB7">
        <w:rPr>
          <w:rFonts w:ascii="Times New Roman" w:hAnsi="Times New Roman" w:cs="Times New Roman"/>
          <w:bCs/>
          <w:sz w:val="24"/>
          <w:szCs w:val="24"/>
        </w:rPr>
        <w:t>.  For each sample, three aliquots of 1x 10</w:t>
      </w:r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cells were each rested in 1 mL Dulbecco’s phosphate buffered saline (Sigma-Aldrich) (PBS) for 1 hr at 37ºC in 5% CO</w:t>
      </w:r>
      <w:r w:rsidRPr="00080EB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harvested and transferred for vital staining to 1) fresh PBS (for background fluorescence measurement), 2) PBS containing 200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MitoTracker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Red or 3) PBS containing 200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MitoTracker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Green. After 1h incubation in the dark at 37ºC/5% CO</w:t>
      </w:r>
      <w:r w:rsidRPr="00080EB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the cells were washed and resuspended in 2 ml PBS for fluorescence measurements in a Modulus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Fluorometer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(Turner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Biosystems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Sunnyvale, CA). Mitochondrial mass was assayed as the background-subtracted fluorescence of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Mitotracker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Green using the Blue Module (Excitation 460 nm, Emission 515 - 570 nm). Mitochondrial membrane potential was assayed as the ratio of the background-subtracted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Mitotracker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Red fluorescence (measured with the Green Module - </w:t>
      </w:r>
      <w:r w:rsidRPr="00080E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excitation 525 nm, emission 580 - 640 nm) to the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Mitotracker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Green fluorescence (thus normalizing against mitochondrial mass). </w:t>
      </w:r>
    </w:p>
    <w:p w:rsidR="002E2A53" w:rsidRPr="00080EB7" w:rsidRDefault="002E2A53" w:rsidP="002E2A5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EB7">
        <w:rPr>
          <w:rFonts w:ascii="Times New Roman" w:hAnsi="Times New Roman" w:cs="Times New Roman"/>
          <w:b/>
          <w:bCs/>
          <w:sz w:val="24"/>
          <w:szCs w:val="24"/>
        </w:rPr>
        <w:t xml:space="preserve">Seahorse </w:t>
      </w:r>
      <w:proofErr w:type="spellStart"/>
      <w:r w:rsidRPr="00080EB7">
        <w:rPr>
          <w:rFonts w:ascii="Times New Roman" w:hAnsi="Times New Roman" w:cs="Times New Roman"/>
          <w:b/>
          <w:bCs/>
          <w:sz w:val="24"/>
          <w:szCs w:val="24"/>
        </w:rPr>
        <w:t>respirometry</w:t>
      </w:r>
      <w:proofErr w:type="spellEnd"/>
      <w:r w:rsidRPr="00080EB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80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r w:rsidRPr="00080EB7">
        <w:rPr>
          <w:rFonts w:ascii="Times New Roman" w:hAnsi="Times New Roman" w:cs="Times New Roman"/>
          <w:bCs/>
          <w:sz w:val="24"/>
          <w:szCs w:val="24"/>
        </w:rPr>
        <w:t xml:space="preserve">The Seahorse XFe24 Extracellular Flux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Analyzer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(Seahorse Bioscience) was used to measure the oxygen consumption rate (OCR), a measure of mitochondrial respiration in real-time in live intact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lymphoblastoid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cells. Prior to inoculating cells, a 24-well PS cell culture plate was 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precoated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with 4.5μl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Matrigel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growth factor-reduced (GFR) basement membrane matrix,  (phenol-red free, LDEV-free, Corning, MA, USA, cat. no. 356231). Ten mL of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Matrigel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was diluted 1:2 in XF assay medium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unbuffered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DMEM supplemented with 2.5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glucose and 1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sodium pyruvate) and then allowed to dry completely. One hour prior to the assay 8 x 10</w:t>
      </w:r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cells in XF assay medium were inoculated and allowed to attach to the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Matrigel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coated wells.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0EB7">
        <w:rPr>
          <w:rFonts w:ascii="Times New Roman" w:hAnsi="Times New Roman" w:cs="Times New Roman"/>
          <w:b/>
          <w:bCs/>
          <w:sz w:val="24"/>
          <w:szCs w:val="24"/>
        </w:rPr>
        <w:t>ATP assay</w:t>
      </w:r>
      <w:r w:rsidRPr="00080E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r w:rsidRPr="00080EB7">
        <w:rPr>
          <w:rFonts w:ascii="Times New Roman" w:hAnsi="Times New Roman" w:cs="Times New Roman"/>
          <w:bCs/>
          <w:sz w:val="24"/>
          <w:szCs w:val="24"/>
        </w:rPr>
        <w:t xml:space="preserve">Steady state ATP levels were measured using the ATP Determination Kit (Molecular Probes) according to the manufacturer’s instructions using 1 ml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Tricine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>-buffered lysate from 5 x 10</w:t>
      </w:r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cells. Duplicate aliquots containing 5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of lysate were each added to 45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of standard reaction solution and measured using a Modulus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Fluorometer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(Turner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Biosystems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Sunnyvale, CA) and the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chemiluminescence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module. Background luminescence was measured immediately before each individual assay (conducted in duplicate) and the average background-subtracted luminescence used to determine ATP concentrations from a standard curve constructed using 10-fold serial dilutions of the ATP standard (100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- 1μM).</w:t>
      </w:r>
    </w:p>
    <w:p w:rsidR="002E2A53" w:rsidRPr="00080EB7" w:rsidRDefault="002E2A53" w:rsidP="002E2A5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EB7">
        <w:rPr>
          <w:rFonts w:ascii="Times New Roman" w:hAnsi="Times New Roman" w:cs="Times New Roman"/>
          <w:b/>
          <w:bCs/>
          <w:sz w:val="24"/>
          <w:szCs w:val="24"/>
        </w:rPr>
        <w:t>Reactive Oxygen Species (ROS).</w:t>
      </w:r>
      <w:proofErr w:type="gramEnd"/>
      <w:r w:rsidRPr="00080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r w:rsidRPr="00080EB7">
        <w:rPr>
          <w:rFonts w:ascii="Times New Roman" w:hAnsi="Times New Roman" w:cs="Times New Roman"/>
          <w:bCs/>
          <w:sz w:val="24"/>
          <w:szCs w:val="24"/>
        </w:rPr>
        <w:t xml:space="preserve">Intracellular ROS were detected in live cells using the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Fluorometric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Intracellular ROS </w:t>
      </w:r>
      <w:proofErr w:type="gramStart"/>
      <w:r w:rsidRPr="00080EB7">
        <w:rPr>
          <w:rFonts w:ascii="Times New Roman" w:hAnsi="Times New Roman" w:cs="Times New Roman"/>
          <w:bCs/>
          <w:sz w:val="24"/>
          <w:szCs w:val="24"/>
        </w:rPr>
        <w:t>kit  (</w:t>
      </w:r>
      <w:proofErr w:type="gramEnd"/>
      <w:r w:rsidRPr="00080EB7">
        <w:rPr>
          <w:rFonts w:ascii="Times New Roman" w:hAnsi="Times New Roman" w:cs="Times New Roman"/>
          <w:bCs/>
          <w:sz w:val="24"/>
          <w:szCs w:val="24"/>
        </w:rPr>
        <w:t>Sigma-Aldrich) according to manufacturer’s instructions. At a density of 1-4 × 10</w:t>
      </w:r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cells/ml the cells were centrifuged at 500 </w:t>
      </w:r>
      <w:r w:rsidRPr="00080E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x g </w:t>
      </w:r>
      <w:r w:rsidRPr="00080EB7">
        <w:rPr>
          <w:rFonts w:ascii="Times New Roman" w:hAnsi="Times New Roman" w:cs="Times New Roman"/>
          <w:bCs/>
          <w:sz w:val="24"/>
          <w:szCs w:val="24"/>
        </w:rPr>
        <w:t>for 5 min and resuspended in Dulbecco’s phosphate buffered saline (Sigma) at 5 × 10</w:t>
      </w:r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cells/ml. A 500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aliquot of cells was mixed with 600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of Master Reaction Mix and incubated at 37 °C/5% CO</w:t>
      </w:r>
      <w:r w:rsidRPr="00080EB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for one hour. An unstained aliquot of cells was used to measure background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autofluorescence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>. The background-subtracted fluorescence (a measure of ROS production) was measured using the Green Module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λex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= 520 nm,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λem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= 605 nm) in a Modulus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Fluorometer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(Turner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Biosystems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Sunnyvale, CA). </w:t>
      </w:r>
    </w:p>
    <w:p w:rsidR="002E2A53" w:rsidRPr="00080EB7" w:rsidRDefault="002E2A53" w:rsidP="002E2A53">
      <w:pPr>
        <w:rPr>
          <w:rFonts w:ascii="Times New Roman" w:hAnsi="Times New Roman" w:cs="Times New Roman"/>
          <w:sz w:val="24"/>
          <w:szCs w:val="24"/>
        </w:rPr>
      </w:pPr>
      <w:bookmarkStart w:id="0" w:name="article1.body1.sec2.sec2.p1"/>
      <w:bookmarkStart w:id="1" w:name="pone-0085436-g001"/>
      <w:bookmarkStart w:id="2" w:name="article1.body1.sec2.sec2.p4"/>
      <w:bookmarkEnd w:id="0"/>
      <w:bookmarkEnd w:id="1"/>
      <w:bookmarkEnd w:id="2"/>
      <w:r w:rsidRPr="00080EB7">
        <w:rPr>
          <w:rFonts w:ascii="Times New Roman" w:hAnsi="Times New Roman" w:cs="Times New Roman"/>
          <w:b/>
          <w:bCs/>
          <w:sz w:val="24"/>
          <w:szCs w:val="24"/>
        </w:rPr>
        <w:t>CGG repeat sizing and F</w:t>
      </w:r>
      <w:r w:rsidRPr="00080EB7">
        <w:rPr>
          <w:rFonts w:ascii="Times New Roman" w:hAnsi="Times New Roman" w:cs="Times New Roman"/>
          <w:b/>
          <w:bCs/>
          <w:i/>
          <w:sz w:val="24"/>
          <w:szCs w:val="24"/>
        </w:rPr>
        <w:t>MR1</w:t>
      </w:r>
      <w:r w:rsidRPr="00080EB7">
        <w:rPr>
          <w:rFonts w:ascii="Times New Roman" w:hAnsi="Times New Roman" w:cs="Times New Roman"/>
          <w:b/>
          <w:bCs/>
          <w:sz w:val="24"/>
          <w:szCs w:val="24"/>
        </w:rPr>
        <w:t xml:space="preserve"> mRNA expression</w:t>
      </w:r>
      <w:r w:rsidRPr="00080EB7">
        <w:rPr>
          <w:rFonts w:ascii="Times New Roman" w:hAnsi="Times New Roman" w:cs="Times New Roman"/>
          <w:bCs/>
          <w:sz w:val="24"/>
          <w:szCs w:val="24"/>
        </w:rPr>
        <w:t>.</w:t>
      </w:r>
      <w:r w:rsidRPr="00080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53" w:rsidRPr="00080EB7" w:rsidRDefault="002E2A53" w:rsidP="002E2A53">
      <w:pPr>
        <w:rPr>
          <w:rFonts w:ascii="Times New Roman" w:hAnsi="Times New Roman" w:cs="Times New Roman"/>
          <w:bCs/>
          <w:sz w:val="24"/>
          <w:szCs w:val="24"/>
        </w:rPr>
      </w:pPr>
      <w:r w:rsidRPr="00080EB7">
        <w:rPr>
          <w:rFonts w:ascii="Times New Roman" w:hAnsi="Times New Roman" w:cs="Times New Roman"/>
          <w:bCs/>
          <w:sz w:val="24"/>
          <w:szCs w:val="24"/>
        </w:rPr>
        <w:t>Genomic DNA was isolated from peripheral blood lymphocytes using standard methods (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Purygene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Kit;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Gentra</w:t>
      </w:r>
      <w:proofErr w:type="gramStart"/>
      <w:r w:rsidRPr="00080EB7">
        <w:rPr>
          <w:rFonts w:ascii="Times New Roman" w:hAnsi="Times New Roman" w:cs="Times New Roman"/>
          <w:bCs/>
          <w:sz w:val="24"/>
          <w:szCs w:val="24"/>
        </w:rPr>
        <w:t>,Inc</w:t>
      </w:r>
      <w:proofErr w:type="spellEnd"/>
      <w:proofErr w:type="gram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., Minneapolis, MN). For Southern blot analysis, 5 micrograms of isolated DNA was digested with </w:t>
      </w:r>
      <w:proofErr w:type="spellStart"/>
      <w:r w:rsidRPr="00080EB7">
        <w:rPr>
          <w:rFonts w:ascii="Times New Roman" w:hAnsi="Times New Roman" w:cs="Times New Roman"/>
          <w:bCs/>
          <w:i/>
          <w:sz w:val="24"/>
          <w:szCs w:val="24"/>
        </w:rPr>
        <w:t>PstI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. Hybridization was performed using the </w:t>
      </w:r>
      <w:r w:rsidRPr="00080EB7">
        <w:rPr>
          <w:rFonts w:ascii="Times New Roman" w:hAnsi="Times New Roman" w:cs="Times New Roman"/>
          <w:bCs/>
          <w:i/>
          <w:sz w:val="24"/>
          <w:szCs w:val="24"/>
        </w:rPr>
        <w:t>FMR1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 genomic dCTP-P</w:t>
      </w:r>
      <w:r w:rsidRPr="00080EB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32 </w:t>
      </w:r>
      <w:r w:rsidRPr="00080EB7">
        <w:rPr>
          <w:rFonts w:ascii="Times New Roman" w:hAnsi="Times New Roman" w:cs="Times New Roman"/>
          <w:bCs/>
          <w:sz w:val="24"/>
          <w:szCs w:val="24"/>
        </w:rPr>
        <w:t>labelled pfxa3 probe. Genomic DNA was also amplified by PCR primers A and 571R</w:t>
      </w:r>
      <w:r w:rsidR="00802224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802224">
        <w:rPr>
          <w:rFonts w:ascii="Times New Roman" w:hAnsi="Times New Roman" w:cs="Times New Roman"/>
          <w:bCs/>
          <w:sz w:val="24"/>
          <w:szCs w:val="24"/>
        </w:rPr>
        <w:t>3</w:t>
      </w:r>
      <w:r w:rsidR="00802224">
        <w:rPr>
          <w:rFonts w:ascii="Times New Roman" w:hAnsi="Times New Roman" w:cs="Times New Roman"/>
          <w:bCs/>
          <w:sz w:val="24"/>
          <w:szCs w:val="24"/>
        </w:rPr>
        <w:t>]</w:t>
      </w:r>
      <w:r w:rsidRPr="00080EB7">
        <w:rPr>
          <w:rFonts w:ascii="Times New Roman" w:hAnsi="Times New Roman" w:cs="Times New Roman"/>
          <w:bCs/>
          <w:sz w:val="24"/>
          <w:szCs w:val="24"/>
        </w:rPr>
        <w:t>. PCR was performed using the previously described method</w:t>
      </w:r>
      <w:r w:rsidR="00E27497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802224">
        <w:rPr>
          <w:rFonts w:ascii="Times New Roman" w:hAnsi="Times New Roman" w:cs="Times New Roman"/>
          <w:bCs/>
          <w:sz w:val="24"/>
          <w:szCs w:val="24"/>
        </w:rPr>
        <w:t>2</w:t>
      </w:r>
      <w:r w:rsidR="00E27497">
        <w:rPr>
          <w:rFonts w:ascii="Times New Roman" w:hAnsi="Times New Roman" w:cs="Times New Roman"/>
          <w:bCs/>
          <w:sz w:val="24"/>
          <w:szCs w:val="24"/>
        </w:rPr>
        <w:t>]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with all assays fully validated and internal/ external quality assessed to provide precision of +/- one repeat. In a subset of individuals (9 of 15) this test was also performed on genomic DNA from </w:t>
      </w:r>
      <w:r w:rsidRPr="00080E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cultured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lymphoblasts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with consistent results (except for one individual where there was a discrepancy of 15 repeats). </w:t>
      </w:r>
    </w:p>
    <w:p w:rsidR="00080EB7" w:rsidRDefault="002E2A53" w:rsidP="002E2A5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RNA was obtained from fresh blood collected </w:t>
      </w:r>
      <w:r w:rsidRPr="00080EB7">
        <w:rPr>
          <w:rFonts w:ascii="Times New Roman" w:hAnsi="Times New Roman" w:cs="Times New Roman"/>
          <w:bCs/>
          <w:sz w:val="24"/>
          <w:szCs w:val="24"/>
        </w:rPr>
        <w:t xml:space="preserve">directly into Tempus Blood RNA Tubes (Applied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Biosystems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, Foster City, CA) and RNA was isolated using the ABI PRISM™ 6100 Nucleic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</w:rPr>
        <w:t>AcidPrepStation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</w:rPr>
        <w:t xml:space="preserve"> as per the manufacturer’s protocol</w:t>
      </w:r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Total RNA was extracted, purified and reverse transcribed. 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>qRT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-PCR was be used to quantify </w:t>
      </w:r>
      <w:r w:rsidRPr="00080EB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FMR1 </w:t>
      </w:r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>and internal control genes GUS, EIF4A2 and SDHA using the relative standard curve method, performed on each plate, standardized to the mean of the 3 internal control genes</w:t>
      </w:r>
      <w:r w:rsidR="00E274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</w:t>
      </w:r>
      <w:r w:rsidR="00802224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E27497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Previously published sequences were used for primers and probes for </w:t>
      </w:r>
      <w:r w:rsidRPr="00080EB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FMR1</w:t>
      </w:r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 internal control genes. All of the above assays were single-</w:t>
      </w:r>
      <w:proofErr w:type="spellStart"/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>plexed</w:t>
      </w:r>
      <w:proofErr w:type="spellEnd"/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>, using PCR conditions as described previously</w:t>
      </w:r>
      <w:r w:rsidR="00E274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</w:t>
      </w:r>
      <w:r w:rsidR="0080222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E27497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080EB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27497" w:rsidRDefault="00080EB7" w:rsidP="002E2A5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0EB7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E27497" w:rsidRPr="00E27497" w:rsidRDefault="00E27497" w:rsidP="00E27497">
      <w:pPr>
        <w:rPr>
          <w:rFonts w:ascii="Times New Roman" w:hAnsi="Times New Roman" w:cs="Times New Roman"/>
          <w:iCs/>
          <w:sz w:val="24"/>
          <w:szCs w:val="24"/>
        </w:rPr>
      </w:pPr>
      <w:r w:rsidRPr="00E27497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E27497">
        <w:rPr>
          <w:rFonts w:ascii="Times New Roman" w:hAnsi="Times New Roman" w:cs="Times New Roman"/>
          <w:iCs/>
          <w:sz w:val="24"/>
          <w:szCs w:val="24"/>
        </w:rPr>
        <w:t xml:space="preserve"> Pendergrass W, Wolf N, </w:t>
      </w:r>
      <w:proofErr w:type="spellStart"/>
      <w:r w:rsidRPr="00E27497">
        <w:rPr>
          <w:rFonts w:ascii="Times New Roman" w:hAnsi="Times New Roman" w:cs="Times New Roman"/>
          <w:iCs/>
          <w:sz w:val="24"/>
          <w:szCs w:val="24"/>
        </w:rPr>
        <w:t>Poot</w:t>
      </w:r>
      <w:proofErr w:type="spellEnd"/>
      <w:r w:rsidRPr="00E27497">
        <w:rPr>
          <w:rFonts w:ascii="Times New Roman" w:hAnsi="Times New Roman" w:cs="Times New Roman"/>
          <w:iCs/>
          <w:sz w:val="24"/>
          <w:szCs w:val="24"/>
        </w:rPr>
        <w:t xml:space="preserve"> M. Efficacy of </w:t>
      </w:r>
      <w:proofErr w:type="spellStart"/>
      <w:r w:rsidRPr="00E27497">
        <w:rPr>
          <w:rFonts w:ascii="Times New Roman" w:hAnsi="Times New Roman" w:cs="Times New Roman"/>
          <w:iCs/>
          <w:sz w:val="24"/>
          <w:szCs w:val="24"/>
        </w:rPr>
        <w:t>MitoTracker</w:t>
      </w:r>
      <w:proofErr w:type="spellEnd"/>
      <w:r w:rsidRPr="00E27497">
        <w:rPr>
          <w:rFonts w:ascii="Times New Roman" w:hAnsi="Times New Roman" w:cs="Times New Roman"/>
          <w:iCs/>
          <w:sz w:val="24"/>
          <w:szCs w:val="24"/>
        </w:rPr>
        <w:t xml:space="preserve"> Green TM and </w:t>
      </w:r>
      <w:proofErr w:type="spellStart"/>
      <w:r w:rsidRPr="00E27497">
        <w:rPr>
          <w:rFonts w:ascii="Times New Roman" w:hAnsi="Times New Roman" w:cs="Times New Roman"/>
          <w:iCs/>
          <w:sz w:val="24"/>
          <w:szCs w:val="24"/>
        </w:rPr>
        <w:t>CMXrosamine</w:t>
      </w:r>
      <w:proofErr w:type="spellEnd"/>
      <w:r w:rsidRPr="00E27497">
        <w:rPr>
          <w:rFonts w:ascii="Times New Roman" w:hAnsi="Times New Roman" w:cs="Times New Roman"/>
          <w:iCs/>
          <w:sz w:val="24"/>
          <w:szCs w:val="24"/>
        </w:rPr>
        <w:t xml:space="preserve"> to measure changes in mitochondrial membrane potentials in living cells and tissues. </w:t>
      </w:r>
      <w:r w:rsidRPr="00E27497">
        <w:rPr>
          <w:rFonts w:ascii="Times New Roman" w:hAnsi="Times New Roman" w:cs="Times New Roman"/>
          <w:i/>
          <w:iCs/>
          <w:sz w:val="24"/>
          <w:szCs w:val="24"/>
        </w:rPr>
        <w:t>Cytometry</w:t>
      </w:r>
      <w:r w:rsidRPr="00E27497">
        <w:rPr>
          <w:rFonts w:ascii="Times New Roman" w:hAnsi="Times New Roman" w:cs="Times New Roman"/>
          <w:iCs/>
          <w:sz w:val="24"/>
          <w:szCs w:val="24"/>
        </w:rPr>
        <w:t xml:space="preserve"> 2004; 61A: 162-169.</w:t>
      </w:r>
    </w:p>
    <w:p w:rsidR="00802224" w:rsidRDefault="00802224" w:rsidP="00E27497">
      <w:pPr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E27497" w:rsidRPr="00E2749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27497" w:rsidRPr="00E27497">
        <w:rPr>
          <w:rFonts w:ascii="Times New Roman" w:hAnsi="Times New Roman" w:cs="Times New Roman"/>
          <w:iCs/>
          <w:sz w:val="24"/>
          <w:szCs w:val="24"/>
        </w:rPr>
        <w:t>Khaniani</w:t>
      </w:r>
      <w:proofErr w:type="spellEnd"/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MS, </w:t>
      </w:r>
      <w:proofErr w:type="spellStart"/>
      <w:r w:rsidR="00E27497" w:rsidRPr="00E27497">
        <w:rPr>
          <w:rFonts w:ascii="Times New Roman" w:hAnsi="Times New Roman" w:cs="Times New Roman"/>
          <w:iCs/>
          <w:sz w:val="24"/>
          <w:szCs w:val="24"/>
        </w:rPr>
        <w:t>Kalitsis</w:t>
      </w:r>
      <w:proofErr w:type="spellEnd"/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P, Burgess T, Slater HR. An improved</w:t>
      </w:r>
      <w:r w:rsidR="00E27497" w:rsidRPr="00E274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diagnostic PCR assay for identification of cryptic </w:t>
      </w:r>
      <w:proofErr w:type="spellStart"/>
      <w:r w:rsidR="00E27497" w:rsidRPr="00E27497">
        <w:rPr>
          <w:rFonts w:ascii="Times New Roman" w:hAnsi="Times New Roman" w:cs="Times New Roman"/>
          <w:iCs/>
          <w:sz w:val="24"/>
          <w:szCs w:val="24"/>
        </w:rPr>
        <w:t>heterozygosity</w:t>
      </w:r>
      <w:proofErr w:type="spellEnd"/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for CGG triplet repeat alleles in the </w:t>
      </w:r>
      <w:proofErr w:type="gramStart"/>
      <w:r w:rsidR="00E27497" w:rsidRPr="00E27497">
        <w:rPr>
          <w:rFonts w:ascii="Times New Roman" w:hAnsi="Times New Roman" w:cs="Times New Roman"/>
          <w:iCs/>
          <w:sz w:val="24"/>
          <w:szCs w:val="24"/>
        </w:rPr>
        <w:t>Fragile</w:t>
      </w:r>
      <w:proofErr w:type="gramEnd"/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X gene (FMR1). </w:t>
      </w:r>
      <w:r w:rsidR="00E27497" w:rsidRPr="00E2749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Mol </w:t>
      </w:r>
      <w:proofErr w:type="spellStart"/>
      <w:r w:rsidR="00E27497" w:rsidRPr="00E27497">
        <w:rPr>
          <w:rFonts w:ascii="Times New Roman" w:hAnsi="Times New Roman" w:cs="Times New Roman"/>
          <w:i/>
          <w:iCs/>
          <w:sz w:val="24"/>
          <w:szCs w:val="24"/>
          <w:lang w:val="fr-FR"/>
        </w:rPr>
        <w:t>Cytogen</w:t>
      </w:r>
      <w:proofErr w:type="spellEnd"/>
      <w:r w:rsidR="00E27497" w:rsidRPr="00E2749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2008; 1:5.</w:t>
      </w:r>
    </w:p>
    <w:p w:rsidR="00802224" w:rsidRPr="00802224" w:rsidRDefault="00802224" w:rsidP="00802224">
      <w:pPr>
        <w:rPr>
          <w:rFonts w:ascii="Times New Roman" w:hAnsi="Times New Roman" w:cs="Times New Roman"/>
          <w:iCs/>
          <w:sz w:val="24"/>
          <w:szCs w:val="24"/>
        </w:rPr>
      </w:pPr>
      <w:r w:rsidRPr="00802224">
        <w:rPr>
          <w:rFonts w:ascii="Times New Roman" w:hAnsi="Times New Roman" w:cs="Times New Roman"/>
          <w:b/>
          <w:iCs/>
          <w:sz w:val="24"/>
          <w:szCs w:val="24"/>
          <w:lang w:val="de-DE"/>
        </w:rPr>
        <w:t>3.</w:t>
      </w:r>
      <w:r w:rsidRPr="00802224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 xml:space="preserve"> </w:t>
      </w:r>
      <w:r w:rsidRPr="00802224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Fu YH, Kuhl DP, Pizzuti A, et al. </w:t>
      </w:r>
      <w:r w:rsidRPr="00802224">
        <w:rPr>
          <w:rFonts w:ascii="Times New Roman" w:hAnsi="Times New Roman" w:cs="Times New Roman"/>
          <w:iCs/>
          <w:sz w:val="24"/>
          <w:szCs w:val="24"/>
        </w:rPr>
        <w:t xml:space="preserve">Variation of the CGG repeat X site results in genetic instability. </w:t>
      </w:r>
      <w:proofErr w:type="gramStart"/>
      <w:r w:rsidRPr="00802224">
        <w:rPr>
          <w:rFonts w:ascii="Times New Roman" w:hAnsi="Times New Roman" w:cs="Times New Roman"/>
          <w:iCs/>
          <w:sz w:val="24"/>
          <w:szCs w:val="24"/>
        </w:rPr>
        <w:t>Resolution of Sherman paradox.</w:t>
      </w:r>
      <w:proofErr w:type="gramEnd"/>
      <w:r w:rsidRPr="008022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02224">
        <w:rPr>
          <w:rFonts w:ascii="Times New Roman" w:hAnsi="Times New Roman" w:cs="Times New Roman"/>
          <w:iCs/>
          <w:sz w:val="24"/>
          <w:szCs w:val="24"/>
        </w:rPr>
        <w:t>Cell 1991; 67:1047-1058.</w:t>
      </w:r>
      <w:proofErr w:type="gramEnd"/>
      <w:r w:rsidRPr="008022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27497" w:rsidRPr="00E27497" w:rsidRDefault="00802224" w:rsidP="00E2749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4</w:t>
      </w:r>
      <w:r w:rsidR="00E27497" w:rsidRPr="00E27497">
        <w:rPr>
          <w:rFonts w:ascii="Times New Roman" w:hAnsi="Times New Roman" w:cs="Times New Roman"/>
          <w:b/>
          <w:iCs/>
          <w:sz w:val="24"/>
          <w:szCs w:val="24"/>
          <w:lang w:val="de-DE"/>
        </w:rPr>
        <w:t>.</w:t>
      </w:r>
      <w:r w:rsidR="00E27497" w:rsidRPr="00E27497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Godler DE, Loesch DZ, Huggins R, et al. </w:t>
      </w:r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Improved methodology for assessment of mRNA levels in blood of patients with FMR1 related disorders. </w:t>
      </w:r>
      <w:r w:rsidR="00E27497" w:rsidRPr="00E27497">
        <w:rPr>
          <w:rFonts w:ascii="Times New Roman" w:hAnsi="Times New Roman" w:cs="Times New Roman"/>
          <w:i/>
          <w:iCs/>
          <w:sz w:val="24"/>
          <w:szCs w:val="24"/>
        </w:rPr>
        <w:t xml:space="preserve">BMC </w:t>
      </w:r>
      <w:proofErr w:type="spellStart"/>
      <w:r w:rsidR="00E27497" w:rsidRPr="00E27497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27497" w:rsidRPr="00E274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7497" w:rsidRPr="00E27497">
        <w:rPr>
          <w:rFonts w:ascii="Times New Roman" w:hAnsi="Times New Roman" w:cs="Times New Roman"/>
          <w:i/>
          <w:iCs/>
          <w:sz w:val="24"/>
          <w:szCs w:val="24"/>
        </w:rPr>
        <w:t>Pathol</w:t>
      </w:r>
      <w:proofErr w:type="spellEnd"/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2009; 9:5. PMCID2708186.</w:t>
      </w:r>
    </w:p>
    <w:p w:rsidR="00E27497" w:rsidRPr="00E27497" w:rsidRDefault="00802224" w:rsidP="00E27497">
      <w:pPr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802224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E27497" w:rsidRPr="008022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27497" w:rsidRPr="00E27497">
        <w:rPr>
          <w:rFonts w:ascii="Times New Roman" w:hAnsi="Times New Roman" w:cs="Times New Roman"/>
          <w:iCs/>
          <w:sz w:val="24"/>
          <w:szCs w:val="24"/>
        </w:rPr>
        <w:t>Tassone</w:t>
      </w:r>
      <w:proofErr w:type="spellEnd"/>
      <w:r w:rsidR="00E27497" w:rsidRPr="00E27497">
        <w:rPr>
          <w:rFonts w:ascii="Times New Roman" w:hAnsi="Times New Roman" w:cs="Times New Roman"/>
          <w:iCs/>
          <w:sz w:val="24"/>
          <w:szCs w:val="24"/>
        </w:rPr>
        <w:t xml:space="preserve"> F, Hagerman RJ, Taylor AK, et al. Elevated levels of FMR1 mRNA in carrier males: a new mechanism of involvement in the fragile-X syndrome</w:t>
      </w:r>
      <w:r w:rsidR="00E27497" w:rsidRPr="00E274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27497" w:rsidRPr="00E27497">
        <w:rPr>
          <w:rFonts w:ascii="Times New Roman" w:hAnsi="Times New Roman" w:cs="Times New Roman"/>
          <w:i/>
          <w:iCs/>
          <w:sz w:val="24"/>
          <w:szCs w:val="24"/>
          <w:lang w:val="de-DE"/>
        </w:rPr>
        <w:t>Am J Hum Genet</w:t>
      </w:r>
      <w:r w:rsidR="00E27497" w:rsidRPr="00E27497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2000; 66(1):6-15.</w:t>
      </w:r>
      <w:bookmarkStart w:id="3" w:name="_GoBack"/>
      <w:bookmarkEnd w:id="3"/>
    </w:p>
    <w:p w:rsidR="00E27497" w:rsidRPr="00E27497" w:rsidRDefault="00E27497" w:rsidP="00E27497">
      <w:pPr>
        <w:rPr>
          <w:rFonts w:ascii="Times New Roman" w:hAnsi="Times New Roman" w:cs="Times New Roman"/>
          <w:iCs/>
          <w:sz w:val="24"/>
          <w:szCs w:val="24"/>
        </w:rPr>
      </w:pPr>
    </w:p>
    <w:p w:rsidR="002E2A53" w:rsidRPr="00080EB7" w:rsidRDefault="002E2A53" w:rsidP="002E2A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39DB" w:rsidRPr="00080EB7" w:rsidRDefault="003339DB">
      <w:pPr>
        <w:rPr>
          <w:rFonts w:ascii="Times New Roman" w:hAnsi="Times New Roman" w:cs="Times New Roman"/>
          <w:sz w:val="24"/>
          <w:szCs w:val="24"/>
        </w:rPr>
      </w:pPr>
    </w:p>
    <w:sectPr w:rsidR="003339DB" w:rsidRPr="0008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53"/>
    <w:rsid w:val="00080EB7"/>
    <w:rsid w:val="002E2A53"/>
    <w:rsid w:val="003339DB"/>
    <w:rsid w:val="00802224"/>
    <w:rsid w:val="00E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Loesch-Mdzewska</dc:creator>
  <cp:lastModifiedBy>Danuta Loesch-Mdzewska</cp:lastModifiedBy>
  <cp:revision>2</cp:revision>
  <dcterms:created xsi:type="dcterms:W3CDTF">2016-03-04T02:47:00Z</dcterms:created>
  <dcterms:modified xsi:type="dcterms:W3CDTF">2016-03-04T02:47:00Z</dcterms:modified>
</cp:coreProperties>
</file>