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19" w:rsidRPr="00502F19" w:rsidRDefault="00502F19" w:rsidP="00D008C5">
      <w:pPr>
        <w:jc w:val="center"/>
        <w:rPr>
          <w:rFonts w:ascii="Times New Roman" w:hAnsi="Times New Roman" w:cs="Times New Roman"/>
          <w:b/>
          <w:bCs/>
          <w:sz w:val="24"/>
          <w:szCs w:val="24"/>
        </w:rPr>
      </w:pPr>
      <w:r w:rsidRPr="00502F19">
        <w:rPr>
          <w:rFonts w:ascii="Times New Roman" w:hAnsi="Times New Roman" w:cs="Times New Roman"/>
          <w:b/>
          <w:bCs/>
          <w:sz w:val="24"/>
          <w:szCs w:val="24"/>
        </w:rPr>
        <w:t>SUPPLEMENTARY MATERIAL</w:t>
      </w:r>
    </w:p>
    <w:p w:rsidR="00502F19" w:rsidRDefault="00502F19">
      <w:pPr>
        <w:rPr>
          <w:rFonts w:ascii="Times New Roman" w:hAnsi="Times New Roman" w:cs="Times New Roman"/>
          <w:b/>
          <w:bCs/>
          <w:sz w:val="24"/>
          <w:szCs w:val="24"/>
        </w:rPr>
      </w:pPr>
      <w:r w:rsidRPr="00502F19">
        <w:rPr>
          <w:rFonts w:ascii="Times New Roman" w:hAnsi="Times New Roman" w:cs="Times New Roman"/>
          <w:b/>
          <w:bCs/>
          <w:sz w:val="24"/>
          <w:szCs w:val="24"/>
        </w:rPr>
        <w:t>METHODS</w:t>
      </w:r>
    </w:p>
    <w:p w:rsidR="00F76AA1" w:rsidRPr="00FA63DE" w:rsidRDefault="00F76AA1" w:rsidP="00F76AA1">
      <w:pPr>
        <w:spacing w:after="0" w:line="480" w:lineRule="auto"/>
        <w:jc w:val="both"/>
        <w:rPr>
          <w:rStyle w:val="apple-converted-space"/>
          <w:rFonts w:ascii="Times New Roman" w:hAnsi="Times New Roman" w:cs="Times New Roman"/>
          <w:sz w:val="24"/>
          <w:szCs w:val="24"/>
          <w:shd w:val="clear" w:color="auto" w:fill="FFFFFF"/>
        </w:rPr>
      </w:pPr>
      <w:r w:rsidRPr="00FA63DE">
        <w:rPr>
          <w:rStyle w:val="apple-converted-space"/>
          <w:rFonts w:ascii="Times New Roman" w:hAnsi="Times New Roman" w:cs="Times New Roman"/>
          <w:i/>
          <w:sz w:val="24"/>
          <w:szCs w:val="24"/>
          <w:shd w:val="clear" w:color="auto" w:fill="FFFFFF"/>
        </w:rPr>
        <w:t>Baseline Investigation</w:t>
      </w:r>
    </w:p>
    <w:p w:rsidR="00F76AA1" w:rsidRPr="00DD25CA" w:rsidRDefault="00F76AA1" w:rsidP="00F76AA1">
      <w:pPr>
        <w:spacing w:after="0" w:line="480" w:lineRule="auto"/>
        <w:jc w:val="both"/>
        <w:rPr>
          <w:rStyle w:val="apple-converted-space"/>
          <w:rFonts w:ascii="Times New Roman" w:hAnsi="Times New Roman" w:cs="Times New Roman"/>
          <w:sz w:val="24"/>
          <w:szCs w:val="24"/>
          <w:shd w:val="clear" w:color="auto" w:fill="FFFFFF"/>
        </w:rPr>
      </w:pPr>
      <w:r w:rsidRPr="00DD25CA">
        <w:rPr>
          <w:rStyle w:val="apple-converted-space"/>
          <w:rFonts w:ascii="Times New Roman" w:hAnsi="Times New Roman" w:cs="Times New Roman"/>
          <w:sz w:val="24"/>
          <w:szCs w:val="24"/>
          <w:shd w:val="clear" w:color="auto" w:fill="FFFFFF"/>
        </w:rPr>
        <w:t xml:space="preserve">      At baseline, demographic and clinical data from patients were obtained by reviewing medical records and conducting an interview using a structured questionnaire containing the variables under study. Investigators underwent training and worked together for a period to achieve consensus on assigning values to variables. Baseline investigation included factors thought to be associated with anticoagulation instability as suggested by previous studies [</w:t>
      </w:r>
      <w:r w:rsidR="00863700">
        <w:rPr>
          <w:rStyle w:val="apple-converted-space"/>
          <w:rFonts w:ascii="Times New Roman" w:hAnsi="Times New Roman" w:cs="Times New Roman"/>
          <w:sz w:val="24"/>
          <w:szCs w:val="24"/>
          <w:shd w:val="clear" w:color="auto" w:fill="FFFFFF"/>
        </w:rPr>
        <w:t>1</w:t>
      </w:r>
      <w:r w:rsidRPr="00DD25CA">
        <w:rPr>
          <w:rStyle w:val="apple-converted-space"/>
          <w:rFonts w:ascii="Times New Roman" w:hAnsi="Times New Roman" w:cs="Times New Roman"/>
          <w:sz w:val="24"/>
          <w:szCs w:val="24"/>
          <w:shd w:val="clear" w:color="auto" w:fill="FFFFFF"/>
        </w:rPr>
        <w:t xml:space="preserve">, </w:t>
      </w:r>
      <w:r w:rsidR="00605F89">
        <w:rPr>
          <w:rStyle w:val="apple-converted-space"/>
          <w:rFonts w:ascii="Times New Roman" w:hAnsi="Times New Roman" w:cs="Times New Roman"/>
          <w:sz w:val="24"/>
          <w:szCs w:val="24"/>
          <w:shd w:val="clear" w:color="auto" w:fill="FFFFFF"/>
        </w:rPr>
        <w:t>2</w:t>
      </w:r>
      <w:r w:rsidRPr="00DD25CA">
        <w:rPr>
          <w:rStyle w:val="apple-converted-space"/>
          <w:rFonts w:ascii="Times New Roman" w:hAnsi="Times New Roman" w:cs="Times New Roman"/>
          <w:sz w:val="24"/>
          <w:szCs w:val="24"/>
          <w:shd w:val="clear" w:color="auto" w:fill="FFFFFF"/>
        </w:rPr>
        <w:t>]. The data set included age, sex, educational status, New York Heart Association (NHYA) functional class, indications for warfarin, duration of warfarin therapy, comorbidities (heart failure, hypertension, diabetes mellitus, renal failure, depression), current medications, adherence to warfarin,  consumption of alcoholic beverages, smoking status, routine laboratory tests,</w:t>
      </w:r>
      <w:r w:rsidRPr="00DD25CA">
        <w:rPr>
          <w:rFonts w:ascii="Times New Roman" w:hAnsi="Times New Roman" w:cs="Times New Roman"/>
          <w:sz w:val="24"/>
          <w:szCs w:val="24"/>
        </w:rPr>
        <w:t xml:space="preserve"> </w:t>
      </w:r>
      <w:r w:rsidRPr="00DD25CA">
        <w:rPr>
          <w:rStyle w:val="apple-converted-space"/>
          <w:rFonts w:ascii="Times New Roman" w:hAnsi="Times New Roman" w:cs="Times New Roman"/>
          <w:sz w:val="24"/>
          <w:szCs w:val="24"/>
          <w:shd w:val="clear" w:color="auto" w:fill="FFFFFF"/>
        </w:rPr>
        <w:t>any prior hemorrhage diagnosis due to warfarin, and the Anticoagulation and Risk Factors in Atrial Fibrillation (ATRIA) score [</w:t>
      </w:r>
      <w:r w:rsidR="00605F89">
        <w:rPr>
          <w:rStyle w:val="apple-converted-space"/>
          <w:rFonts w:ascii="Times New Roman" w:hAnsi="Times New Roman" w:cs="Times New Roman"/>
          <w:sz w:val="24"/>
          <w:szCs w:val="24"/>
          <w:shd w:val="clear" w:color="auto" w:fill="FFFFFF"/>
        </w:rPr>
        <w:t>3</w:t>
      </w:r>
      <w:r w:rsidRPr="00DD25CA">
        <w:rPr>
          <w:rStyle w:val="apple-converted-space"/>
          <w:rFonts w:ascii="Times New Roman" w:hAnsi="Times New Roman" w:cs="Times New Roman"/>
          <w:sz w:val="24"/>
          <w:szCs w:val="24"/>
          <w:shd w:val="clear" w:color="auto" w:fill="FFFFFF"/>
        </w:rPr>
        <w:t>]. Alcohol regular use was defined as alcohol intake 1-&lt; 8 units per week.</w:t>
      </w:r>
      <w:r w:rsidRPr="00DD25CA">
        <w:rPr>
          <w:rFonts w:ascii="Times New Roman" w:hAnsi="Times New Roman" w:cs="Times New Roman"/>
          <w:sz w:val="24"/>
          <w:szCs w:val="24"/>
        </w:rPr>
        <w:t xml:space="preserve"> </w:t>
      </w:r>
      <w:r w:rsidRPr="00DD25CA">
        <w:rPr>
          <w:rStyle w:val="apple-converted-space"/>
          <w:rFonts w:ascii="Times New Roman" w:hAnsi="Times New Roman" w:cs="Times New Roman"/>
          <w:sz w:val="24"/>
          <w:szCs w:val="24"/>
          <w:shd w:val="clear" w:color="auto" w:fill="FFFFFF"/>
        </w:rPr>
        <w:t>Anemia was defined as hemoglobin &lt;13 g/dl in men and &lt;12 g/dl in women.    Estimated glomerular filtration rate (</w:t>
      </w:r>
      <w:proofErr w:type="spellStart"/>
      <w:r w:rsidRPr="00DD25CA">
        <w:rPr>
          <w:rStyle w:val="apple-converted-space"/>
          <w:rFonts w:ascii="Times New Roman" w:hAnsi="Times New Roman" w:cs="Times New Roman"/>
          <w:sz w:val="24"/>
          <w:szCs w:val="24"/>
          <w:shd w:val="clear" w:color="auto" w:fill="FFFFFF"/>
        </w:rPr>
        <w:t>eGFR</w:t>
      </w:r>
      <w:proofErr w:type="spellEnd"/>
      <w:r w:rsidRPr="00DD25CA">
        <w:rPr>
          <w:rStyle w:val="apple-converted-space"/>
          <w:rFonts w:ascii="Times New Roman" w:hAnsi="Times New Roman" w:cs="Times New Roman"/>
          <w:sz w:val="24"/>
          <w:szCs w:val="24"/>
          <w:shd w:val="clear" w:color="auto" w:fill="FFFFFF"/>
        </w:rPr>
        <w:t xml:space="preserve">) was calculated using the </w:t>
      </w:r>
      <w:r w:rsidRPr="00FC4AF3">
        <w:rPr>
          <w:rStyle w:val="apple-converted-space"/>
          <w:rFonts w:ascii="Times New Roman" w:hAnsi="Times New Roman" w:cs="Times New Roman"/>
          <w:sz w:val="24"/>
          <w:szCs w:val="24"/>
          <w:highlight w:val="yellow"/>
          <w:shd w:val="clear" w:color="auto" w:fill="FFFFFF"/>
        </w:rPr>
        <w:t>Modification of Diet in Renal Disease formula.</w:t>
      </w:r>
    </w:p>
    <w:p w:rsidR="00F76AA1" w:rsidRDefault="00F76AA1">
      <w:pPr>
        <w:rPr>
          <w:rFonts w:ascii="Times New Roman" w:hAnsi="Times New Roman" w:cs="Times New Roman"/>
          <w:b/>
          <w:bCs/>
          <w:sz w:val="24"/>
          <w:szCs w:val="24"/>
        </w:rPr>
      </w:pPr>
    </w:p>
    <w:p w:rsidR="00F91751" w:rsidRPr="00A844EB" w:rsidRDefault="00F91751" w:rsidP="00F91751">
      <w:pPr>
        <w:spacing w:after="0" w:line="480" w:lineRule="auto"/>
        <w:jc w:val="both"/>
        <w:rPr>
          <w:rFonts w:ascii="Times New Roman" w:hAnsi="Times New Roman" w:cs="Times New Roman"/>
          <w:i/>
          <w:color w:val="000000"/>
          <w:sz w:val="24"/>
          <w:szCs w:val="24"/>
        </w:rPr>
      </w:pPr>
      <w:r w:rsidRPr="00A844EB">
        <w:rPr>
          <w:rFonts w:ascii="Times New Roman" w:hAnsi="Times New Roman" w:cs="Times New Roman"/>
          <w:i/>
          <w:color w:val="000000"/>
          <w:sz w:val="24"/>
          <w:szCs w:val="24"/>
        </w:rPr>
        <w:t>Assessment of patients’ adherence to warfarin</w:t>
      </w:r>
    </w:p>
    <w:p w:rsidR="00F91751" w:rsidRPr="00DD25CA" w:rsidRDefault="00F91751" w:rsidP="00F91751">
      <w:pPr>
        <w:spacing w:after="0" w:line="480" w:lineRule="auto"/>
        <w:jc w:val="both"/>
        <w:rPr>
          <w:rFonts w:ascii="Times New Roman" w:hAnsi="Times New Roman" w:cs="Times New Roman"/>
          <w:color w:val="000000"/>
          <w:sz w:val="24"/>
          <w:szCs w:val="24"/>
        </w:rPr>
      </w:pPr>
      <w:r w:rsidRPr="00DD25CA">
        <w:rPr>
          <w:rFonts w:ascii="Times New Roman" w:hAnsi="Times New Roman" w:cs="Times New Roman"/>
          <w:color w:val="000000"/>
          <w:sz w:val="24"/>
          <w:szCs w:val="24"/>
        </w:rPr>
        <w:t xml:space="preserve">       Patient-reported adherence was evaluated by using the eight-item </w:t>
      </w:r>
      <w:proofErr w:type="spellStart"/>
      <w:r w:rsidRPr="00DD25CA">
        <w:rPr>
          <w:rFonts w:ascii="Times New Roman" w:hAnsi="Times New Roman" w:cs="Times New Roman"/>
          <w:color w:val="000000"/>
          <w:sz w:val="24"/>
          <w:szCs w:val="24"/>
        </w:rPr>
        <w:t>Morisky</w:t>
      </w:r>
      <w:proofErr w:type="spellEnd"/>
      <w:r w:rsidRPr="00DD25CA">
        <w:rPr>
          <w:rFonts w:ascii="Times New Roman" w:hAnsi="Times New Roman" w:cs="Times New Roman"/>
          <w:color w:val="000000"/>
          <w:sz w:val="24"/>
          <w:szCs w:val="24"/>
        </w:rPr>
        <w:t xml:space="preserve"> Medication Adherence Scale (MMAS) [</w:t>
      </w:r>
      <w:r w:rsidR="003A174F">
        <w:rPr>
          <w:rFonts w:ascii="Times New Roman" w:hAnsi="Times New Roman" w:cs="Times New Roman"/>
          <w:color w:val="000000"/>
          <w:sz w:val="24"/>
          <w:szCs w:val="24"/>
        </w:rPr>
        <w:t>4</w:t>
      </w:r>
      <w:r w:rsidRPr="00DD25CA">
        <w:rPr>
          <w:rFonts w:ascii="Times New Roman" w:hAnsi="Times New Roman" w:cs="Times New Roman"/>
          <w:color w:val="000000"/>
          <w:sz w:val="24"/>
          <w:szCs w:val="24"/>
        </w:rPr>
        <w:t>]. The 8-MMAS evaluates items addressing the circumstances surrounding adherence behavior [</w:t>
      </w:r>
      <w:r w:rsidR="003A174F">
        <w:rPr>
          <w:rFonts w:ascii="Times New Roman" w:hAnsi="Times New Roman" w:cs="Times New Roman"/>
          <w:color w:val="000000"/>
          <w:sz w:val="24"/>
          <w:szCs w:val="24"/>
        </w:rPr>
        <w:t>4</w:t>
      </w:r>
      <w:r w:rsidRPr="00DD25CA">
        <w:rPr>
          <w:rFonts w:ascii="Times New Roman" w:hAnsi="Times New Roman" w:cs="Times New Roman"/>
          <w:color w:val="000000"/>
          <w:sz w:val="24"/>
          <w:szCs w:val="24"/>
        </w:rPr>
        <w:t>]. Each item measures a specific medication-taking behavior and is not a determinant of adherence behavior [</w:t>
      </w:r>
      <w:r w:rsidR="003A174F">
        <w:rPr>
          <w:rFonts w:ascii="Times New Roman" w:hAnsi="Times New Roman" w:cs="Times New Roman"/>
          <w:color w:val="000000"/>
          <w:sz w:val="24"/>
          <w:szCs w:val="24"/>
        </w:rPr>
        <w:t>4</w:t>
      </w:r>
      <w:r w:rsidRPr="00DD25CA">
        <w:rPr>
          <w:rFonts w:ascii="Times New Roman" w:hAnsi="Times New Roman" w:cs="Times New Roman"/>
          <w:color w:val="000000"/>
          <w:sz w:val="24"/>
          <w:szCs w:val="24"/>
        </w:rPr>
        <w:t xml:space="preserve">]. The MMAS scores can range from 0–8 and </w:t>
      </w:r>
      <w:r w:rsidRPr="00DD25CA">
        <w:rPr>
          <w:rFonts w:ascii="Times New Roman" w:hAnsi="Times New Roman" w:cs="Times New Roman"/>
          <w:color w:val="000000"/>
          <w:sz w:val="24"/>
          <w:szCs w:val="24"/>
        </w:rPr>
        <w:lastRenderedPageBreak/>
        <w:t>have been classified into three levels of adherence: high adherence (score 8); medium adherence (score 6–7.75); and low adherence (score &lt;6) [</w:t>
      </w:r>
      <w:r w:rsidR="003A174F">
        <w:rPr>
          <w:rFonts w:ascii="Times New Roman" w:hAnsi="Times New Roman" w:cs="Times New Roman"/>
          <w:color w:val="000000"/>
          <w:sz w:val="24"/>
          <w:szCs w:val="24"/>
        </w:rPr>
        <w:t>4</w:t>
      </w:r>
      <w:r w:rsidRPr="00DD25CA">
        <w:rPr>
          <w:rFonts w:ascii="Times New Roman" w:hAnsi="Times New Roman" w:cs="Times New Roman"/>
          <w:color w:val="000000"/>
          <w:sz w:val="24"/>
          <w:szCs w:val="24"/>
        </w:rPr>
        <w:t>].</w:t>
      </w:r>
    </w:p>
    <w:p w:rsidR="00F91751" w:rsidRDefault="00F91751">
      <w:pPr>
        <w:rPr>
          <w:rFonts w:ascii="Times New Roman" w:hAnsi="Times New Roman" w:cs="Times New Roman"/>
          <w:b/>
          <w:bCs/>
          <w:sz w:val="24"/>
          <w:szCs w:val="24"/>
        </w:rPr>
      </w:pPr>
    </w:p>
    <w:p w:rsidR="00770CD2" w:rsidRPr="00724EFD" w:rsidRDefault="00770CD2" w:rsidP="00770CD2">
      <w:pPr>
        <w:spacing w:after="0" w:line="480" w:lineRule="auto"/>
        <w:jc w:val="both"/>
        <w:rPr>
          <w:rFonts w:ascii="Times New Roman" w:hAnsi="Times New Roman" w:cs="Times New Roman"/>
          <w:sz w:val="24"/>
          <w:szCs w:val="24"/>
        </w:rPr>
      </w:pPr>
      <w:r w:rsidRPr="00724EFD">
        <w:rPr>
          <w:rFonts w:ascii="Times New Roman" w:hAnsi="Times New Roman" w:cs="Times New Roman"/>
          <w:i/>
          <w:sz w:val="24"/>
          <w:szCs w:val="24"/>
        </w:rPr>
        <w:t>Echocardiographic examination</w:t>
      </w:r>
    </w:p>
    <w:p w:rsidR="00770CD2" w:rsidRPr="00DD25CA" w:rsidRDefault="00770CD2" w:rsidP="00770CD2">
      <w:pPr>
        <w:spacing w:after="0" w:line="480" w:lineRule="auto"/>
        <w:jc w:val="both"/>
        <w:rPr>
          <w:rFonts w:ascii="Times New Roman" w:hAnsi="Times New Roman" w:cs="Times New Roman"/>
          <w:sz w:val="24"/>
          <w:szCs w:val="24"/>
        </w:rPr>
      </w:pPr>
      <w:r w:rsidRPr="00DD25CA">
        <w:rPr>
          <w:rFonts w:ascii="Times New Roman" w:hAnsi="Times New Roman" w:cs="Times New Roman"/>
          <w:sz w:val="24"/>
          <w:szCs w:val="24"/>
        </w:rPr>
        <w:t xml:space="preserve">       </w:t>
      </w:r>
      <w:r w:rsidRPr="00C308D1">
        <w:rPr>
          <w:rFonts w:ascii="Times New Roman" w:hAnsi="Times New Roman" w:cs="Times New Roman"/>
          <w:sz w:val="24"/>
          <w:szCs w:val="24"/>
          <w:highlight w:val="yellow"/>
        </w:rPr>
        <w:t>Echocardiographic</w:t>
      </w:r>
      <w:r w:rsidRPr="00DD25CA">
        <w:rPr>
          <w:rFonts w:ascii="Times New Roman" w:hAnsi="Times New Roman" w:cs="Times New Roman"/>
          <w:sz w:val="24"/>
          <w:szCs w:val="24"/>
        </w:rPr>
        <w:t xml:space="preserve"> examinations were performed by experienced operators. Patients were imaged in the left lateral decubitus position with commercially available systems (Vivid systems, GE Healthcare, Wauwatosa, USA). Left ventricular (LV) dimensions, volumes and ejection fraction (EF) [by modified Simpson’s method] were measured according to European Association of Echocardiography (EAE)/American Society of Echocardiography (ASE</w:t>
      </w:r>
      <w:r w:rsidR="0095655F">
        <w:rPr>
          <w:rFonts w:ascii="Times New Roman" w:hAnsi="Times New Roman" w:cs="Times New Roman"/>
          <w:sz w:val="24"/>
          <w:szCs w:val="24"/>
        </w:rPr>
        <w:t>) recommendations [5</w:t>
      </w:r>
      <w:r w:rsidRPr="00DD25CA">
        <w:rPr>
          <w:rFonts w:ascii="Times New Roman" w:hAnsi="Times New Roman" w:cs="Times New Roman"/>
          <w:sz w:val="24"/>
          <w:szCs w:val="24"/>
        </w:rPr>
        <w:t>]. LV diastolic functions were evaluated according to EAE/ASE standards [</w:t>
      </w:r>
      <w:r w:rsidR="0095655F">
        <w:rPr>
          <w:rFonts w:ascii="Times New Roman" w:hAnsi="Times New Roman" w:cs="Times New Roman"/>
          <w:sz w:val="24"/>
          <w:szCs w:val="24"/>
        </w:rPr>
        <w:t>6</w:t>
      </w:r>
      <w:r w:rsidRPr="00DD25CA">
        <w:rPr>
          <w:rFonts w:ascii="Times New Roman" w:hAnsi="Times New Roman" w:cs="Times New Roman"/>
          <w:sz w:val="24"/>
          <w:szCs w:val="24"/>
        </w:rPr>
        <w:t>]. The diagnosis of LV HF with reduced EF (</w:t>
      </w:r>
      <w:proofErr w:type="spellStart"/>
      <w:r w:rsidRPr="00DD25CA">
        <w:rPr>
          <w:rFonts w:ascii="Times New Roman" w:hAnsi="Times New Roman" w:cs="Times New Roman"/>
          <w:sz w:val="24"/>
          <w:szCs w:val="24"/>
        </w:rPr>
        <w:t>HFrEF</w:t>
      </w:r>
      <w:proofErr w:type="spellEnd"/>
      <w:r w:rsidRPr="00DD25CA">
        <w:rPr>
          <w:rFonts w:ascii="Times New Roman" w:hAnsi="Times New Roman" w:cs="Times New Roman"/>
          <w:sz w:val="24"/>
          <w:szCs w:val="24"/>
        </w:rPr>
        <w:t>) and LV HF with preserved EF (</w:t>
      </w:r>
      <w:proofErr w:type="spellStart"/>
      <w:r w:rsidRPr="00DD25CA">
        <w:rPr>
          <w:rFonts w:ascii="Times New Roman" w:hAnsi="Times New Roman" w:cs="Times New Roman"/>
          <w:sz w:val="24"/>
          <w:szCs w:val="24"/>
        </w:rPr>
        <w:t>HFpEF</w:t>
      </w:r>
      <w:proofErr w:type="spellEnd"/>
      <w:r w:rsidRPr="00DD25CA">
        <w:rPr>
          <w:rFonts w:ascii="Times New Roman" w:hAnsi="Times New Roman" w:cs="Times New Roman"/>
          <w:sz w:val="24"/>
          <w:szCs w:val="24"/>
        </w:rPr>
        <w:t>) were ma</w:t>
      </w:r>
      <w:r w:rsidR="0095655F">
        <w:rPr>
          <w:rFonts w:ascii="Times New Roman" w:hAnsi="Times New Roman" w:cs="Times New Roman"/>
          <w:sz w:val="24"/>
          <w:szCs w:val="24"/>
        </w:rPr>
        <w:t>de according to guidelines [5</w:t>
      </w:r>
      <w:r w:rsidR="007139D1">
        <w:rPr>
          <w:rFonts w:ascii="Times New Roman" w:hAnsi="Times New Roman" w:cs="Times New Roman"/>
          <w:sz w:val="24"/>
          <w:szCs w:val="24"/>
        </w:rPr>
        <w:t>-7</w:t>
      </w:r>
      <w:r w:rsidRPr="00DD25CA">
        <w:rPr>
          <w:rFonts w:ascii="Times New Roman" w:hAnsi="Times New Roman" w:cs="Times New Roman"/>
          <w:sz w:val="24"/>
          <w:szCs w:val="24"/>
        </w:rPr>
        <w:t>].</w:t>
      </w:r>
      <w:r w:rsidRPr="00DD25CA">
        <w:rPr>
          <w:rFonts w:ascii="Times New Roman" w:hAnsi="Times New Roman" w:cs="Times New Roman"/>
          <w:color w:val="FF0000"/>
          <w:sz w:val="24"/>
          <w:szCs w:val="24"/>
        </w:rPr>
        <w:t xml:space="preserve"> </w:t>
      </w:r>
      <w:r w:rsidRPr="00DD25CA">
        <w:rPr>
          <w:rFonts w:ascii="Times New Roman" w:hAnsi="Times New Roman" w:cs="Times New Roman"/>
          <w:sz w:val="24"/>
          <w:szCs w:val="24"/>
        </w:rPr>
        <w:t>Right heart dimensions and RV systolic-diastolic functions were evaluated according to EAE/ASE recommendations</w:t>
      </w:r>
      <w:r w:rsidRPr="00DD25CA">
        <w:rPr>
          <w:rFonts w:ascii="Times New Roman" w:hAnsi="Times New Roman" w:cs="Times New Roman"/>
          <w:color w:val="FF0000"/>
          <w:sz w:val="24"/>
          <w:szCs w:val="24"/>
        </w:rPr>
        <w:t xml:space="preserve"> </w:t>
      </w:r>
      <w:r w:rsidRPr="00DD25CA">
        <w:rPr>
          <w:rFonts w:ascii="Times New Roman" w:hAnsi="Times New Roman" w:cs="Times New Roman"/>
          <w:sz w:val="24"/>
          <w:szCs w:val="24"/>
        </w:rPr>
        <w:t>[</w:t>
      </w:r>
      <w:r w:rsidR="00DA3CB5">
        <w:rPr>
          <w:rFonts w:ascii="Times New Roman" w:hAnsi="Times New Roman" w:cs="Times New Roman"/>
          <w:sz w:val="24"/>
          <w:szCs w:val="24"/>
        </w:rPr>
        <w:t>6</w:t>
      </w:r>
      <w:proofErr w:type="gramStart"/>
      <w:r w:rsidRPr="00DD25CA">
        <w:rPr>
          <w:rFonts w:ascii="Times New Roman" w:hAnsi="Times New Roman" w:cs="Times New Roman"/>
          <w:sz w:val="24"/>
          <w:szCs w:val="24"/>
        </w:rPr>
        <w:t>,</w:t>
      </w:r>
      <w:r w:rsidR="008878AF">
        <w:rPr>
          <w:rFonts w:ascii="Times New Roman" w:hAnsi="Times New Roman" w:cs="Times New Roman"/>
          <w:sz w:val="24"/>
          <w:szCs w:val="24"/>
        </w:rPr>
        <w:t>8</w:t>
      </w:r>
      <w:proofErr w:type="gramEnd"/>
      <w:r w:rsidRPr="00DD25CA">
        <w:rPr>
          <w:rFonts w:ascii="Times New Roman" w:hAnsi="Times New Roman" w:cs="Times New Roman"/>
          <w:sz w:val="24"/>
          <w:szCs w:val="24"/>
        </w:rPr>
        <w:t>]. Tricuspid annular plane systolic excursion (TAPSE) was measured by M-mode echocardiography with the cursor optimally aligned along the direction of the tricuspid lateral annulus in the apical four-chamber view</w:t>
      </w:r>
      <w:r w:rsidRPr="00DD25CA">
        <w:rPr>
          <w:rFonts w:ascii="Times New Roman" w:hAnsi="Times New Roman" w:cs="Times New Roman"/>
          <w:color w:val="FF0000"/>
          <w:sz w:val="24"/>
          <w:szCs w:val="24"/>
        </w:rPr>
        <w:t xml:space="preserve"> </w:t>
      </w:r>
      <w:r w:rsidRPr="00DD25CA">
        <w:rPr>
          <w:rFonts w:ascii="Times New Roman" w:hAnsi="Times New Roman" w:cs="Times New Roman"/>
          <w:sz w:val="24"/>
          <w:szCs w:val="24"/>
        </w:rPr>
        <w:t>[</w:t>
      </w:r>
      <w:r w:rsidR="008878AF">
        <w:rPr>
          <w:rFonts w:ascii="Times New Roman" w:hAnsi="Times New Roman" w:cs="Times New Roman"/>
          <w:sz w:val="24"/>
          <w:szCs w:val="24"/>
        </w:rPr>
        <w:t>8</w:t>
      </w:r>
      <w:r w:rsidRPr="00DD25CA">
        <w:rPr>
          <w:rFonts w:ascii="Times New Roman" w:hAnsi="Times New Roman" w:cs="Times New Roman"/>
          <w:sz w:val="24"/>
          <w:szCs w:val="24"/>
        </w:rPr>
        <w:t>]. The diagnosis of RV systolic dysfunction was considered in the presence of TAPSE&lt;16 mm and RV diastolic dysfunction in the presence of E/E’≥4 [</w:t>
      </w:r>
      <w:r w:rsidR="008878AF">
        <w:rPr>
          <w:rFonts w:ascii="Times New Roman" w:hAnsi="Times New Roman" w:cs="Times New Roman"/>
          <w:sz w:val="24"/>
          <w:szCs w:val="24"/>
        </w:rPr>
        <w:t>8</w:t>
      </w:r>
      <w:r w:rsidRPr="00DD25CA">
        <w:rPr>
          <w:rFonts w:ascii="Times New Roman" w:hAnsi="Times New Roman" w:cs="Times New Roman"/>
          <w:sz w:val="24"/>
          <w:szCs w:val="24"/>
        </w:rPr>
        <w:t xml:space="preserve">]. </w:t>
      </w:r>
    </w:p>
    <w:p w:rsidR="007C5019" w:rsidRDefault="007C5019">
      <w:pPr>
        <w:rPr>
          <w:rFonts w:ascii="Times New Roman" w:hAnsi="Times New Roman" w:cs="Times New Roman"/>
          <w:b/>
          <w:bCs/>
          <w:sz w:val="24"/>
          <w:szCs w:val="24"/>
        </w:rPr>
      </w:pPr>
    </w:p>
    <w:p w:rsidR="00770CD2" w:rsidRDefault="00770CD2">
      <w:pPr>
        <w:rPr>
          <w:rFonts w:ascii="Times New Roman" w:hAnsi="Times New Roman" w:cs="Times New Roman"/>
          <w:b/>
          <w:bCs/>
          <w:sz w:val="24"/>
          <w:szCs w:val="24"/>
        </w:rPr>
      </w:pPr>
    </w:p>
    <w:p w:rsidR="00E351B6" w:rsidRDefault="00E351B6">
      <w:pPr>
        <w:rPr>
          <w:rFonts w:ascii="Times New Roman" w:hAnsi="Times New Roman" w:cs="Times New Roman"/>
          <w:b/>
          <w:bCs/>
          <w:sz w:val="24"/>
          <w:szCs w:val="24"/>
        </w:rPr>
      </w:pPr>
    </w:p>
    <w:p w:rsidR="00E351B6" w:rsidRDefault="00E351B6">
      <w:pPr>
        <w:rPr>
          <w:rFonts w:ascii="Times New Roman" w:hAnsi="Times New Roman" w:cs="Times New Roman"/>
          <w:b/>
          <w:bCs/>
          <w:sz w:val="24"/>
          <w:szCs w:val="24"/>
        </w:rPr>
      </w:pPr>
    </w:p>
    <w:p w:rsidR="00E351B6" w:rsidRDefault="00E351B6">
      <w:pPr>
        <w:rPr>
          <w:rFonts w:ascii="Times New Roman" w:hAnsi="Times New Roman" w:cs="Times New Roman"/>
          <w:b/>
          <w:bCs/>
          <w:sz w:val="24"/>
          <w:szCs w:val="24"/>
        </w:rPr>
      </w:pPr>
    </w:p>
    <w:p w:rsidR="00E351B6" w:rsidRDefault="00E351B6">
      <w:pPr>
        <w:rPr>
          <w:rFonts w:ascii="Times New Roman" w:hAnsi="Times New Roman" w:cs="Times New Roman"/>
          <w:b/>
          <w:bCs/>
          <w:sz w:val="24"/>
          <w:szCs w:val="24"/>
        </w:rPr>
      </w:pPr>
    </w:p>
    <w:p w:rsidR="00145723" w:rsidRDefault="00145723">
      <w:pPr>
        <w:rPr>
          <w:rFonts w:ascii="Times New Roman" w:hAnsi="Times New Roman" w:cs="Times New Roman"/>
          <w:b/>
          <w:bCs/>
          <w:sz w:val="24"/>
          <w:szCs w:val="24"/>
        </w:rPr>
      </w:pPr>
    </w:p>
    <w:p w:rsidR="00374424" w:rsidRDefault="00145723" w:rsidP="000F53C0">
      <w:pPr>
        <w:spacing w:after="0"/>
        <w:rPr>
          <w:rFonts w:ascii="Times New Roman" w:hAnsi="Times New Roman" w:cs="Times New Roman"/>
          <w:b/>
          <w:sz w:val="24"/>
          <w:szCs w:val="24"/>
        </w:rPr>
      </w:pPr>
      <w:r w:rsidRPr="00145723">
        <w:rPr>
          <w:rFonts w:ascii="Times New Roman" w:hAnsi="Times New Roman" w:cs="Times New Roman"/>
          <w:b/>
          <w:sz w:val="24"/>
          <w:szCs w:val="24"/>
        </w:rPr>
        <w:lastRenderedPageBreak/>
        <w:t>RESULTS</w:t>
      </w:r>
    </w:p>
    <w:tbl>
      <w:tblPr>
        <w:tblStyle w:val="OrtaListe1"/>
        <w:tblW w:w="5000" w:type="pct"/>
        <w:tblLook w:val="04A0" w:firstRow="1" w:lastRow="0" w:firstColumn="1" w:lastColumn="0" w:noHBand="0" w:noVBand="1"/>
      </w:tblPr>
      <w:tblGrid>
        <w:gridCol w:w="2560"/>
        <w:gridCol w:w="1236"/>
        <w:gridCol w:w="1134"/>
        <w:gridCol w:w="1135"/>
        <w:gridCol w:w="1133"/>
        <w:gridCol w:w="1158"/>
        <w:gridCol w:w="1266"/>
      </w:tblGrid>
      <w:tr w:rsidR="006B2423" w:rsidTr="006B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right w:val="nil"/>
            </w:tcBorders>
            <w:hideMark/>
          </w:tcPr>
          <w:p w:rsidR="006B2423" w:rsidRDefault="006B2423" w:rsidP="000F53C0">
            <w:pPr>
              <w:rPr>
                <w:rFonts w:ascii="Times New Roman" w:hAnsi="Times New Roman" w:cs="Times New Roman"/>
                <w:sz w:val="24"/>
                <w:szCs w:val="24"/>
              </w:rPr>
            </w:pPr>
            <w:r>
              <w:rPr>
                <w:rFonts w:ascii="Times New Roman" w:hAnsi="Times New Roman" w:cs="Times New Roman"/>
                <w:sz w:val="24"/>
                <w:szCs w:val="24"/>
              </w:rPr>
              <w:t>Supplementary Table 1</w:t>
            </w:r>
            <w:r>
              <w:rPr>
                <w:rFonts w:ascii="Times New Roman" w:hAnsi="Times New Roman" w:cs="Times New Roman"/>
                <w:b w:val="0"/>
                <w:sz w:val="24"/>
                <w:szCs w:val="24"/>
              </w:rPr>
              <w:t>. Post-hoc analyses of Table 1</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single" w:sz="4" w:space="0" w:color="auto"/>
              <w:right w:val="nil"/>
            </w:tcBorders>
            <w:shd w:val="clear" w:color="auto" w:fill="FFFFFF" w:themeFill="background1"/>
          </w:tcPr>
          <w:p w:rsidR="006B2423" w:rsidRPr="005171A4" w:rsidRDefault="006B2423">
            <w:pPr>
              <w:spacing w:line="276" w:lineRule="auto"/>
              <w:jc w:val="center"/>
              <w:rPr>
                <w:rFonts w:ascii="Times New Roman" w:hAnsi="Times New Roman" w:cs="Times New Roman"/>
                <w:sz w:val="23"/>
                <w:szCs w:val="23"/>
              </w:rPr>
            </w:pPr>
          </w:p>
        </w:tc>
        <w:tc>
          <w:tcPr>
            <w:tcW w:w="642"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1</w:t>
            </w:r>
            <w:r w:rsidRPr="005171A4">
              <w:rPr>
                <w:rFonts w:ascii="Times New Roman" w:hAnsi="Times New Roman" w:cs="Times New Roman"/>
                <w:sz w:val="23"/>
                <w:szCs w:val="23"/>
                <w:vertAlign w:val="superscript"/>
              </w:rPr>
              <w:t>a</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2</w:t>
            </w:r>
            <w:r w:rsidRPr="005171A4">
              <w:rPr>
                <w:rFonts w:ascii="Times New Roman" w:hAnsi="Times New Roman" w:cs="Times New Roman"/>
                <w:sz w:val="23"/>
                <w:szCs w:val="23"/>
                <w:vertAlign w:val="superscript"/>
              </w:rPr>
              <w:t>b</w:t>
            </w:r>
          </w:p>
        </w:tc>
        <w:tc>
          <w:tcPr>
            <w:tcW w:w="589"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1</w:t>
            </w:r>
            <w:r w:rsidRPr="005171A4">
              <w:rPr>
                <w:rFonts w:ascii="Times New Roman" w:hAnsi="Times New Roman" w:cs="Times New Roman"/>
                <w:sz w:val="23"/>
                <w:szCs w:val="23"/>
                <w:vertAlign w:val="superscript"/>
              </w:rPr>
              <w:t>a</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3</w:t>
            </w:r>
            <w:r w:rsidRPr="005171A4">
              <w:rPr>
                <w:rFonts w:ascii="Times New Roman" w:hAnsi="Times New Roman" w:cs="Times New Roman"/>
                <w:sz w:val="23"/>
                <w:szCs w:val="23"/>
                <w:vertAlign w:val="superscript"/>
              </w:rPr>
              <w:t>c</w:t>
            </w:r>
          </w:p>
        </w:tc>
        <w:tc>
          <w:tcPr>
            <w:tcW w:w="590"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1</w:t>
            </w:r>
            <w:r w:rsidRPr="005171A4">
              <w:rPr>
                <w:rFonts w:ascii="Times New Roman" w:hAnsi="Times New Roman" w:cs="Times New Roman"/>
                <w:sz w:val="23"/>
                <w:szCs w:val="23"/>
                <w:vertAlign w:val="superscript"/>
              </w:rPr>
              <w:t>a</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4</w:t>
            </w:r>
            <w:r w:rsidRPr="005171A4">
              <w:rPr>
                <w:rFonts w:ascii="Times New Roman" w:hAnsi="Times New Roman" w:cs="Times New Roman"/>
                <w:sz w:val="23"/>
                <w:szCs w:val="23"/>
                <w:vertAlign w:val="superscript"/>
              </w:rPr>
              <w:t>d</w:t>
            </w:r>
          </w:p>
        </w:tc>
        <w:tc>
          <w:tcPr>
            <w:tcW w:w="589"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2</w:t>
            </w:r>
            <w:r w:rsidRPr="005171A4">
              <w:rPr>
                <w:rFonts w:ascii="Times New Roman" w:hAnsi="Times New Roman" w:cs="Times New Roman"/>
                <w:sz w:val="23"/>
                <w:szCs w:val="23"/>
                <w:vertAlign w:val="superscript"/>
              </w:rPr>
              <w:t>b</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3</w:t>
            </w:r>
            <w:r w:rsidRPr="005171A4">
              <w:rPr>
                <w:rFonts w:ascii="Times New Roman" w:hAnsi="Times New Roman" w:cs="Times New Roman"/>
                <w:sz w:val="23"/>
                <w:szCs w:val="23"/>
                <w:vertAlign w:val="superscript"/>
              </w:rPr>
              <w:t>c</w:t>
            </w:r>
          </w:p>
        </w:tc>
        <w:tc>
          <w:tcPr>
            <w:tcW w:w="602"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2</w:t>
            </w:r>
            <w:r w:rsidRPr="005171A4">
              <w:rPr>
                <w:rFonts w:ascii="Times New Roman" w:hAnsi="Times New Roman" w:cs="Times New Roman"/>
                <w:sz w:val="23"/>
                <w:szCs w:val="23"/>
                <w:vertAlign w:val="superscript"/>
              </w:rPr>
              <w:t>b</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4</w:t>
            </w:r>
            <w:r w:rsidRPr="005171A4">
              <w:rPr>
                <w:rFonts w:ascii="Times New Roman" w:hAnsi="Times New Roman" w:cs="Times New Roman"/>
                <w:sz w:val="23"/>
                <w:szCs w:val="23"/>
                <w:vertAlign w:val="superscript"/>
              </w:rPr>
              <w:t>d</w:t>
            </w:r>
          </w:p>
        </w:tc>
        <w:tc>
          <w:tcPr>
            <w:tcW w:w="658" w:type="pct"/>
            <w:tcBorders>
              <w:top w:val="nil"/>
              <w:left w:val="nil"/>
              <w:bottom w:val="single" w:sz="4" w:space="0" w:color="auto"/>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3</w:t>
            </w:r>
            <w:r w:rsidRPr="005171A4">
              <w:rPr>
                <w:rFonts w:ascii="Times New Roman" w:hAnsi="Times New Roman" w:cs="Times New Roman"/>
                <w:sz w:val="23"/>
                <w:szCs w:val="23"/>
                <w:vertAlign w:val="superscript"/>
              </w:rPr>
              <w:t>c</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vs</w:t>
            </w:r>
          </w:p>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group 4</w:t>
            </w:r>
            <w:r w:rsidRPr="005171A4">
              <w:rPr>
                <w:rFonts w:ascii="Times New Roman" w:hAnsi="Times New Roman" w:cs="Times New Roman"/>
                <w:sz w:val="23"/>
                <w:szCs w:val="23"/>
                <w:vertAlign w:val="superscript"/>
              </w:rPr>
              <w:t>d</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NYHA class III-IV, %</w:t>
            </w:r>
          </w:p>
        </w:tc>
        <w:tc>
          <w:tcPr>
            <w:tcW w:w="642" w:type="pct"/>
            <w:tcBorders>
              <w:top w:val="single" w:sz="4" w:space="0" w:color="auto"/>
              <w:left w:val="nil"/>
              <w:bottom w:val="nil"/>
              <w:right w:val="nil"/>
            </w:tcBorders>
            <w:shd w:val="clear" w:color="auto" w:fill="FFFFFF" w:themeFill="background1"/>
            <w:hideMark/>
          </w:tcPr>
          <w:p w:rsidR="006B2423" w:rsidRPr="005171A4" w:rsidRDefault="006B2423" w:rsidP="00F762B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w:t>
            </w:r>
            <w:r w:rsidR="00F762B0">
              <w:rPr>
                <w:rFonts w:ascii="Times New Roman" w:hAnsi="Times New Roman" w:cs="Times New Roman"/>
                <w:sz w:val="23"/>
                <w:szCs w:val="23"/>
              </w:rPr>
              <w:t>008</w:t>
            </w:r>
          </w:p>
        </w:tc>
        <w:tc>
          <w:tcPr>
            <w:tcW w:w="589" w:type="pct"/>
            <w:tcBorders>
              <w:top w:val="single" w:sz="4" w:space="0" w:color="auto"/>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90" w:type="pct"/>
            <w:tcBorders>
              <w:top w:val="single" w:sz="4" w:space="0" w:color="auto"/>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single" w:sz="4" w:space="0" w:color="auto"/>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single" w:sz="4" w:space="0" w:color="auto"/>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single" w:sz="4" w:space="0" w:color="auto"/>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0.996</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bCs w:val="0"/>
                <w:color w:val="000000"/>
                <w:sz w:val="23"/>
                <w:szCs w:val="23"/>
              </w:rPr>
            </w:pPr>
            <w:r w:rsidRPr="005171A4">
              <w:rPr>
                <w:rFonts w:ascii="Times New Roman" w:hAnsi="Times New Roman" w:cs="Times New Roman"/>
                <w:b w:val="0"/>
                <w:color w:val="000000"/>
                <w:sz w:val="23"/>
                <w:szCs w:val="23"/>
              </w:rPr>
              <w:t>Hypertension,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0.995</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0.016</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0.971</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0.023</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0.998</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0.039</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bCs w:val="0"/>
                <w:color w:val="000000"/>
                <w:sz w:val="23"/>
                <w:szCs w:val="23"/>
              </w:rPr>
            </w:pPr>
            <w:r w:rsidRPr="005171A4">
              <w:rPr>
                <w:rFonts w:ascii="Times New Roman" w:hAnsi="Times New Roman" w:cs="Times New Roman"/>
                <w:b w:val="0"/>
                <w:color w:val="000000"/>
                <w:sz w:val="23"/>
                <w:szCs w:val="23"/>
              </w:rPr>
              <w:t>Hyperlipidemia,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0.913</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0.511</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0.271</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0.032</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 xml:space="preserve">Coronary artery </w:t>
            </w:r>
          </w:p>
          <w:p w:rsidR="006B2423" w:rsidRPr="005171A4" w:rsidRDefault="006B2423">
            <w:pPr>
              <w:spacing w:line="276" w:lineRule="auto"/>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disease,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0.631</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0.646</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Prior MI,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0.008</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0.855</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0.005</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Any prior hemorrhage diagnosis,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0.462</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0.193</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0.044</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0.858</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0.710</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1.0</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spacing w:line="276" w:lineRule="auto"/>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Pulmonary disease, %</w:t>
            </w:r>
          </w:p>
        </w:tc>
        <w:tc>
          <w:tcPr>
            <w:tcW w:w="64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0.816</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0.003</w:t>
            </w:r>
          </w:p>
        </w:tc>
        <w:tc>
          <w:tcPr>
            <w:tcW w:w="589"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hideMark/>
          </w:tcPr>
          <w:p w:rsidR="006B2423" w:rsidRPr="005171A4" w:rsidRDefault="006B24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0.087</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AST, U/L</w:t>
            </w:r>
          </w:p>
        </w:tc>
        <w:tc>
          <w:tcPr>
            <w:tcW w:w="642"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0.952</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0.003</w:t>
            </w:r>
          </w:p>
        </w:tc>
        <w:tc>
          <w:tcPr>
            <w:tcW w:w="590"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0.001</w:t>
            </w:r>
          </w:p>
        </w:tc>
        <w:tc>
          <w:tcPr>
            <w:tcW w:w="602"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0.948</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ALT, U/L</w:t>
            </w:r>
          </w:p>
        </w:tc>
        <w:tc>
          <w:tcPr>
            <w:tcW w:w="642"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0.489</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0.036</w:t>
            </w:r>
          </w:p>
        </w:tc>
        <w:tc>
          <w:tcPr>
            <w:tcW w:w="590"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0.010</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0.002</w:t>
            </w:r>
          </w:p>
        </w:tc>
        <w:tc>
          <w:tcPr>
            <w:tcW w:w="602"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0.909</w:t>
            </w:r>
          </w:p>
        </w:tc>
      </w:tr>
      <w:tr w:rsidR="006B2423" w:rsidTr="006B2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6B2423" w:rsidRPr="005171A4" w:rsidRDefault="006B2423">
            <w:pPr>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GGT, U/L</w:t>
            </w:r>
          </w:p>
        </w:tc>
        <w:tc>
          <w:tcPr>
            <w:tcW w:w="642"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0.340</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hideMark/>
          </w:tcPr>
          <w:p w:rsidR="006B2423" w:rsidRPr="005171A4" w:rsidRDefault="006B2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0.978</w:t>
            </w:r>
          </w:p>
        </w:tc>
      </w:tr>
      <w:tr w:rsidR="006B2423" w:rsidTr="006B2423">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both"/>
              <w:rPr>
                <w:rFonts w:ascii="Times New Roman" w:hAnsi="Times New Roman" w:cs="Times New Roman"/>
                <w:b w:val="0"/>
                <w:color w:val="000000"/>
                <w:sz w:val="23"/>
                <w:szCs w:val="23"/>
              </w:rPr>
            </w:pPr>
            <w:r w:rsidRPr="005171A4">
              <w:rPr>
                <w:rFonts w:ascii="Times New Roman" w:hAnsi="Times New Roman" w:cs="Times New Roman"/>
                <w:b w:val="0"/>
                <w:color w:val="000000"/>
                <w:sz w:val="23"/>
                <w:szCs w:val="23"/>
              </w:rPr>
              <w:t>Total bilirubin, mg/</w:t>
            </w:r>
            <w:proofErr w:type="spellStart"/>
            <w:r w:rsidRPr="005171A4">
              <w:rPr>
                <w:rFonts w:ascii="Times New Roman" w:hAnsi="Times New Roman" w:cs="Times New Roman"/>
                <w:b w:val="0"/>
                <w:color w:val="000000"/>
                <w:sz w:val="23"/>
                <w:szCs w:val="23"/>
              </w:rPr>
              <w:t>dL</w:t>
            </w:r>
            <w:proofErr w:type="spellEnd"/>
          </w:p>
        </w:tc>
        <w:tc>
          <w:tcPr>
            <w:tcW w:w="642"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0.958</w:t>
            </w:r>
          </w:p>
        </w:tc>
        <w:tc>
          <w:tcPr>
            <w:tcW w:w="589"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90"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589"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02"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&lt;0.001</w:t>
            </w:r>
          </w:p>
        </w:tc>
        <w:tc>
          <w:tcPr>
            <w:tcW w:w="658" w:type="pct"/>
            <w:tcBorders>
              <w:top w:val="nil"/>
              <w:left w:val="nil"/>
              <w:bottom w:val="single" w:sz="8" w:space="0" w:color="000000" w:themeColor="text1"/>
              <w:right w:val="nil"/>
            </w:tcBorders>
            <w:shd w:val="clear" w:color="auto" w:fill="FFFFFF" w:themeFill="background1"/>
            <w:hideMark/>
          </w:tcPr>
          <w:p w:rsidR="006B2423" w:rsidRPr="005171A4" w:rsidRDefault="006B24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5171A4">
              <w:rPr>
                <w:rFonts w:ascii="Times New Roman" w:hAnsi="Times New Roman" w:cs="Times New Roman"/>
                <w:sz w:val="23"/>
                <w:szCs w:val="23"/>
              </w:rPr>
              <w:t>0.467</w:t>
            </w:r>
          </w:p>
        </w:tc>
      </w:tr>
    </w:tbl>
    <w:p w:rsidR="006B2423" w:rsidRDefault="006B2423" w:rsidP="006B2423">
      <w:pPr>
        <w:spacing w:after="0"/>
        <w:jc w:val="both"/>
        <w:rPr>
          <w:rFonts w:ascii="Times New Roman" w:hAnsi="Times New Roman" w:cs="Times New Roman"/>
          <w:sz w:val="18"/>
          <w:szCs w:val="18"/>
        </w:rPr>
      </w:pPr>
      <w:r w:rsidRPr="00C7614B">
        <w:rPr>
          <w:rFonts w:ascii="Times New Roman" w:hAnsi="Times New Roman" w:cs="Times New Roman"/>
          <w:sz w:val="18"/>
          <w:szCs w:val="18"/>
        </w:rPr>
        <w:t>ALT, alanine aminotransferase; AST, aspartate aminotransferase; GGT,</w:t>
      </w:r>
      <w:r w:rsidRPr="00C7614B">
        <w:rPr>
          <w:sz w:val="18"/>
          <w:szCs w:val="18"/>
        </w:rPr>
        <w:t xml:space="preserve"> </w:t>
      </w:r>
      <w:r w:rsidRPr="00C7614B">
        <w:rPr>
          <w:rFonts w:ascii="Times New Roman" w:hAnsi="Times New Roman" w:cs="Times New Roman"/>
          <w:sz w:val="18"/>
          <w:szCs w:val="18"/>
        </w:rPr>
        <w:t xml:space="preserve">gamma </w:t>
      </w:r>
      <w:proofErr w:type="spellStart"/>
      <w:r w:rsidRPr="00C7614B">
        <w:rPr>
          <w:rFonts w:ascii="Times New Roman" w:hAnsi="Times New Roman" w:cs="Times New Roman"/>
          <w:sz w:val="18"/>
          <w:szCs w:val="18"/>
        </w:rPr>
        <w:t>glutamyl</w:t>
      </w:r>
      <w:proofErr w:type="spellEnd"/>
      <w:r w:rsidRPr="00C7614B">
        <w:rPr>
          <w:rFonts w:ascii="Times New Roman" w:hAnsi="Times New Roman" w:cs="Times New Roman"/>
          <w:sz w:val="18"/>
          <w:szCs w:val="18"/>
        </w:rPr>
        <w:t xml:space="preserve"> transferase; </w:t>
      </w:r>
      <w:proofErr w:type="spellStart"/>
      <w:r w:rsidR="00CC750D" w:rsidRPr="00C7614B">
        <w:rPr>
          <w:rFonts w:ascii="Times New Roman" w:hAnsi="Times New Roman" w:cs="Times New Roman"/>
          <w:sz w:val="18"/>
          <w:szCs w:val="18"/>
        </w:rPr>
        <w:t>HFpEF</w:t>
      </w:r>
      <w:proofErr w:type="spellEnd"/>
      <w:r w:rsidR="00CC750D" w:rsidRPr="00C7614B">
        <w:rPr>
          <w:rFonts w:ascii="Times New Roman" w:hAnsi="Times New Roman" w:cs="Times New Roman"/>
          <w:sz w:val="18"/>
          <w:szCs w:val="18"/>
        </w:rPr>
        <w:t xml:space="preserve">, heart failure with preserved ejection fraction; </w:t>
      </w:r>
      <w:proofErr w:type="spellStart"/>
      <w:r w:rsidR="00CC750D" w:rsidRPr="00C7614B">
        <w:rPr>
          <w:rFonts w:ascii="Times New Roman" w:hAnsi="Times New Roman" w:cs="Times New Roman"/>
          <w:sz w:val="18"/>
          <w:szCs w:val="18"/>
        </w:rPr>
        <w:t>HFrEF</w:t>
      </w:r>
      <w:proofErr w:type="spellEnd"/>
      <w:r w:rsidR="00CC750D" w:rsidRPr="00C7614B">
        <w:rPr>
          <w:rFonts w:ascii="Times New Roman" w:hAnsi="Times New Roman" w:cs="Times New Roman"/>
          <w:sz w:val="18"/>
          <w:szCs w:val="18"/>
        </w:rPr>
        <w:t xml:space="preserve">, heart failure with reduced ejection fraction; </w:t>
      </w:r>
      <w:r w:rsidRPr="00C7614B">
        <w:rPr>
          <w:rFonts w:ascii="Times New Roman" w:hAnsi="Times New Roman" w:cs="Times New Roman"/>
          <w:sz w:val="18"/>
          <w:szCs w:val="18"/>
        </w:rPr>
        <w:t>MI, myocardial infraction, NYHA, New York Heart Association; P</w:t>
      </w:r>
      <w:r w:rsidR="00CC750D" w:rsidRPr="00C7614B">
        <w:rPr>
          <w:rFonts w:ascii="Times New Roman" w:hAnsi="Times New Roman" w:cs="Times New Roman"/>
          <w:sz w:val="18"/>
          <w:szCs w:val="18"/>
        </w:rPr>
        <w:t>AD, peripheral arterial disease; RVD, right ventricular dysfunction.</w:t>
      </w:r>
      <w:r w:rsidR="00C7614B" w:rsidRPr="00C7614B">
        <w:rPr>
          <w:rFonts w:ascii="Times New Roman" w:hAnsi="Times New Roman" w:cs="Times New Roman"/>
          <w:sz w:val="18"/>
          <w:szCs w:val="18"/>
        </w:rPr>
        <w:t xml:space="preserve"> </w:t>
      </w:r>
      <w:proofErr w:type="gramStart"/>
      <w:r w:rsidRPr="00C7614B">
        <w:rPr>
          <w:rFonts w:ascii="Times New Roman" w:hAnsi="Times New Roman" w:cs="Times New Roman"/>
          <w:sz w:val="18"/>
          <w:szCs w:val="18"/>
          <w:vertAlign w:val="superscript"/>
        </w:rPr>
        <w:t>a</w:t>
      </w:r>
      <w:proofErr w:type="gramEnd"/>
      <w:r w:rsidRPr="00C7614B">
        <w:rPr>
          <w:rFonts w:ascii="Times New Roman" w:hAnsi="Times New Roman" w:cs="Times New Roman"/>
          <w:sz w:val="18"/>
          <w:szCs w:val="18"/>
          <w:vertAlign w:val="superscript"/>
        </w:rPr>
        <w:t xml:space="preserve"> </w:t>
      </w:r>
      <w:r w:rsidRPr="00C7614B">
        <w:rPr>
          <w:rFonts w:ascii="Times New Roman" w:hAnsi="Times New Roman" w:cs="Times New Roman"/>
          <w:sz w:val="18"/>
          <w:szCs w:val="18"/>
        </w:rPr>
        <w:t xml:space="preserve">Group 1: </w:t>
      </w:r>
      <w:proofErr w:type="spellStart"/>
      <w:r w:rsidRPr="00C7614B">
        <w:rPr>
          <w:rFonts w:ascii="Times New Roman" w:hAnsi="Times New Roman" w:cs="Times New Roman"/>
          <w:sz w:val="18"/>
          <w:szCs w:val="18"/>
        </w:rPr>
        <w:t>HFpEF</w:t>
      </w:r>
      <w:proofErr w:type="spellEnd"/>
      <w:r w:rsidRPr="00C7614B">
        <w:rPr>
          <w:rFonts w:ascii="Times New Roman" w:hAnsi="Times New Roman" w:cs="Times New Roman"/>
          <w:sz w:val="18"/>
          <w:szCs w:val="18"/>
        </w:rPr>
        <w:t xml:space="preserve"> without RVD; </w:t>
      </w:r>
      <w:r w:rsidRPr="00C7614B">
        <w:rPr>
          <w:rFonts w:ascii="Times New Roman" w:hAnsi="Times New Roman" w:cs="Times New Roman"/>
          <w:sz w:val="18"/>
          <w:szCs w:val="18"/>
          <w:vertAlign w:val="superscript"/>
        </w:rPr>
        <w:t>b</w:t>
      </w:r>
      <w:r w:rsidRPr="00C7614B">
        <w:rPr>
          <w:rFonts w:ascii="Times New Roman" w:hAnsi="Times New Roman" w:cs="Times New Roman"/>
          <w:sz w:val="18"/>
          <w:szCs w:val="18"/>
        </w:rPr>
        <w:t xml:space="preserve"> Group 2: </w:t>
      </w:r>
      <w:proofErr w:type="spellStart"/>
      <w:r w:rsidRPr="00C7614B">
        <w:rPr>
          <w:rFonts w:ascii="Times New Roman" w:hAnsi="Times New Roman" w:cs="Times New Roman"/>
          <w:sz w:val="18"/>
          <w:szCs w:val="18"/>
        </w:rPr>
        <w:t>HFrEF</w:t>
      </w:r>
      <w:proofErr w:type="spellEnd"/>
      <w:r w:rsidRPr="00C7614B">
        <w:rPr>
          <w:rFonts w:ascii="Times New Roman" w:hAnsi="Times New Roman" w:cs="Times New Roman"/>
          <w:sz w:val="18"/>
          <w:szCs w:val="18"/>
        </w:rPr>
        <w:t xml:space="preserve"> without RVD; </w:t>
      </w:r>
      <w:r w:rsidRPr="00C7614B">
        <w:rPr>
          <w:rFonts w:ascii="Times New Roman" w:hAnsi="Times New Roman" w:cs="Times New Roman"/>
          <w:sz w:val="18"/>
          <w:szCs w:val="18"/>
          <w:vertAlign w:val="superscript"/>
        </w:rPr>
        <w:t xml:space="preserve">c </w:t>
      </w:r>
      <w:r w:rsidRPr="00C7614B">
        <w:rPr>
          <w:rFonts w:ascii="Times New Roman" w:hAnsi="Times New Roman" w:cs="Times New Roman"/>
          <w:sz w:val="18"/>
          <w:szCs w:val="18"/>
        </w:rPr>
        <w:t xml:space="preserve">Group 3: </w:t>
      </w:r>
      <w:proofErr w:type="spellStart"/>
      <w:r w:rsidRPr="00C7614B">
        <w:rPr>
          <w:rFonts w:ascii="Times New Roman" w:hAnsi="Times New Roman" w:cs="Times New Roman"/>
          <w:sz w:val="18"/>
          <w:szCs w:val="18"/>
        </w:rPr>
        <w:t>HFpEF</w:t>
      </w:r>
      <w:proofErr w:type="spellEnd"/>
      <w:r w:rsidRPr="00C7614B">
        <w:rPr>
          <w:rFonts w:ascii="Times New Roman" w:hAnsi="Times New Roman" w:cs="Times New Roman"/>
          <w:sz w:val="18"/>
          <w:szCs w:val="18"/>
        </w:rPr>
        <w:t xml:space="preserve"> with RVD; </w:t>
      </w:r>
      <w:proofErr w:type="spellStart"/>
      <w:r w:rsidRPr="00C7614B">
        <w:rPr>
          <w:rFonts w:ascii="Times New Roman" w:hAnsi="Times New Roman" w:cs="Times New Roman"/>
          <w:sz w:val="18"/>
          <w:szCs w:val="18"/>
          <w:vertAlign w:val="superscript"/>
        </w:rPr>
        <w:t>d</w:t>
      </w:r>
      <w:r w:rsidRPr="00C7614B">
        <w:rPr>
          <w:rFonts w:ascii="Times New Roman" w:hAnsi="Times New Roman" w:cs="Times New Roman"/>
          <w:sz w:val="18"/>
          <w:szCs w:val="18"/>
        </w:rPr>
        <w:t>HFrEF</w:t>
      </w:r>
      <w:proofErr w:type="spellEnd"/>
      <w:r w:rsidRPr="00C7614B">
        <w:rPr>
          <w:rFonts w:ascii="Times New Roman" w:hAnsi="Times New Roman" w:cs="Times New Roman"/>
          <w:sz w:val="18"/>
          <w:szCs w:val="18"/>
        </w:rPr>
        <w:t xml:space="preserve"> with RVD.</w:t>
      </w:r>
    </w:p>
    <w:p w:rsidR="00C7614B" w:rsidRPr="00C7614B" w:rsidRDefault="00C7614B" w:rsidP="006B2423">
      <w:pPr>
        <w:spacing w:after="0"/>
        <w:jc w:val="both"/>
        <w:rPr>
          <w:rFonts w:ascii="Times New Roman" w:hAnsi="Times New Roman" w:cs="Times New Roman"/>
          <w:sz w:val="18"/>
          <w:szCs w:val="18"/>
        </w:rPr>
      </w:pPr>
    </w:p>
    <w:tbl>
      <w:tblPr>
        <w:tblStyle w:val="OrtaListe1"/>
        <w:tblW w:w="5000" w:type="pct"/>
        <w:tblLook w:val="04A0" w:firstRow="1" w:lastRow="0" w:firstColumn="1" w:lastColumn="0" w:noHBand="0" w:noVBand="1"/>
      </w:tblPr>
      <w:tblGrid>
        <w:gridCol w:w="2560"/>
        <w:gridCol w:w="1236"/>
        <w:gridCol w:w="1134"/>
        <w:gridCol w:w="1135"/>
        <w:gridCol w:w="1133"/>
        <w:gridCol w:w="1158"/>
        <w:gridCol w:w="1266"/>
      </w:tblGrid>
      <w:tr w:rsidR="00C7614B" w:rsidTr="00D10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right w:val="nil"/>
            </w:tcBorders>
            <w:hideMark/>
          </w:tcPr>
          <w:p w:rsidR="00C7614B" w:rsidRDefault="00C7614B" w:rsidP="00D10FDC">
            <w:pPr>
              <w:rPr>
                <w:rFonts w:ascii="Times New Roman" w:hAnsi="Times New Roman" w:cs="Times New Roman"/>
                <w:sz w:val="24"/>
                <w:szCs w:val="24"/>
              </w:rPr>
            </w:pPr>
            <w:r>
              <w:rPr>
                <w:rFonts w:ascii="Times New Roman" w:hAnsi="Times New Roman" w:cs="Times New Roman"/>
                <w:sz w:val="24"/>
                <w:szCs w:val="24"/>
              </w:rPr>
              <w:t>Supplementary Table 2</w:t>
            </w:r>
            <w:r>
              <w:rPr>
                <w:rFonts w:ascii="Times New Roman" w:hAnsi="Times New Roman" w:cs="Times New Roman"/>
                <w:b w:val="0"/>
                <w:sz w:val="24"/>
                <w:szCs w:val="24"/>
              </w:rPr>
              <w:t>. Post-hoc analyses of Table 2</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single" w:sz="4" w:space="0" w:color="auto"/>
              <w:right w:val="nil"/>
            </w:tcBorders>
            <w:shd w:val="clear" w:color="auto" w:fill="FFFFFF" w:themeFill="background1"/>
          </w:tcPr>
          <w:p w:rsidR="00C7614B" w:rsidRPr="00975B1A" w:rsidRDefault="00C7614B" w:rsidP="00D10FDC">
            <w:pPr>
              <w:spacing w:line="276" w:lineRule="auto"/>
              <w:jc w:val="center"/>
              <w:rPr>
                <w:rFonts w:ascii="Times New Roman" w:hAnsi="Times New Roman" w:cs="Times New Roman"/>
                <w:sz w:val="23"/>
                <w:szCs w:val="23"/>
              </w:rPr>
            </w:pPr>
          </w:p>
        </w:tc>
        <w:tc>
          <w:tcPr>
            <w:tcW w:w="642"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1</w:t>
            </w:r>
            <w:r w:rsidRPr="00975B1A">
              <w:rPr>
                <w:rFonts w:ascii="Times New Roman" w:hAnsi="Times New Roman" w:cs="Times New Roman"/>
                <w:sz w:val="23"/>
                <w:szCs w:val="23"/>
                <w:vertAlign w:val="superscript"/>
              </w:rPr>
              <w:t>a</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2</w:t>
            </w:r>
            <w:r w:rsidRPr="00975B1A">
              <w:rPr>
                <w:rFonts w:ascii="Times New Roman" w:hAnsi="Times New Roman" w:cs="Times New Roman"/>
                <w:sz w:val="23"/>
                <w:szCs w:val="23"/>
                <w:vertAlign w:val="superscript"/>
              </w:rPr>
              <w:t>b</w:t>
            </w:r>
          </w:p>
        </w:tc>
        <w:tc>
          <w:tcPr>
            <w:tcW w:w="589"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1</w:t>
            </w:r>
            <w:r w:rsidRPr="00975B1A">
              <w:rPr>
                <w:rFonts w:ascii="Times New Roman" w:hAnsi="Times New Roman" w:cs="Times New Roman"/>
                <w:sz w:val="23"/>
                <w:szCs w:val="23"/>
                <w:vertAlign w:val="superscript"/>
              </w:rPr>
              <w:t>a</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3</w:t>
            </w:r>
            <w:r w:rsidRPr="00975B1A">
              <w:rPr>
                <w:rFonts w:ascii="Times New Roman" w:hAnsi="Times New Roman" w:cs="Times New Roman"/>
                <w:sz w:val="23"/>
                <w:szCs w:val="23"/>
                <w:vertAlign w:val="superscript"/>
              </w:rPr>
              <w:t>c</w:t>
            </w:r>
          </w:p>
        </w:tc>
        <w:tc>
          <w:tcPr>
            <w:tcW w:w="590"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1</w:t>
            </w:r>
            <w:r w:rsidRPr="00975B1A">
              <w:rPr>
                <w:rFonts w:ascii="Times New Roman" w:hAnsi="Times New Roman" w:cs="Times New Roman"/>
                <w:sz w:val="23"/>
                <w:szCs w:val="23"/>
                <w:vertAlign w:val="superscript"/>
              </w:rPr>
              <w:t>a</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4</w:t>
            </w:r>
            <w:r w:rsidRPr="00975B1A">
              <w:rPr>
                <w:rFonts w:ascii="Times New Roman" w:hAnsi="Times New Roman" w:cs="Times New Roman"/>
                <w:sz w:val="23"/>
                <w:szCs w:val="23"/>
                <w:vertAlign w:val="superscript"/>
              </w:rPr>
              <w:t>d</w:t>
            </w:r>
          </w:p>
        </w:tc>
        <w:tc>
          <w:tcPr>
            <w:tcW w:w="589"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2</w:t>
            </w:r>
            <w:r w:rsidRPr="00975B1A">
              <w:rPr>
                <w:rFonts w:ascii="Times New Roman" w:hAnsi="Times New Roman" w:cs="Times New Roman"/>
                <w:sz w:val="23"/>
                <w:szCs w:val="23"/>
                <w:vertAlign w:val="superscript"/>
              </w:rPr>
              <w:t>b</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3</w:t>
            </w:r>
            <w:r w:rsidRPr="00975B1A">
              <w:rPr>
                <w:rFonts w:ascii="Times New Roman" w:hAnsi="Times New Roman" w:cs="Times New Roman"/>
                <w:sz w:val="23"/>
                <w:szCs w:val="23"/>
                <w:vertAlign w:val="superscript"/>
              </w:rPr>
              <w:t>c</w:t>
            </w:r>
          </w:p>
        </w:tc>
        <w:tc>
          <w:tcPr>
            <w:tcW w:w="602"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2</w:t>
            </w:r>
            <w:r w:rsidRPr="00975B1A">
              <w:rPr>
                <w:rFonts w:ascii="Times New Roman" w:hAnsi="Times New Roman" w:cs="Times New Roman"/>
                <w:sz w:val="23"/>
                <w:szCs w:val="23"/>
                <w:vertAlign w:val="superscript"/>
              </w:rPr>
              <w:t>b</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4</w:t>
            </w:r>
            <w:r w:rsidRPr="00975B1A">
              <w:rPr>
                <w:rFonts w:ascii="Times New Roman" w:hAnsi="Times New Roman" w:cs="Times New Roman"/>
                <w:sz w:val="23"/>
                <w:szCs w:val="23"/>
                <w:vertAlign w:val="superscript"/>
              </w:rPr>
              <w:t>d</w:t>
            </w:r>
          </w:p>
        </w:tc>
        <w:tc>
          <w:tcPr>
            <w:tcW w:w="658" w:type="pct"/>
            <w:tcBorders>
              <w:top w:val="nil"/>
              <w:left w:val="nil"/>
              <w:bottom w:val="single" w:sz="4" w:space="0" w:color="auto"/>
              <w:right w:val="nil"/>
            </w:tcBorders>
            <w:shd w:val="clear" w:color="auto" w:fill="FFFFFF" w:themeFill="background1"/>
            <w:hideMark/>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3</w:t>
            </w:r>
            <w:r w:rsidRPr="00975B1A">
              <w:rPr>
                <w:rFonts w:ascii="Times New Roman" w:hAnsi="Times New Roman" w:cs="Times New Roman"/>
                <w:sz w:val="23"/>
                <w:szCs w:val="23"/>
                <w:vertAlign w:val="superscript"/>
              </w:rPr>
              <w:t>c</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vs</w:t>
            </w:r>
          </w:p>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group 4</w:t>
            </w:r>
            <w:r w:rsidRPr="00975B1A">
              <w:rPr>
                <w:rFonts w:ascii="Times New Roman" w:hAnsi="Times New Roman" w:cs="Times New Roman"/>
                <w:sz w:val="23"/>
                <w:szCs w:val="23"/>
                <w:vertAlign w:val="superscript"/>
              </w:rPr>
              <w:t>d</w:t>
            </w:r>
          </w:p>
        </w:tc>
      </w:tr>
      <w:tr w:rsidR="00C7614B" w:rsidTr="00D10FDC">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left w:val="nil"/>
              <w:bottom w:val="nil"/>
              <w:right w:val="nil"/>
            </w:tcBorders>
            <w:shd w:val="clear" w:color="auto" w:fill="FFFFFF" w:themeFill="background1"/>
            <w:hideMark/>
          </w:tcPr>
          <w:p w:rsidR="00C7614B" w:rsidRPr="00975B1A" w:rsidRDefault="00C7614B" w:rsidP="00D10FDC">
            <w:pPr>
              <w:spacing w:line="276" w:lineRule="auto"/>
              <w:rPr>
                <w:rFonts w:ascii="Times New Roman" w:hAnsi="Times New Roman" w:cs="Times New Roman"/>
                <w:b w:val="0"/>
                <w:color w:val="000000"/>
                <w:sz w:val="23"/>
                <w:szCs w:val="23"/>
              </w:rPr>
            </w:pPr>
            <w:r w:rsidRPr="00975B1A">
              <w:rPr>
                <w:rFonts w:ascii="Times New Roman" w:hAnsi="Times New Roman" w:cs="Times New Roman"/>
                <w:b w:val="0"/>
                <w:color w:val="000000"/>
                <w:sz w:val="23"/>
                <w:szCs w:val="23"/>
              </w:rPr>
              <w:t>AF (</w:t>
            </w:r>
            <w:proofErr w:type="spellStart"/>
            <w:r w:rsidRPr="00975B1A">
              <w:rPr>
                <w:rFonts w:ascii="Times New Roman" w:hAnsi="Times New Roman" w:cs="Times New Roman"/>
                <w:b w:val="0"/>
                <w:color w:val="000000"/>
                <w:sz w:val="23"/>
                <w:szCs w:val="23"/>
              </w:rPr>
              <w:t>valvular</w:t>
            </w:r>
            <w:proofErr w:type="spellEnd"/>
            <w:r w:rsidRPr="00975B1A">
              <w:rPr>
                <w:rFonts w:ascii="Times New Roman" w:hAnsi="Times New Roman" w:cs="Times New Roman"/>
                <w:b w:val="0"/>
                <w:color w:val="000000"/>
                <w:sz w:val="23"/>
                <w:szCs w:val="23"/>
              </w:rPr>
              <w:t xml:space="preserve"> and non-</w:t>
            </w:r>
            <w:proofErr w:type="spellStart"/>
            <w:r w:rsidRPr="00975B1A">
              <w:rPr>
                <w:rFonts w:ascii="Times New Roman" w:hAnsi="Times New Roman" w:cs="Times New Roman"/>
                <w:b w:val="0"/>
                <w:color w:val="000000"/>
                <w:sz w:val="23"/>
                <w:szCs w:val="23"/>
              </w:rPr>
              <w:t>valvular</w:t>
            </w:r>
            <w:proofErr w:type="spellEnd"/>
            <w:r w:rsidRPr="00975B1A">
              <w:rPr>
                <w:rFonts w:ascii="Times New Roman" w:hAnsi="Times New Roman" w:cs="Times New Roman"/>
                <w:b w:val="0"/>
                <w:color w:val="000000"/>
                <w:sz w:val="23"/>
                <w:szCs w:val="23"/>
              </w:rPr>
              <w:t>),%</w:t>
            </w:r>
          </w:p>
        </w:tc>
        <w:tc>
          <w:tcPr>
            <w:tcW w:w="642" w:type="pct"/>
            <w:tcBorders>
              <w:top w:val="single" w:sz="4" w:space="0" w:color="auto"/>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0.512</w:t>
            </w:r>
          </w:p>
        </w:tc>
        <w:tc>
          <w:tcPr>
            <w:tcW w:w="589" w:type="pct"/>
            <w:tcBorders>
              <w:top w:val="single" w:sz="4" w:space="0" w:color="auto"/>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single" w:sz="4" w:space="0" w:color="auto"/>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0.368</w:t>
            </w:r>
          </w:p>
        </w:tc>
        <w:tc>
          <w:tcPr>
            <w:tcW w:w="589" w:type="pct"/>
            <w:tcBorders>
              <w:top w:val="single" w:sz="4" w:space="0" w:color="auto"/>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single" w:sz="4" w:space="0" w:color="auto"/>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0.995</w:t>
            </w:r>
          </w:p>
        </w:tc>
        <w:tc>
          <w:tcPr>
            <w:tcW w:w="658" w:type="pct"/>
            <w:tcBorders>
              <w:top w:val="single" w:sz="4" w:space="0" w:color="auto"/>
              <w:left w:val="nil"/>
              <w:bottom w:val="nil"/>
              <w:right w:val="nil"/>
            </w:tcBorders>
            <w:shd w:val="clear" w:color="auto" w:fill="FFFFFF" w:themeFill="background1"/>
          </w:tcPr>
          <w:p w:rsidR="00C7614B" w:rsidRPr="00975B1A" w:rsidRDefault="00C7614B" w:rsidP="00D10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rPr>
                <w:rFonts w:ascii="Times New Roman" w:hAnsi="Times New Roman" w:cs="Times New Roman"/>
                <w:b w:val="0"/>
                <w:bCs w:val="0"/>
                <w:color w:val="000000"/>
                <w:sz w:val="23"/>
                <w:szCs w:val="23"/>
              </w:rPr>
            </w:pPr>
            <w:r w:rsidRPr="00975B1A">
              <w:rPr>
                <w:rFonts w:ascii="Times New Roman" w:hAnsi="Times New Roman" w:cs="Times New Roman"/>
                <w:b w:val="0"/>
                <w:color w:val="000000"/>
                <w:sz w:val="23"/>
                <w:szCs w:val="23"/>
              </w:rPr>
              <w:t xml:space="preserve">Mechanical heart valves, % </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0.075</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0.007</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0.860</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r>
      <w:tr w:rsidR="00C7614B" w:rsidTr="00D10FDC">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color w:val="000000"/>
                <w:sz w:val="23"/>
                <w:szCs w:val="23"/>
              </w:rPr>
            </w:pPr>
            <w:r w:rsidRPr="00975B1A">
              <w:rPr>
                <w:rFonts w:ascii="Times New Roman" w:hAnsi="Times New Roman" w:cs="Times New Roman"/>
                <w:b w:val="0"/>
                <w:color w:val="000000"/>
                <w:sz w:val="23"/>
                <w:szCs w:val="23"/>
              </w:rPr>
              <w:t>ATRIA score</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0.279</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0.454</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0.043</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0.999</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0.829</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0.949</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rPr>
                <w:rFonts w:ascii="Times New Roman" w:hAnsi="Times New Roman" w:cs="Times New Roman"/>
                <w:b w:val="0"/>
                <w:sz w:val="23"/>
                <w:szCs w:val="23"/>
              </w:rPr>
            </w:pPr>
            <w:r w:rsidRPr="00975B1A">
              <w:rPr>
                <w:rFonts w:ascii="Times New Roman" w:hAnsi="Times New Roman" w:cs="Times New Roman"/>
                <w:b w:val="0"/>
                <w:sz w:val="23"/>
                <w:szCs w:val="23"/>
              </w:rPr>
              <w:t>Warfarin treatment</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r>
      <w:tr w:rsidR="00C7614B" w:rsidTr="00D10FDC">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sz w:val="23"/>
                <w:szCs w:val="23"/>
              </w:rPr>
            </w:pPr>
            <w:r w:rsidRPr="00975B1A">
              <w:rPr>
                <w:rFonts w:ascii="Times New Roman" w:hAnsi="Times New Roman" w:cs="Times New Roman"/>
                <w:b w:val="0"/>
                <w:sz w:val="23"/>
                <w:szCs w:val="23"/>
              </w:rPr>
              <w:t>Duration, years</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0.191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0.053</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0.077</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0.952</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0.201</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sz w:val="23"/>
                <w:szCs w:val="23"/>
              </w:rPr>
            </w:pPr>
            <w:r w:rsidRPr="00975B1A">
              <w:rPr>
                <w:rFonts w:ascii="Times New Roman" w:hAnsi="Times New Roman" w:cs="Times New Roman"/>
                <w:b w:val="0"/>
                <w:sz w:val="23"/>
                <w:szCs w:val="23"/>
              </w:rPr>
              <w:t>Total weekly dose, mg</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0.113</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0.606</w:t>
            </w:r>
          </w:p>
        </w:tc>
      </w:tr>
      <w:tr w:rsidR="00C7614B" w:rsidTr="00D10FDC">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sz w:val="23"/>
                <w:szCs w:val="23"/>
              </w:rPr>
            </w:pPr>
            <w:r w:rsidRPr="00975B1A">
              <w:rPr>
                <w:rFonts w:ascii="Times New Roman" w:hAnsi="Times New Roman" w:cs="Times New Roman"/>
                <w:b w:val="0"/>
                <w:sz w:val="23"/>
                <w:szCs w:val="23"/>
              </w:rPr>
              <w:t>Number of INR test during index period</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0.529</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0.325</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color w:val="000000"/>
                <w:sz w:val="23"/>
                <w:szCs w:val="23"/>
              </w:rPr>
            </w:pPr>
            <w:r w:rsidRPr="00975B1A">
              <w:rPr>
                <w:rFonts w:ascii="Times New Roman" w:hAnsi="Times New Roman" w:cs="Times New Roman"/>
                <w:b w:val="0"/>
                <w:color w:val="000000"/>
                <w:sz w:val="23"/>
                <w:szCs w:val="23"/>
              </w:rPr>
              <w:t>Any INR test ≥ 6 during index period, %</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0.391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0.986</w:t>
            </w:r>
          </w:p>
        </w:tc>
      </w:tr>
      <w:tr w:rsidR="00C7614B" w:rsidTr="00D10FDC">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nil"/>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color w:val="000000"/>
                <w:sz w:val="23"/>
                <w:szCs w:val="23"/>
              </w:rPr>
            </w:pPr>
            <w:r w:rsidRPr="00975B1A">
              <w:rPr>
                <w:rFonts w:ascii="Times New Roman" w:hAnsi="Times New Roman" w:cs="Times New Roman"/>
                <w:b w:val="0"/>
                <w:color w:val="000000"/>
                <w:sz w:val="23"/>
                <w:szCs w:val="23"/>
              </w:rPr>
              <w:t>TTR, %</w:t>
            </w:r>
          </w:p>
        </w:tc>
        <w:tc>
          <w:tcPr>
            <w:tcW w:w="64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1.0</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89"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nil"/>
              <w:right w:val="nil"/>
            </w:tcBorders>
            <w:shd w:val="clear" w:color="auto" w:fill="FFFFFF" w:themeFill="background1"/>
          </w:tcPr>
          <w:p w:rsidR="00C7614B" w:rsidRPr="00975B1A" w:rsidRDefault="00C7614B" w:rsidP="00D10FD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58" w:type="pct"/>
            <w:tcBorders>
              <w:top w:val="nil"/>
              <w:left w:val="nil"/>
              <w:bottom w:val="nil"/>
              <w:right w:val="nil"/>
            </w:tcBorders>
            <w:shd w:val="clear" w:color="auto" w:fill="FFFFFF" w:themeFill="background1"/>
          </w:tcPr>
          <w:p w:rsidR="00C7614B" w:rsidRPr="00975B1A" w:rsidRDefault="00C7614B" w:rsidP="00D10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0.927</w:t>
            </w:r>
          </w:p>
        </w:tc>
      </w:tr>
      <w:tr w:rsidR="00C7614B" w:rsidTr="00D1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il"/>
              <w:left w:val="nil"/>
              <w:bottom w:val="single" w:sz="8" w:space="0" w:color="000000" w:themeColor="text1"/>
              <w:right w:val="nil"/>
            </w:tcBorders>
            <w:shd w:val="clear" w:color="auto" w:fill="FFFFFF" w:themeFill="background1"/>
            <w:hideMark/>
          </w:tcPr>
          <w:p w:rsidR="00C7614B" w:rsidRPr="00975B1A" w:rsidRDefault="00C7614B" w:rsidP="00D10FDC">
            <w:pPr>
              <w:spacing w:line="276" w:lineRule="auto"/>
              <w:jc w:val="both"/>
              <w:rPr>
                <w:rFonts w:ascii="Times New Roman" w:hAnsi="Times New Roman" w:cs="Times New Roman"/>
                <w:b w:val="0"/>
                <w:bCs w:val="0"/>
                <w:color w:val="000000"/>
                <w:sz w:val="23"/>
                <w:szCs w:val="23"/>
              </w:rPr>
            </w:pPr>
            <w:r w:rsidRPr="00975B1A">
              <w:rPr>
                <w:rFonts w:ascii="Times New Roman" w:hAnsi="Times New Roman" w:cs="Times New Roman"/>
                <w:b w:val="0"/>
                <w:color w:val="000000"/>
                <w:sz w:val="23"/>
                <w:szCs w:val="23"/>
              </w:rPr>
              <w:t>TTR ≥66%, %</w:t>
            </w:r>
          </w:p>
        </w:tc>
        <w:tc>
          <w:tcPr>
            <w:tcW w:w="642"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0.999</w:t>
            </w:r>
          </w:p>
        </w:tc>
        <w:tc>
          <w:tcPr>
            <w:tcW w:w="589"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90"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589"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02"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&lt;0.001</w:t>
            </w:r>
          </w:p>
        </w:tc>
        <w:tc>
          <w:tcPr>
            <w:tcW w:w="658" w:type="pct"/>
            <w:tcBorders>
              <w:top w:val="nil"/>
              <w:left w:val="nil"/>
              <w:bottom w:val="single" w:sz="8" w:space="0" w:color="000000" w:themeColor="text1"/>
              <w:right w:val="nil"/>
            </w:tcBorders>
            <w:shd w:val="clear" w:color="auto" w:fill="FFFFFF" w:themeFill="background1"/>
          </w:tcPr>
          <w:p w:rsidR="00C7614B" w:rsidRPr="00975B1A" w:rsidRDefault="00C7614B" w:rsidP="00D10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975B1A">
              <w:rPr>
                <w:rFonts w:ascii="Times New Roman" w:hAnsi="Times New Roman" w:cs="Times New Roman"/>
                <w:sz w:val="23"/>
                <w:szCs w:val="23"/>
              </w:rPr>
              <w:t>0.909</w:t>
            </w:r>
          </w:p>
        </w:tc>
      </w:tr>
    </w:tbl>
    <w:p w:rsidR="00C7614B" w:rsidRDefault="00C7614B" w:rsidP="00C7614B">
      <w:pPr>
        <w:spacing w:after="0"/>
        <w:jc w:val="both"/>
        <w:rPr>
          <w:rFonts w:ascii="Times New Roman" w:hAnsi="Times New Roman" w:cs="Times New Roman"/>
          <w:sz w:val="18"/>
          <w:szCs w:val="18"/>
        </w:rPr>
      </w:pPr>
      <w:r w:rsidRPr="009A4920">
        <w:rPr>
          <w:rFonts w:ascii="Times New Roman" w:hAnsi="Times New Roman" w:cs="Times New Roman"/>
          <w:sz w:val="18"/>
          <w:szCs w:val="18"/>
        </w:rPr>
        <w:t xml:space="preserve">AF, atrial fibrillation; ATRIA, the Anticoagulation and Risk Factors in Atrial Fibrillation; </w:t>
      </w:r>
      <w:proofErr w:type="spellStart"/>
      <w:r w:rsidRPr="009A4920">
        <w:rPr>
          <w:rFonts w:ascii="Times New Roman" w:hAnsi="Times New Roman" w:cs="Times New Roman"/>
          <w:sz w:val="18"/>
          <w:szCs w:val="18"/>
        </w:rPr>
        <w:t>HFpEF</w:t>
      </w:r>
      <w:proofErr w:type="spellEnd"/>
      <w:r w:rsidRPr="009A4920">
        <w:rPr>
          <w:rFonts w:ascii="Times New Roman" w:hAnsi="Times New Roman" w:cs="Times New Roman"/>
          <w:sz w:val="18"/>
          <w:szCs w:val="18"/>
        </w:rPr>
        <w:t xml:space="preserve">, heart failure with preserved ejection fraction; </w:t>
      </w:r>
      <w:proofErr w:type="spellStart"/>
      <w:r w:rsidRPr="009A4920">
        <w:rPr>
          <w:rFonts w:ascii="Times New Roman" w:hAnsi="Times New Roman" w:cs="Times New Roman"/>
          <w:sz w:val="18"/>
          <w:szCs w:val="18"/>
        </w:rPr>
        <w:t>HFrEF</w:t>
      </w:r>
      <w:proofErr w:type="spellEnd"/>
      <w:r w:rsidRPr="009A4920">
        <w:rPr>
          <w:rFonts w:ascii="Times New Roman" w:hAnsi="Times New Roman" w:cs="Times New Roman"/>
          <w:sz w:val="18"/>
          <w:szCs w:val="18"/>
        </w:rPr>
        <w:t xml:space="preserve">, heart failure with reduced ejection fraction; INR, international normalized ratio;  RVD, right ventricular dysfunction; TTR, time in therapeutic </w:t>
      </w:r>
      <w:proofErr w:type="spellStart"/>
      <w:r w:rsidRPr="009A4920">
        <w:rPr>
          <w:rFonts w:ascii="Times New Roman" w:hAnsi="Times New Roman" w:cs="Times New Roman"/>
          <w:sz w:val="18"/>
          <w:szCs w:val="18"/>
        </w:rPr>
        <w:t>range.</w:t>
      </w:r>
      <w:r w:rsidRPr="009A4920">
        <w:rPr>
          <w:rFonts w:ascii="Times New Roman" w:hAnsi="Times New Roman" w:cs="Times New Roman"/>
          <w:sz w:val="18"/>
          <w:szCs w:val="18"/>
          <w:vertAlign w:val="superscript"/>
        </w:rPr>
        <w:t>a</w:t>
      </w:r>
      <w:proofErr w:type="spellEnd"/>
      <w:r w:rsidRPr="009A4920">
        <w:rPr>
          <w:rFonts w:ascii="Times New Roman" w:hAnsi="Times New Roman" w:cs="Times New Roman"/>
          <w:sz w:val="18"/>
          <w:szCs w:val="18"/>
          <w:vertAlign w:val="superscript"/>
        </w:rPr>
        <w:t xml:space="preserve"> </w:t>
      </w:r>
      <w:r w:rsidRPr="009A4920">
        <w:rPr>
          <w:rFonts w:ascii="Times New Roman" w:hAnsi="Times New Roman" w:cs="Times New Roman"/>
          <w:sz w:val="18"/>
          <w:szCs w:val="18"/>
        </w:rPr>
        <w:t xml:space="preserve">Group 1: </w:t>
      </w:r>
      <w:proofErr w:type="spellStart"/>
      <w:r w:rsidRPr="009A4920">
        <w:rPr>
          <w:rFonts w:ascii="Times New Roman" w:hAnsi="Times New Roman" w:cs="Times New Roman"/>
          <w:sz w:val="18"/>
          <w:szCs w:val="18"/>
        </w:rPr>
        <w:t>HFpEF</w:t>
      </w:r>
      <w:proofErr w:type="spellEnd"/>
      <w:r w:rsidRPr="009A4920">
        <w:rPr>
          <w:rFonts w:ascii="Times New Roman" w:hAnsi="Times New Roman" w:cs="Times New Roman"/>
          <w:sz w:val="18"/>
          <w:szCs w:val="18"/>
        </w:rPr>
        <w:t xml:space="preserve"> without RVD; </w:t>
      </w:r>
      <w:r w:rsidRPr="009A4920">
        <w:rPr>
          <w:rFonts w:ascii="Times New Roman" w:hAnsi="Times New Roman" w:cs="Times New Roman"/>
          <w:sz w:val="18"/>
          <w:szCs w:val="18"/>
          <w:vertAlign w:val="superscript"/>
        </w:rPr>
        <w:t>b</w:t>
      </w:r>
      <w:r w:rsidRPr="009A4920">
        <w:rPr>
          <w:rFonts w:ascii="Times New Roman" w:hAnsi="Times New Roman" w:cs="Times New Roman"/>
          <w:sz w:val="18"/>
          <w:szCs w:val="18"/>
        </w:rPr>
        <w:t xml:space="preserve"> Group 2: </w:t>
      </w:r>
      <w:proofErr w:type="spellStart"/>
      <w:r w:rsidRPr="009A4920">
        <w:rPr>
          <w:rFonts w:ascii="Times New Roman" w:hAnsi="Times New Roman" w:cs="Times New Roman"/>
          <w:sz w:val="18"/>
          <w:szCs w:val="18"/>
        </w:rPr>
        <w:t>HFrEF</w:t>
      </w:r>
      <w:proofErr w:type="spellEnd"/>
      <w:r w:rsidRPr="009A4920">
        <w:rPr>
          <w:rFonts w:ascii="Times New Roman" w:hAnsi="Times New Roman" w:cs="Times New Roman"/>
          <w:sz w:val="18"/>
          <w:szCs w:val="18"/>
        </w:rPr>
        <w:t xml:space="preserve"> without RVD; </w:t>
      </w:r>
      <w:r w:rsidRPr="009A4920">
        <w:rPr>
          <w:rFonts w:ascii="Times New Roman" w:hAnsi="Times New Roman" w:cs="Times New Roman"/>
          <w:sz w:val="18"/>
          <w:szCs w:val="18"/>
          <w:vertAlign w:val="superscript"/>
        </w:rPr>
        <w:t xml:space="preserve">c </w:t>
      </w:r>
      <w:r w:rsidRPr="009A4920">
        <w:rPr>
          <w:rFonts w:ascii="Times New Roman" w:hAnsi="Times New Roman" w:cs="Times New Roman"/>
          <w:sz w:val="18"/>
          <w:szCs w:val="18"/>
        </w:rPr>
        <w:t xml:space="preserve">Group 3: </w:t>
      </w:r>
      <w:proofErr w:type="spellStart"/>
      <w:r w:rsidRPr="009A4920">
        <w:rPr>
          <w:rFonts w:ascii="Times New Roman" w:hAnsi="Times New Roman" w:cs="Times New Roman"/>
          <w:sz w:val="18"/>
          <w:szCs w:val="18"/>
        </w:rPr>
        <w:t>HFpEF</w:t>
      </w:r>
      <w:proofErr w:type="spellEnd"/>
      <w:r w:rsidRPr="009A4920">
        <w:rPr>
          <w:rFonts w:ascii="Times New Roman" w:hAnsi="Times New Roman" w:cs="Times New Roman"/>
          <w:sz w:val="18"/>
          <w:szCs w:val="18"/>
        </w:rPr>
        <w:t xml:space="preserve"> with RVD; </w:t>
      </w:r>
      <w:proofErr w:type="spellStart"/>
      <w:r w:rsidRPr="009A4920">
        <w:rPr>
          <w:rFonts w:ascii="Times New Roman" w:hAnsi="Times New Roman" w:cs="Times New Roman"/>
          <w:sz w:val="18"/>
          <w:szCs w:val="18"/>
          <w:vertAlign w:val="superscript"/>
        </w:rPr>
        <w:t>d</w:t>
      </w:r>
      <w:r w:rsidRPr="009A4920">
        <w:rPr>
          <w:rFonts w:ascii="Times New Roman" w:hAnsi="Times New Roman" w:cs="Times New Roman"/>
          <w:sz w:val="18"/>
          <w:szCs w:val="18"/>
        </w:rPr>
        <w:t>HFrEF</w:t>
      </w:r>
      <w:proofErr w:type="spellEnd"/>
      <w:r w:rsidRPr="009A4920">
        <w:rPr>
          <w:rFonts w:ascii="Times New Roman" w:hAnsi="Times New Roman" w:cs="Times New Roman"/>
          <w:sz w:val="18"/>
          <w:szCs w:val="18"/>
        </w:rPr>
        <w:t xml:space="preserve"> with RVD.</w:t>
      </w:r>
    </w:p>
    <w:p w:rsidR="009B4C4A" w:rsidRPr="009A4920" w:rsidRDefault="009B4C4A" w:rsidP="00C7614B">
      <w:pPr>
        <w:spacing w:after="0"/>
        <w:jc w:val="both"/>
        <w:rPr>
          <w:rFonts w:ascii="Times New Roman" w:hAnsi="Times New Roman" w:cs="Times New Roman"/>
          <w:sz w:val="18"/>
          <w:szCs w:val="18"/>
        </w:rPr>
      </w:pPr>
    </w:p>
    <w:tbl>
      <w:tblPr>
        <w:tblStyle w:val="OrtaListe1"/>
        <w:tblW w:w="0" w:type="auto"/>
        <w:tblLook w:val="04A0" w:firstRow="1" w:lastRow="0" w:firstColumn="1" w:lastColumn="0" w:noHBand="0" w:noVBand="1"/>
      </w:tblPr>
      <w:tblGrid>
        <w:gridCol w:w="4053"/>
        <w:gridCol w:w="1573"/>
        <w:gridCol w:w="1573"/>
        <w:gridCol w:w="1070"/>
      </w:tblGrid>
      <w:tr w:rsidR="00DF41F2" w:rsidRPr="00976BF8" w:rsidTr="00C92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tcPr>
          <w:p w:rsidR="00DF41F2" w:rsidRPr="000F58F6" w:rsidRDefault="00DF41F2" w:rsidP="00C92CAD">
            <w:pPr>
              <w:spacing w:line="276" w:lineRule="auto"/>
              <w:jc w:val="both"/>
              <w:rPr>
                <w:rFonts w:ascii="Times New Roman" w:hAnsi="Times New Roman" w:cs="Times New Roman"/>
                <w:b w:val="0"/>
                <w:sz w:val="24"/>
                <w:szCs w:val="24"/>
              </w:rPr>
            </w:pPr>
            <w:r>
              <w:rPr>
                <w:rFonts w:ascii="Times New Roman" w:hAnsi="Times New Roman" w:cs="Times New Roman"/>
                <w:sz w:val="24"/>
                <w:szCs w:val="24"/>
                <w:highlight w:val="yellow"/>
              </w:rPr>
              <w:lastRenderedPageBreak/>
              <w:t xml:space="preserve">Supplementary </w:t>
            </w:r>
            <w:r w:rsidRPr="00732E01">
              <w:rPr>
                <w:rFonts w:ascii="Times New Roman" w:hAnsi="Times New Roman" w:cs="Times New Roman"/>
                <w:sz w:val="24"/>
                <w:szCs w:val="24"/>
                <w:highlight w:val="yellow"/>
              </w:rPr>
              <w:t xml:space="preserve">Table </w:t>
            </w:r>
            <w:r w:rsidR="001F3D7D">
              <w:rPr>
                <w:rFonts w:ascii="Times New Roman" w:hAnsi="Times New Roman" w:cs="Times New Roman"/>
                <w:sz w:val="24"/>
                <w:szCs w:val="24"/>
                <w:highlight w:val="yellow"/>
              </w:rPr>
              <w:t>3</w:t>
            </w:r>
            <w:r w:rsidRPr="00732E01">
              <w:rPr>
                <w:rFonts w:ascii="Times New Roman" w:hAnsi="Times New Roman" w:cs="Times New Roman"/>
                <w:sz w:val="24"/>
                <w:szCs w:val="24"/>
                <w:highlight w:val="yellow"/>
              </w:rPr>
              <w:t>.</w:t>
            </w:r>
            <w:r w:rsidRPr="00371EA9">
              <w:rPr>
                <w:rFonts w:ascii="Times New Roman" w:hAnsi="Times New Roman" w:cs="Times New Roman"/>
                <w:sz w:val="24"/>
                <w:szCs w:val="24"/>
              </w:rPr>
              <w:t xml:space="preserve"> </w:t>
            </w:r>
            <w:r w:rsidRPr="000F58F6">
              <w:rPr>
                <w:rFonts w:ascii="Times New Roman" w:hAnsi="Times New Roman" w:cs="Times New Roman"/>
                <w:b w:val="0"/>
                <w:sz w:val="24"/>
                <w:szCs w:val="24"/>
              </w:rPr>
              <w:t xml:space="preserve">Baseline characteristics of study participants according to </w:t>
            </w:r>
          </w:p>
          <w:p w:rsidR="00DF41F2" w:rsidRPr="00371EA9" w:rsidRDefault="00DF41F2" w:rsidP="00C92CAD">
            <w:pPr>
              <w:spacing w:line="276" w:lineRule="auto"/>
              <w:jc w:val="both"/>
              <w:rPr>
                <w:rFonts w:ascii="Times New Roman" w:hAnsi="Times New Roman" w:cs="Times New Roman"/>
                <w:sz w:val="24"/>
                <w:szCs w:val="24"/>
              </w:rPr>
            </w:pPr>
            <w:r w:rsidRPr="000F58F6">
              <w:rPr>
                <w:rFonts w:ascii="Times New Roman" w:hAnsi="Times New Roman" w:cs="Times New Roman"/>
                <w:b w:val="0"/>
                <w:sz w:val="24"/>
                <w:szCs w:val="24"/>
              </w:rPr>
              <w:t>quality of anticoagulation control</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DF41F2" w:rsidRPr="007D4A1A" w:rsidRDefault="00DF41F2" w:rsidP="00C92CAD">
            <w:pPr>
              <w:spacing w:line="276" w:lineRule="auto"/>
              <w:jc w:val="center"/>
              <w:rPr>
                <w:rFonts w:ascii="Times New Roman" w:hAnsi="Times New Roman" w:cs="Times New Roman"/>
                <w:sz w:val="24"/>
                <w:szCs w:val="24"/>
              </w:rPr>
            </w:pPr>
          </w:p>
        </w:tc>
        <w:tc>
          <w:tcPr>
            <w:tcW w:w="0" w:type="auto"/>
            <w:tcBorders>
              <w:bottom w:val="single" w:sz="4" w:space="0" w:color="auto"/>
            </w:tcBorders>
            <w:shd w:val="clear" w:color="auto" w:fill="auto"/>
          </w:tcPr>
          <w:p w:rsidR="00DF41F2" w:rsidRPr="00A4267B"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TTR&lt;66%</w:t>
            </w:r>
          </w:p>
          <w:p w:rsidR="00DF41F2" w:rsidRPr="00A4267B"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sz w:val="24"/>
                <w:szCs w:val="24"/>
              </w:rPr>
              <w:t>(n =</w:t>
            </w:r>
            <w:r>
              <w:rPr>
                <w:rFonts w:ascii="Times New Roman" w:hAnsi="Times New Roman" w:cs="Times New Roman"/>
                <w:sz w:val="24"/>
                <w:szCs w:val="24"/>
              </w:rPr>
              <w:t>548</w:t>
            </w:r>
            <w:r w:rsidRPr="00A4267B">
              <w:rPr>
                <w:rFonts w:ascii="Times New Roman" w:hAnsi="Times New Roman" w:cs="Times New Roman"/>
                <w:sz w:val="24"/>
                <w:szCs w:val="24"/>
              </w:rPr>
              <w:t>)</w:t>
            </w:r>
          </w:p>
        </w:tc>
        <w:tc>
          <w:tcPr>
            <w:tcW w:w="0" w:type="auto"/>
            <w:tcBorders>
              <w:bottom w:val="single" w:sz="4" w:space="0" w:color="auto"/>
            </w:tcBorders>
            <w:shd w:val="clear" w:color="auto" w:fill="auto"/>
          </w:tcPr>
          <w:p w:rsidR="00DF41F2" w:rsidRPr="00A4267B"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TTR≥66%</w:t>
            </w:r>
          </w:p>
          <w:p w:rsidR="00DF41F2" w:rsidRPr="00A4267B"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sz w:val="24"/>
                <w:szCs w:val="24"/>
              </w:rPr>
              <w:t>(n =</w:t>
            </w:r>
            <w:r>
              <w:rPr>
                <w:rFonts w:ascii="Times New Roman" w:hAnsi="Times New Roman" w:cs="Times New Roman"/>
                <w:sz w:val="24"/>
                <w:szCs w:val="24"/>
              </w:rPr>
              <w:t>345</w:t>
            </w:r>
            <w:r w:rsidRPr="00A4267B">
              <w:rPr>
                <w:rFonts w:ascii="Times New Roman" w:hAnsi="Times New Roman" w:cs="Times New Roman"/>
                <w:sz w:val="24"/>
                <w:szCs w:val="24"/>
              </w:rPr>
              <w:t>)</w:t>
            </w:r>
          </w:p>
        </w:tc>
        <w:tc>
          <w:tcPr>
            <w:tcW w:w="0" w:type="auto"/>
            <w:tcBorders>
              <w:bottom w:val="single" w:sz="4" w:space="0" w:color="auto"/>
            </w:tcBorders>
            <w:shd w:val="clear" w:color="auto" w:fill="auto"/>
          </w:tcPr>
          <w:p w:rsidR="00DF41F2" w:rsidRPr="00A4267B"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i/>
                <w:sz w:val="24"/>
                <w:szCs w:val="24"/>
              </w:rPr>
              <w:t>P</w:t>
            </w:r>
            <w:r w:rsidRPr="00A4267B">
              <w:rPr>
                <w:rFonts w:ascii="Times New Roman" w:hAnsi="Times New Roman" w:cs="Times New Roman"/>
                <w:sz w:val="24"/>
                <w:szCs w:val="24"/>
              </w:rPr>
              <w:t>-value</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DF41F2" w:rsidRPr="00F6170A" w:rsidRDefault="00DF41F2" w:rsidP="00C92CAD">
            <w:pPr>
              <w:spacing w:line="276" w:lineRule="auto"/>
              <w:jc w:val="both"/>
              <w:rPr>
                <w:rFonts w:ascii="Times New Roman" w:hAnsi="Times New Roman" w:cs="Times New Roman"/>
                <w:b w:val="0"/>
                <w:i/>
                <w:color w:val="000000"/>
                <w:sz w:val="24"/>
                <w:szCs w:val="24"/>
              </w:rPr>
            </w:pPr>
            <w:r w:rsidRPr="00F6170A">
              <w:rPr>
                <w:rFonts w:ascii="Times New Roman" w:hAnsi="Times New Roman" w:cs="Times New Roman"/>
                <w:b w:val="0"/>
                <w:i/>
                <w:color w:val="000000"/>
                <w:sz w:val="24"/>
                <w:szCs w:val="24"/>
              </w:rPr>
              <w:t>Sociodemographic</w:t>
            </w:r>
          </w:p>
        </w:tc>
        <w:tc>
          <w:tcPr>
            <w:tcW w:w="0" w:type="auto"/>
            <w:tcBorders>
              <w:top w:val="single" w:sz="4" w:space="0" w:color="auto"/>
            </w:tcBorders>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Borders>
              <w:top w:val="single" w:sz="4" w:space="0" w:color="auto"/>
            </w:tcBorders>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Borders>
              <w:top w:val="single" w:sz="4" w:space="0" w:color="auto"/>
            </w:tcBorders>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Age, years</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1039">
              <w:rPr>
                <w:rFonts w:ascii="Times New Roman" w:hAnsi="Times New Roman" w:cs="Times New Roman"/>
                <w:sz w:val="24"/>
                <w:szCs w:val="24"/>
              </w:rPr>
              <w:t>5</w:t>
            </w:r>
            <w:r>
              <w:rPr>
                <w:rFonts w:ascii="Times New Roman" w:hAnsi="Times New Roman" w:cs="Times New Roman"/>
                <w:sz w:val="24"/>
                <w:szCs w:val="24"/>
              </w:rPr>
              <w:t>8</w:t>
            </w:r>
            <w:r w:rsidRPr="00041039">
              <w:rPr>
                <w:rFonts w:ascii="Times New Roman" w:hAnsi="Times New Roman" w:cs="Times New Roman"/>
                <w:sz w:val="24"/>
                <w:szCs w:val="24"/>
              </w:rPr>
              <w:t>±13</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1039">
              <w:rPr>
                <w:rFonts w:ascii="Times New Roman" w:hAnsi="Times New Roman" w:cs="Times New Roman"/>
                <w:sz w:val="24"/>
                <w:szCs w:val="24"/>
              </w:rPr>
              <w:t>57±13</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0.776</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Male gender,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49.6</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0.356</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College education,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16.5</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0.634</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Current smoker,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21.7</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0.002</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Alcohol use</w:t>
            </w:r>
            <w:r>
              <w:rPr>
                <w:rFonts w:ascii="Times New Roman" w:hAnsi="Times New Roman" w:cs="Times New Roman"/>
                <w:b w:val="0"/>
                <w:color w:val="000000"/>
                <w:sz w:val="24"/>
                <w:szCs w:val="24"/>
              </w:rPr>
              <w:t xml:space="preserve"> </w:t>
            </w:r>
            <w:r w:rsidRPr="00386280">
              <w:rPr>
                <w:rFonts w:ascii="Times New Roman" w:hAnsi="Times New Roman" w:cs="Times New Roman"/>
                <w:b w:val="0"/>
                <w:color w:val="000000"/>
                <w:sz w:val="24"/>
                <w:szCs w:val="24"/>
                <w:highlight w:val="yellow"/>
              </w:rPr>
              <w:t>(regular),</w:t>
            </w:r>
            <w:r w:rsidRPr="00F6170A">
              <w:rPr>
                <w:rFonts w:ascii="Times New Roman" w:hAnsi="Times New Roman" w:cs="Times New Roman"/>
                <w:b w:val="0"/>
                <w:color w:val="000000"/>
                <w:sz w:val="24"/>
                <w:szCs w:val="24"/>
              </w:rPr>
              <w:t xml:space="preserve"> %</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0.241</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NYHA class III-IV, %</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35.6</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&lt;0.001</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i/>
                <w:color w:val="000000"/>
                <w:sz w:val="24"/>
                <w:szCs w:val="24"/>
              </w:rPr>
            </w:pPr>
            <w:r w:rsidRPr="00F6170A">
              <w:rPr>
                <w:rFonts w:ascii="Times New Roman" w:hAnsi="Times New Roman" w:cs="Times New Roman"/>
                <w:b w:val="0"/>
                <w:i/>
                <w:color w:val="000000"/>
                <w:sz w:val="24"/>
                <w:szCs w:val="24"/>
              </w:rPr>
              <w:t>Comorbidity</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Hypertension,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72.6</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64.6</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0.012</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Diabetes mellitus,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25.2</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0.021</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Hyperlipidemia,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66.7</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0.260</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Obesity,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0.450</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Coronary artery disease, %</w:t>
            </w:r>
          </w:p>
        </w:tc>
        <w:tc>
          <w:tcPr>
            <w:tcW w:w="0" w:type="auto"/>
            <w:shd w:val="clear" w:color="auto" w:fill="auto"/>
          </w:tcPr>
          <w:p w:rsidR="00DF41F2"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51.8</w:t>
            </w:r>
          </w:p>
        </w:tc>
        <w:tc>
          <w:tcPr>
            <w:tcW w:w="0" w:type="auto"/>
            <w:shd w:val="clear" w:color="auto" w:fill="auto"/>
          </w:tcPr>
          <w:p w:rsidR="00DF41F2"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48.4</w:t>
            </w:r>
          </w:p>
        </w:tc>
        <w:tc>
          <w:tcPr>
            <w:tcW w:w="0" w:type="auto"/>
            <w:shd w:val="clear" w:color="auto" w:fill="auto"/>
          </w:tcPr>
          <w:p w:rsidR="00DF41F2"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0.320</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Prior myocardial infraction,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0.018</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Prior TIA or stroke,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0.027</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Any prior hemorrhage diagnosis,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0.026</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Peripheral arterial disease,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Pulmonary disease,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15.7</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&lt;0.001</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Depression,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0.645</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An</w:t>
            </w:r>
            <w:r w:rsidRPr="00F6170A">
              <w:rPr>
                <w:rFonts w:ascii="Times New Roman" w:hAnsi="Times New Roman" w:cs="Times New Roman"/>
                <w:b w:val="0"/>
                <w:color w:val="000000"/>
                <w:sz w:val="24"/>
                <w:szCs w:val="24"/>
              </w:rPr>
              <w:t>emia,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0.426</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CKD stage 3,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38.9</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0.022</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Pr>
                <w:rFonts w:ascii="Times New Roman" w:hAnsi="Times New Roman" w:cs="Times New Roman"/>
                <w:b w:val="0"/>
                <w:color w:val="000000"/>
                <w:sz w:val="24"/>
                <w:szCs w:val="24"/>
              </w:rPr>
              <w:t>CKD stage 4-</w:t>
            </w:r>
            <w:r w:rsidRPr="00F6170A">
              <w:rPr>
                <w:rFonts w:ascii="Times New Roman" w:hAnsi="Times New Roman" w:cs="Times New Roman"/>
                <w:b w:val="0"/>
                <w:color w:val="000000"/>
                <w:sz w:val="24"/>
                <w:szCs w:val="24"/>
              </w:rPr>
              <w:t xml:space="preserve">5, % </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21.2</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0" w:type="auto"/>
            <w:shd w:val="clear" w:color="auto" w:fill="auto"/>
          </w:tcPr>
          <w:p w:rsidR="00DF41F2" w:rsidRPr="007D4A1A"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0.009</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color w:val="000000"/>
                <w:sz w:val="24"/>
                <w:szCs w:val="24"/>
              </w:rPr>
            </w:pPr>
            <w:r w:rsidRPr="00F6170A">
              <w:rPr>
                <w:rFonts w:ascii="Times New Roman" w:hAnsi="Times New Roman" w:cs="Times New Roman"/>
                <w:b w:val="0"/>
                <w:color w:val="000000"/>
                <w:sz w:val="24"/>
                <w:szCs w:val="24"/>
              </w:rPr>
              <w:t>Presence of RVD, %</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80.3</w:t>
            </w:r>
          </w:p>
        </w:tc>
        <w:tc>
          <w:tcPr>
            <w:tcW w:w="0" w:type="auto"/>
            <w:shd w:val="clear" w:color="auto" w:fill="auto"/>
          </w:tcPr>
          <w:p w:rsidR="00DF41F2" w:rsidRPr="007D4A1A"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&lt;0.001</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r w:rsidRPr="00F6170A">
              <w:rPr>
                <w:rFonts w:ascii="Times New Roman" w:hAnsi="Times New Roman" w:cs="Times New Roman"/>
                <w:b w:val="0"/>
                <w:color w:val="000000"/>
                <w:sz w:val="24"/>
                <w:szCs w:val="24"/>
              </w:rPr>
              <w:t>Absence of RVD, %</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proofErr w:type="spellStart"/>
            <w:r w:rsidRPr="00F6170A">
              <w:rPr>
                <w:rFonts w:ascii="Times New Roman" w:hAnsi="Times New Roman" w:cs="Times New Roman"/>
                <w:b w:val="0"/>
                <w:color w:val="000000"/>
                <w:sz w:val="24"/>
                <w:szCs w:val="24"/>
              </w:rPr>
              <w:t>HFpEF</w:t>
            </w:r>
            <w:proofErr w:type="spellEnd"/>
            <w:r w:rsidRPr="00F6170A">
              <w:rPr>
                <w:rFonts w:ascii="Times New Roman" w:hAnsi="Times New Roman" w:cs="Times New Roman"/>
                <w:b w:val="0"/>
                <w:color w:val="000000"/>
                <w:sz w:val="24"/>
                <w:szCs w:val="24"/>
              </w:rPr>
              <w:t>, %</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48.4</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w:t>
            </w:r>
          </w:p>
        </w:tc>
        <w:tc>
          <w:tcPr>
            <w:tcW w:w="0" w:type="auto"/>
            <w:shd w:val="clear" w:color="auto" w:fill="auto"/>
          </w:tcPr>
          <w:p w:rsidR="00DF41F2" w:rsidRPr="006115FC" w:rsidRDefault="00DF41F2"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0.131</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6170A" w:rsidRDefault="00DF41F2" w:rsidP="00C92CAD">
            <w:pPr>
              <w:spacing w:line="276" w:lineRule="auto"/>
              <w:jc w:val="both"/>
              <w:rPr>
                <w:rFonts w:ascii="Times New Roman" w:hAnsi="Times New Roman" w:cs="Times New Roman"/>
                <w:b w:val="0"/>
                <w:bCs w:val="0"/>
                <w:color w:val="000000"/>
                <w:sz w:val="24"/>
                <w:szCs w:val="24"/>
              </w:rPr>
            </w:pPr>
            <w:proofErr w:type="spellStart"/>
            <w:r w:rsidRPr="00F6170A">
              <w:rPr>
                <w:rFonts w:ascii="Times New Roman" w:hAnsi="Times New Roman" w:cs="Times New Roman"/>
                <w:b w:val="0"/>
                <w:color w:val="000000"/>
                <w:sz w:val="24"/>
                <w:szCs w:val="24"/>
              </w:rPr>
              <w:t>HFrEF</w:t>
            </w:r>
            <w:proofErr w:type="spellEnd"/>
            <w:r w:rsidRPr="00F6170A">
              <w:rPr>
                <w:rFonts w:ascii="Times New Roman" w:hAnsi="Times New Roman" w:cs="Times New Roman"/>
                <w:b w:val="0"/>
                <w:color w:val="000000"/>
                <w:sz w:val="24"/>
                <w:szCs w:val="24"/>
              </w:rPr>
              <w:t>, %</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51.6</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w:t>
            </w:r>
          </w:p>
        </w:tc>
        <w:tc>
          <w:tcPr>
            <w:tcW w:w="0" w:type="auto"/>
            <w:shd w:val="clear" w:color="auto" w:fill="auto"/>
          </w:tcPr>
          <w:p w:rsidR="00DF41F2" w:rsidRPr="006115FC" w:rsidRDefault="00DF41F2"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857337" w:rsidRDefault="00DF41F2" w:rsidP="00C92CAD">
            <w:pPr>
              <w:jc w:val="both"/>
              <w:rPr>
                <w:rFonts w:ascii="Times New Roman" w:hAnsi="Times New Roman" w:cs="Times New Roman"/>
                <w:b w:val="0"/>
                <w:i/>
                <w:color w:val="000000"/>
                <w:sz w:val="24"/>
                <w:szCs w:val="24"/>
                <w:highlight w:val="yellow"/>
              </w:rPr>
            </w:pPr>
            <w:r w:rsidRPr="00857337">
              <w:rPr>
                <w:rFonts w:ascii="Times New Roman" w:hAnsi="Times New Roman" w:cs="Times New Roman"/>
                <w:b w:val="0"/>
                <w:i/>
                <w:color w:val="000000"/>
                <w:sz w:val="24"/>
                <w:szCs w:val="24"/>
                <w:highlight w:val="yellow"/>
              </w:rPr>
              <w:t>Liver function tests</w:t>
            </w:r>
          </w:p>
        </w:tc>
        <w:tc>
          <w:tcPr>
            <w:tcW w:w="0" w:type="auto"/>
            <w:shd w:val="clear" w:color="auto" w:fill="auto"/>
          </w:tcPr>
          <w:p w:rsidR="00DF41F2"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41F2"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41F2" w:rsidRPr="006115F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57479" w:rsidRDefault="00DF41F2" w:rsidP="00C92CAD">
            <w:pPr>
              <w:jc w:val="both"/>
              <w:rPr>
                <w:rFonts w:ascii="Times New Roman" w:hAnsi="Times New Roman" w:cs="Times New Roman"/>
                <w:b w:val="0"/>
                <w:color w:val="000000"/>
                <w:sz w:val="24"/>
                <w:szCs w:val="24"/>
                <w:highlight w:val="yellow"/>
              </w:rPr>
            </w:pPr>
            <w:r w:rsidRPr="00F57479">
              <w:rPr>
                <w:rFonts w:ascii="Times New Roman" w:hAnsi="Times New Roman" w:cs="Times New Roman"/>
                <w:b w:val="0"/>
                <w:color w:val="000000"/>
                <w:sz w:val="24"/>
                <w:szCs w:val="24"/>
                <w:highlight w:val="yellow"/>
              </w:rPr>
              <w:t>AST, U/L</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27 (21-40)</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25 (21-39)</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0.667</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57479" w:rsidRDefault="00DF41F2" w:rsidP="00C92CAD">
            <w:pPr>
              <w:jc w:val="both"/>
              <w:rPr>
                <w:rFonts w:ascii="Times New Roman" w:hAnsi="Times New Roman" w:cs="Times New Roman"/>
                <w:b w:val="0"/>
                <w:color w:val="000000"/>
                <w:sz w:val="24"/>
                <w:szCs w:val="24"/>
                <w:highlight w:val="yellow"/>
              </w:rPr>
            </w:pPr>
            <w:r w:rsidRPr="00F57479">
              <w:rPr>
                <w:rFonts w:ascii="Times New Roman" w:hAnsi="Times New Roman" w:cs="Times New Roman"/>
                <w:b w:val="0"/>
                <w:color w:val="000000"/>
                <w:sz w:val="24"/>
                <w:szCs w:val="24"/>
                <w:highlight w:val="yellow"/>
              </w:rPr>
              <w:t>ALT, U/L</w:t>
            </w:r>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24 (19-34)</w:t>
            </w:r>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24 (19-35)</w:t>
            </w:r>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0.859</w:t>
            </w:r>
          </w:p>
        </w:tc>
      </w:tr>
      <w:tr w:rsidR="00DF41F2"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F57479" w:rsidRDefault="00DF41F2" w:rsidP="00C92CAD">
            <w:pPr>
              <w:jc w:val="both"/>
              <w:rPr>
                <w:rFonts w:ascii="Times New Roman" w:hAnsi="Times New Roman" w:cs="Times New Roman"/>
                <w:b w:val="0"/>
                <w:color w:val="000000"/>
                <w:sz w:val="24"/>
                <w:szCs w:val="24"/>
                <w:highlight w:val="yellow"/>
              </w:rPr>
            </w:pPr>
            <w:r w:rsidRPr="00F57479">
              <w:rPr>
                <w:rFonts w:ascii="Times New Roman" w:hAnsi="Times New Roman" w:cs="Times New Roman"/>
                <w:b w:val="0"/>
                <w:color w:val="000000"/>
                <w:sz w:val="24"/>
                <w:szCs w:val="24"/>
                <w:highlight w:val="yellow"/>
              </w:rPr>
              <w:t>GGT, U/L</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43 (28-84)</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39 (27-77)</w:t>
            </w:r>
          </w:p>
        </w:tc>
        <w:tc>
          <w:tcPr>
            <w:tcW w:w="0" w:type="auto"/>
            <w:shd w:val="clear" w:color="auto" w:fill="auto"/>
          </w:tcPr>
          <w:p w:rsidR="00DF41F2" w:rsidRPr="0009133C" w:rsidRDefault="00DF41F2" w:rsidP="00C92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0.356</w:t>
            </w:r>
          </w:p>
        </w:tc>
      </w:tr>
      <w:tr w:rsidR="00DF41F2" w:rsidRPr="00976BF8" w:rsidTr="00C92C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41F2" w:rsidRPr="00857337" w:rsidRDefault="00DF41F2" w:rsidP="00C92CAD">
            <w:pPr>
              <w:jc w:val="both"/>
              <w:rPr>
                <w:rFonts w:ascii="Times New Roman" w:hAnsi="Times New Roman" w:cs="Times New Roman"/>
                <w:b w:val="0"/>
                <w:color w:val="000000"/>
                <w:sz w:val="24"/>
                <w:szCs w:val="24"/>
                <w:highlight w:val="yellow"/>
              </w:rPr>
            </w:pPr>
            <w:r w:rsidRPr="00857337">
              <w:rPr>
                <w:rFonts w:ascii="Times New Roman" w:hAnsi="Times New Roman" w:cs="Times New Roman"/>
                <w:b w:val="0"/>
                <w:color w:val="000000"/>
                <w:sz w:val="24"/>
                <w:szCs w:val="24"/>
                <w:highlight w:val="yellow"/>
              </w:rPr>
              <w:t>Total bilirubin, mg/</w:t>
            </w:r>
            <w:proofErr w:type="spellStart"/>
            <w:r w:rsidRPr="00857337">
              <w:rPr>
                <w:rFonts w:ascii="Times New Roman" w:hAnsi="Times New Roman" w:cs="Times New Roman"/>
                <w:b w:val="0"/>
                <w:color w:val="000000"/>
                <w:sz w:val="24"/>
                <w:szCs w:val="24"/>
                <w:highlight w:val="yellow"/>
              </w:rPr>
              <w:t>dL</w:t>
            </w:r>
            <w:proofErr w:type="spellEnd"/>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0.7 (0.6-1.0)</w:t>
            </w:r>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0.7 (0.6-1.0)</w:t>
            </w:r>
          </w:p>
        </w:tc>
        <w:tc>
          <w:tcPr>
            <w:tcW w:w="0" w:type="auto"/>
            <w:shd w:val="clear" w:color="auto" w:fill="auto"/>
          </w:tcPr>
          <w:p w:rsidR="00DF41F2" w:rsidRPr="0009133C" w:rsidRDefault="00DF41F2" w:rsidP="00C92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09133C">
              <w:rPr>
                <w:rFonts w:ascii="Times New Roman" w:hAnsi="Times New Roman" w:cs="Times New Roman"/>
                <w:sz w:val="24"/>
                <w:szCs w:val="24"/>
                <w:highlight w:val="yellow"/>
              </w:rPr>
              <w:t>0.908</w:t>
            </w:r>
          </w:p>
        </w:tc>
      </w:tr>
    </w:tbl>
    <w:p w:rsidR="00DF41F2" w:rsidRPr="009A4920" w:rsidRDefault="00DF41F2" w:rsidP="00DF41F2">
      <w:pPr>
        <w:spacing w:after="0"/>
        <w:jc w:val="both"/>
        <w:rPr>
          <w:rFonts w:ascii="Times New Roman" w:hAnsi="Times New Roman" w:cs="Times New Roman"/>
          <w:sz w:val="18"/>
          <w:szCs w:val="18"/>
        </w:rPr>
      </w:pPr>
      <w:r w:rsidRPr="009A4920">
        <w:rPr>
          <w:rFonts w:ascii="Times New Roman" w:hAnsi="Times New Roman" w:cs="Times New Roman"/>
          <w:sz w:val="18"/>
          <w:szCs w:val="18"/>
          <w:highlight w:val="yellow"/>
        </w:rPr>
        <w:t>ALT, alanine aminotransferase; AST, aspartate aminotransferase;</w:t>
      </w:r>
      <w:r w:rsidRPr="009A4920">
        <w:rPr>
          <w:rFonts w:ascii="Times New Roman" w:hAnsi="Times New Roman" w:cs="Times New Roman"/>
          <w:sz w:val="18"/>
          <w:szCs w:val="18"/>
        </w:rPr>
        <w:t xml:space="preserve"> CKD, chronic kidney disease; </w:t>
      </w:r>
      <w:r w:rsidRPr="009A4920">
        <w:rPr>
          <w:rFonts w:ascii="Times New Roman" w:hAnsi="Times New Roman" w:cs="Times New Roman"/>
          <w:sz w:val="18"/>
          <w:szCs w:val="18"/>
          <w:highlight w:val="yellow"/>
        </w:rPr>
        <w:t>GGT,</w:t>
      </w:r>
      <w:r w:rsidRPr="009A4920">
        <w:rPr>
          <w:sz w:val="18"/>
          <w:szCs w:val="18"/>
          <w:highlight w:val="yellow"/>
        </w:rPr>
        <w:t xml:space="preserve"> </w:t>
      </w:r>
      <w:r w:rsidRPr="009A4920">
        <w:rPr>
          <w:rFonts w:ascii="Times New Roman" w:hAnsi="Times New Roman" w:cs="Times New Roman"/>
          <w:sz w:val="18"/>
          <w:szCs w:val="18"/>
          <w:highlight w:val="yellow"/>
        </w:rPr>
        <w:t xml:space="preserve">gamma </w:t>
      </w:r>
      <w:proofErr w:type="spellStart"/>
      <w:r w:rsidRPr="009A4920">
        <w:rPr>
          <w:rFonts w:ascii="Times New Roman" w:hAnsi="Times New Roman" w:cs="Times New Roman"/>
          <w:sz w:val="18"/>
          <w:szCs w:val="18"/>
          <w:highlight w:val="yellow"/>
        </w:rPr>
        <w:t>glutamyl</w:t>
      </w:r>
      <w:proofErr w:type="spellEnd"/>
      <w:r w:rsidRPr="009A4920">
        <w:rPr>
          <w:rFonts w:ascii="Times New Roman" w:hAnsi="Times New Roman" w:cs="Times New Roman"/>
          <w:sz w:val="18"/>
          <w:szCs w:val="18"/>
          <w:highlight w:val="yellow"/>
        </w:rPr>
        <w:t xml:space="preserve"> transferase;</w:t>
      </w:r>
      <w:r w:rsidRPr="009A4920">
        <w:rPr>
          <w:rFonts w:ascii="Times New Roman" w:hAnsi="Times New Roman" w:cs="Times New Roman"/>
          <w:sz w:val="18"/>
          <w:szCs w:val="18"/>
        </w:rPr>
        <w:t xml:space="preserve"> </w:t>
      </w:r>
      <w:proofErr w:type="spellStart"/>
      <w:r w:rsidRPr="009A4920">
        <w:rPr>
          <w:rFonts w:ascii="Times New Roman" w:hAnsi="Times New Roman" w:cs="Times New Roman"/>
          <w:sz w:val="18"/>
          <w:szCs w:val="18"/>
        </w:rPr>
        <w:t>HFpEF</w:t>
      </w:r>
      <w:proofErr w:type="spellEnd"/>
      <w:r w:rsidRPr="009A4920">
        <w:rPr>
          <w:rFonts w:ascii="Times New Roman" w:hAnsi="Times New Roman" w:cs="Times New Roman"/>
          <w:sz w:val="18"/>
          <w:szCs w:val="18"/>
        </w:rPr>
        <w:t xml:space="preserve">, heart failure with preserved ejection fraction; </w:t>
      </w:r>
      <w:proofErr w:type="spellStart"/>
      <w:r w:rsidRPr="009A4920">
        <w:rPr>
          <w:rFonts w:ascii="Times New Roman" w:hAnsi="Times New Roman" w:cs="Times New Roman"/>
          <w:sz w:val="18"/>
          <w:szCs w:val="18"/>
        </w:rPr>
        <w:t>HFrEF</w:t>
      </w:r>
      <w:proofErr w:type="spellEnd"/>
      <w:r w:rsidRPr="009A4920">
        <w:rPr>
          <w:rFonts w:ascii="Times New Roman" w:hAnsi="Times New Roman" w:cs="Times New Roman"/>
          <w:sz w:val="18"/>
          <w:szCs w:val="18"/>
        </w:rPr>
        <w:t>, heart failure with reduced ejection fraction; NYHA, New York Heart Association; RVD, right ventricular dysfunction; TIA, transient ischemic attack; TTR, time in therapeutic range.</w:t>
      </w:r>
    </w:p>
    <w:p w:rsidR="00DF41F2" w:rsidRDefault="00DF41F2">
      <w:pPr>
        <w:rPr>
          <w:rFonts w:ascii="Times New Roman" w:hAnsi="Times New Roman" w:cs="Times New Roman"/>
          <w:b/>
          <w:sz w:val="24"/>
          <w:szCs w:val="24"/>
        </w:rPr>
      </w:pPr>
    </w:p>
    <w:p w:rsidR="00677EA0" w:rsidRDefault="00677EA0">
      <w:pPr>
        <w:rPr>
          <w:rFonts w:ascii="Times New Roman" w:hAnsi="Times New Roman" w:cs="Times New Roman"/>
          <w:b/>
          <w:sz w:val="24"/>
          <w:szCs w:val="24"/>
        </w:rPr>
      </w:pPr>
    </w:p>
    <w:tbl>
      <w:tblPr>
        <w:tblStyle w:val="OrtaListe1"/>
        <w:tblW w:w="4770" w:type="pct"/>
        <w:tblLayout w:type="fixed"/>
        <w:tblLook w:val="04A0" w:firstRow="1" w:lastRow="0" w:firstColumn="1" w:lastColumn="0" w:noHBand="0" w:noVBand="1"/>
      </w:tblPr>
      <w:tblGrid>
        <w:gridCol w:w="4365"/>
        <w:gridCol w:w="1560"/>
        <w:gridCol w:w="1984"/>
        <w:gridCol w:w="1270"/>
      </w:tblGrid>
      <w:tr w:rsidR="00612DB7" w:rsidRPr="00976BF8" w:rsidTr="00C92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612DB7" w:rsidRPr="00166A6D" w:rsidRDefault="00612DB7" w:rsidP="00C92CAD">
            <w:pPr>
              <w:spacing w:line="276" w:lineRule="auto"/>
              <w:jc w:val="both"/>
              <w:rPr>
                <w:rFonts w:ascii="Times New Roman" w:hAnsi="Times New Roman" w:cs="Times New Roman"/>
                <w:sz w:val="24"/>
                <w:szCs w:val="24"/>
              </w:rPr>
            </w:pPr>
            <w:r>
              <w:rPr>
                <w:rFonts w:ascii="Times New Roman" w:hAnsi="Times New Roman" w:cs="Times New Roman"/>
                <w:sz w:val="24"/>
                <w:szCs w:val="24"/>
                <w:highlight w:val="yellow"/>
              </w:rPr>
              <w:lastRenderedPageBreak/>
              <w:t xml:space="preserve">Supplementary </w:t>
            </w:r>
            <w:r w:rsidRPr="00A1753C">
              <w:rPr>
                <w:rFonts w:ascii="Times New Roman" w:hAnsi="Times New Roman" w:cs="Times New Roman"/>
                <w:sz w:val="24"/>
                <w:szCs w:val="24"/>
                <w:highlight w:val="yellow"/>
              </w:rPr>
              <w:t xml:space="preserve">Table </w:t>
            </w:r>
            <w:r>
              <w:rPr>
                <w:rFonts w:ascii="Times New Roman" w:hAnsi="Times New Roman" w:cs="Times New Roman"/>
                <w:sz w:val="24"/>
                <w:szCs w:val="24"/>
                <w:highlight w:val="yellow"/>
              </w:rPr>
              <w:t>4</w:t>
            </w:r>
            <w:r w:rsidRPr="00A1753C">
              <w:rPr>
                <w:rFonts w:ascii="Times New Roman" w:hAnsi="Times New Roman" w:cs="Times New Roman"/>
                <w:sz w:val="24"/>
                <w:szCs w:val="24"/>
                <w:highlight w:val="yellow"/>
              </w:rPr>
              <w:t>.</w:t>
            </w:r>
            <w:r w:rsidRPr="00166A6D">
              <w:rPr>
                <w:rFonts w:ascii="Times New Roman" w:hAnsi="Times New Roman" w:cs="Times New Roman"/>
                <w:sz w:val="24"/>
                <w:szCs w:val="24"/>
              </w:rPr>
              <w:t xml:space="preserve"> </w:t>
            </w:r>
            <w:r w:rsidRPr="007110EE">
              <w:rPr>
                <w:rFonts w:ascii="Times New Roman" w:hAnsi="Times New Roman" w:cs="Times New Roman"/>
                <w:b w:val="0"/>
                <w:sz w:val="24"/>
                <w:szCs w:val="24"/>
              </w:rPr>
              <w:t>Characteristics of the warfarin therapy of study participants</w:t>
            </w:r>
            <w:r w:rsidRPr="007110EE">
              <w:rPr>
                <w:b w:val="0"/>
              </w:rPr>
              <w:t xml:space="preserve"> </w:t>
            </w:r>
            <w:r w:rsidRPr="007110EE">
              <w:rPr>
                <w:rFonts w:ascii="Times New Roman" w:hAnsi="Times New Roman" w:cs="Times New Roman"/>
                <w:b w:val="0"/>
                <w:sz w:val="24"/>
                <w:szCs w:val="24"/>
              </w:rPr>
              <w:t>according to quality of anticoagulation control</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tcBorders>
              <w:bottom w:val="single" w:sz="4" w:space="0" w:color="auto"/>
            </w:tcBorders>
            <w:shd w:val="clear" w:color="auto" w:fill="auto"/>
          </w:tcPr>
          <w:p w:rsidR="00612DB7" w:rsidRPr="006115FC" w:rsidRDefault="00612DB7" w:rsidP="00C92CAD">
            <w:pPr>
              <w:spacing w:line="276" w:lineRule="auto"/>
              <w:jc w:val="center"/>
              <w:rPr>
                <w:rFonts w:ascii="Times New Roman" w:hAnsi="Times New Roman" w:cs="Times New Roman"/>
                <w:sz w:val="24"/>
                <w:szCs w:val="24"/>
              </w:rPr>
            </w:pPr>
          </w:p>
        </w:tc>
        <w:tc>
          <w:tcPr>
            <w:tcW w:w="850" w:type="pct"/>
            <w:tcBorders>
              <w:bottom w:val="single" w:sz="4" w:space="0" w:color="auto"/>
            </w:tcBorders>
            <w:shd w:val="clear" w:color="auto" w:fill="auto"/>
          </w:tcPr>
          <w:p w:rsidR="00612DB7" w:rsidRPr="00A4267B"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TTR&lt;66%</w:t>
            </w:r>
          </w:p>
          <w:p w:rsidR="00612DB7" w:rsidRPr="00A4267B"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sz w:val="24"/>
                <w:szCs w:val="24"/>
              </w:rPr>
              <w:t>(n =</w:t>
            </w:r>
            <w:r>
              <w:rPr>
                <w:rFonts w:ascii="Times New Roman" w:hAnsi="Times New Roman" w:cs="Times New Roman"/>
                <w:sz w:val="24"/>
                <w:szCs w:val="24"/>
              </w:rPr>
              <w:t>548</w:t>
            </w:r>
            <w:r w:rsidRPr="00A4267B">
              <w:rPr>
                <w:rFonts w:ascii="Times New Roman" w:hAnsi="Times New Roman" w:cs="Times New Roman"/>
                <w:sz w:val="24"/>
                <w:szCs w:val="24"/>
              </w:rPr>
              <w:t>)</w:t>
            </w:r>
          </w:p>
        </w:tc>
        <w:tc>
          <w:tcPr>
            <w:tcW w:w="1081" w:type="pct"/>
            <w:tcBorders>
              <w:bottom w:val="single" w:sz="4" w:space="0" w:color="auto"/>
            </w:tcBorders>
            <w:shd w:val="clear" w:color="auto" w:fill="auto"/>
          </w:tcPr>
          <w:p w:rsidR="00612DB7" w:rsidRPr="00A4267B"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TTR≥66%</w:t>
            </w:r>
          </w:p>
          <w:p w:rsidR="00612DB7" w:rsidRPr="00A4267B"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sz w:val="24"/>
                <w:szCs w:val="24"/>
              </w:rPr>
              <w:t>(n =</w:t>
            </w:r>
            <w:r>
              <w:rPr>
                <w:rFonts w:ascii="Times New Roman" w:hAnsi="Times New Roman" w:cs="Times New Roman"/>
                <w:sz w:val="24"/>
                <w:szCs w:val="24"/>
              </w:rPr>
              <w:t>345</w:t>
            </w:r>
            <w:r w:rsidRPr="00A4267B">
              <w:rPr>
                <w:rFonts w:ascii="Times New Roman" w:hAnsi="Times New Roman" w:cs="Times New Roman"/>
                <w:sz w:val="24"/>
                <w:szCs w:val="24"/>
              </w:rPr>
              <w:t>)</w:t>
            </w:r>
          </w:p>
        </w:tc>
        <w:tc>
          <w:tcPr>
            <w:tcW w:w="693" w:type="pct"/>
            <w:tcBorders>
              <w:bottom w:val="single" w:sz="4" w:space="0" w:color="auto"/>
            </w:tcBorders>
            <w:shd w:val="clear" w:color="auto" w:fill="auto"/>
          </w:tcPr>
          <w:p w:rsidR="00612DB7" w:rsidRPr="00A4267B"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67B">
              <w:rPr>
                <w:rFonts w:ascii="Times New Roman" w:hAnsi="Times New Roman" w:cs="Times New Roman"/>
                <w:i/>
                <w:sz w:val="24"/>
                <w:szCs w:val="24"/>
              </w:rPr>
              <w:t>P</w:t>
            </w:r>
            <w:r w:rsidRPr="00A4267B">
              <w:rPr>
                <w:rFonts w:ascii="Times New Roman" w:hAnsi="Times New Roman" w:cs="Times New Roman"/>
                <w:sz w:val="24"/>
                <w:szCs w:val="24"/>
              </w:rPr>
              <w:t>-value</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tcBorders>
              <w:top w:val="single" w:sz="4" w:space="0" w:color="auto"/>
            </w:tcBorders>
            <w:shd w:val="clear" w:color="auto" w:fill="auto"/>
          </w:tcPr>
          <w:p w:rsidR="00612DB7" w:rsidRPr="002C3080" w:rsidRDefault="00612DB7" w:rsidP="00C92CAD">
            <w:pPr>
              <w:spacing w:line="276" w:lineRule="auto"/>
              <w:rPr>
                <w:rFonts w:ascii="Times New Roman" w:hAnsi="Times New Roman" w:cs="Times New Roman"/>
                <w:b w:val="0"/>
                <w:bCs w:val="0"/>
                <w:color w:val="000000"/>
                <w:sz w:val="24"/>
                <w:szCs w:val="24"/>
              </w:rPr>
            </w:pPr>
            <w:r w:rsidRPr="002C3080">
              <w:rPr>
                <w:rFonts w:ascii="Times New Roman" w:hAnsi="Times New Roman" w:cs="Times New Roman"/>
                <w:b w:val="0"/>
                <w:color w:val="000000"/>
                <w:sz w:val="24"/>
                <w:szCs w:val="24"/>
              </w:rPr>
              <w:t>Indications for warfarin</w:t>
            </w:r>
          </w:p>
        </w:tc>
        <w:tc>
          <w:tcPr>
            <w:tcW w:w="850" w:type="pct"/>
            <w:tcBorders>
              <w:top w:val="single" w:sz="4" w:space="0" w:color="auto"/>
            </w:tcBorders>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1" w:type="pct"/>
            <w:tcBorders>
              <w:top w:val="single" w:sz="4" w:space="0" w:color="auto"/>
            </w:tcBorders>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3" w:type="pct"/>
            <w:tcBorders>
              <w:top w:val="single" w:sz="4" w:space="0" w:color="auto"/>
            </w:tcBorders>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CB4376" w:rsidRDefault="00612DB7" w:rsidP="00C92CAD">
            <w:pPr>
              <w:spacing w:line="276" w:lineRule="auto"/>
              <w:rPr>
                <w:rFonts w:ascii="Times New Roman" w:hAnsi="Times New Roman" w:cs="Times New Roman"/>
                <w:b w:val="0"/>
                <w:color w:val="000000"/>
                <w:sz w:val="24"/>
                <w:szCs w:val="24"/>
              </w:rPr>
            </w:pPr>
            <w:r w:rsidRPr="00CB4376">
              <w:rPr>
                <w:rFonts w:ascii="Times New Roman" w:hAnsi="Times New Roman" w:cs="Times New Roman"/>
                <w:b w:val="0"/>
                <w:color w:val="000000"/>
                <w:sz w:val="24"/>
                <w:szCs w:val="24"/>
              </w:rPr>
              <w:t>AF (</w:t>
            </w:r>
            <w:proofErr w:type="spellStart"/>
            <w:r w:rsidRPr="00CB4376">
              <w:rPr>
                <w:rFonts w:ascii="Times New Roman" w:hAnsi="Times New Roman" w:cs="Times New Roman"/>
                <w:b w:val="0"/>
                <w:color w:val="000000"/>
                <w:sz w:val="24"/>
                <w:szCs w:val="24"/>
              </w:rPr>
              <w:t>valvular</w:t>
            </w:r>
            <w:proofErr w:type="spellEnd"/>
            <w:r w:rsidRPr="00CB4376">
              <w:rPr>
                <w:rFonts w:ascii="Times New Roman" w:hAnsi="Times New Roman" w:cs="Times New Roman"/>
                <w:b w:val="0"/>
                <w:color w:val="000000"/>
                <w:sz w:val="24"/>
                <w:szCs w:val="24"/>
              </w:rPr>
              <w:t xml:space="preserve"> and non-</w:t>
            </w:r>
            <w:proofErr w:type="spellStart"/>
            <w:r w:rsidRPr="00CB4376">
              <w:rPr>
                <w:rFonts w:ascii="Times New Roman" w:hAnsi="Times New Roman" w:cs="Times New Roman"/>
                <w:b w:val="0"/>
                <w:color w:val="000000"/>
                <w:sz w:val="24"/>
                <w:szCs w:val="24"/>
              </w:rPr>
              <w:t>valvular</w:t>
            </w:r>
            <w:proofErr w:type="spellEnd"/>
            <w:r w:rsidRPr="00CB4376">
              <w:rPr>
                <w:rFonts w:ascii="Times New Roman" w:hAnsi="Times New Roman" w:cs="Times New Roman"/>
                <w:b w:val="0"/>
                <w:color w:val="000000"/>
                <w:sz w:val="24"/>
                <w:szCs w:val="24"/>
              </w:rPr>
              <w:t>),%</w:t>
            </w:r>
          </w:p>
        </w:tc>
        <w:tc>
          <w:tcPr>
            <w:tcW w:w="850"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66.4</w:t>
            </w:r>
          </w:p>
        </w:tc>
        <w:tc>
          <w:tcPr>
            <w:tcW w:w="1081"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66.7</w:t>
            </w:r>
          </w:p>
        </w:tc>
        <w:tc>
          <w:tcPr>
            <w:tcW w:w="693"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0.940</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CB4376" w:rsidRDefault="00612DB7" w:rsidP="00C92CAD">
            <w:pPr>
              <w:spacing w:line="276" w:lineRule="auto"/>
              <w:rPr>
                <w:rFonts w:ascii="Times New Roman" w:hAnsi="Times New Roman" w:cs="Times New Roman"/>
                <w:b w:val="0"/>
                <w:bCs w:val="0"/>
                <w:color w:val="000000"/>
                <w:sz w:val="24"/>
                <w:szCs w:val="24"/>
              </w:rPr>
            </w:pPr>
            <w:r w:rsidRPr="00CB4376">
              <w:rPr>
                <w:rFonts w:ascii="Times New Roman" w:hAnsi="Times New Roman" w:cs="Times New Roman"/>
                <w:b w:val="0"/>
                <w:color w:val="000000"/>
                <w:sz w:val="24"/>
                <w:szCs w:val="24"/>
              </w:rPr>
              <w:t xml:space="preserve">Mechanical heart valves, % </w:t>
            </w:r>
          </w:p>
        </w:tc>
        <w:tc>
          <w:tcPr>
            <w:tcW w:w="850"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081"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693"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0.890</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CB4376" w:rsidRDefault="00612DB7" w:rsidP="00C92CAD">
            <w:pPr>
              <w:spacing w:line="276" w:lineRule="auto"/>
              <w:rPr>
                <w:rFonts w:ascii="Times New Roman" w:hAnsi="Times New Roman" w:cs="Times New Roman"/>
                <w:b w:val="0"/>
                <w:bCs w:val="0"/>
                <w:color w:val="000000"/>
                <w:sz w:val="24"/>
                <w:szCs w:val="24"/>
              </w:rPr>
            </w:pPr>
            <w:r w:rsidRPr="00CB4376">
              <w:rPr>
                <w:rFonts w:ascii="Times New Roman" w:hAnsi="Times New Roman" w:cs="Times New Roman"/>
                <w:b w:val="0"/>
                <w:color w:val="000000"/>
                <w:sz w:val="24"/>
                <w:szCs w:val="24"/>
              </w:rPr>
              <w:t>Venous thromboembolism, %</w:t>
            </w:r>
          </w:p>
        </w:tc>
        <w:tc>
          <w:tcPr>
            <w:tcW w:w="850"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081"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693"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0.645</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CB4376" w:rsidRDefault="00612DB7" w:rsidP="00C92CAD">
            <w:pPr>
              <w:spacing w:line="276" w:lineRule="auto"/>
              <w:rPr>
                <w:rFonts w:ascii="Times New Roman" w:hAnsi="Times New Roman" w:cs="Times New Roman"/>
                <w:b w:val="0"/>
                <w:bCs w:val="0"/>
                <w:color w:val="000000"/>
                <w:sz w:val="24"/>
                <w:szCs w:val="24"/>
              </w:rPr>
            </w:pPr>
            <w:r w:rsidRPr="00CB4376">
              <w:rPr>
                <w:rFonts w:ascii="Times New Roman" w:hAnsi="Times New Roman" w:cs="Times New Roman"/>
                <w:b w:val="0"/>
                <w:color w:val="000000"/>
                <w:sz w:val="24"/>
                <w:szCs w:val="24"/>
              </w:rPr>
              <w:t>Others</w:t>
            </w:r>
            <w:r>
              <w:rPr>
                <w:rFonts w:ascii="Times New Roman" w:hAnsi="Times New Roman" w:cs="Times New Roman"/>
                <w:b w:val="0"/>
                <w:color w:val="000000"/>
                <w:sz w:val="24"/>
                <w:szCs w:val="24"/>
              </w:rPr>
              <w:t>*</w:t>
            </w:r>
            <w:r w:rsidRPr="00CB4376">
              <w:rPr>
                <w:rFonts w:ascii="Times New Roman" w:hAnsi="Times New Roman" w:cs="Times New Roman"/>
                <w:b w:val="0"/>
                <w:color w:val="000000"/>
                <w:sz w:val="24"/>
                <w:szCs w:val="24"/>
              </w:rPr>
              <w:t>, %</w:t>
            </w:r>
          </w:p>
        </w:tc>
        <w:tc>
          <w:tcPr>
            <w:tcW w:w="850"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c>
          <w:tcPr>
            <w:tcW w:w="1081"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693"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0.659</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8-MMAS of warfarin adherence</w:t>
            </w:r>
          </w:p>
        </w:tc>
        <w:tc>
          <w:tcPr>
            <w:tcW w:w="850"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1"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3"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High (&gt;8), %</w:t>
            </w:r>
          </w:p>
        </w:tc>
        <w:tc>
          <w:tcPr>
            <w:tcW w:w="850"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w:t>
            </w:r>
          </w:p>
        </w:tc>
        <w:tc>
          <w:tcPr>
            <w:tcW w:w="1081"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23.8</w:t>
            </w:r>
          </w:p>
        </w:tc>
        <w:tc>
          <w:tcPr>
            <w:tcW w:w="693"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0.210</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Medium (6-&lt;8), %</w:t>
            </w:r>
          </w:p>
        </w:tc>
        <w:tc>
          <w:tcPr>
            <w:tcW w:w="850"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42.8</w:t>
            </w:r>
          </w:p>
        </w:tc>
        <w:tc>
          <w:tcPr>
            <w:tcW w:w="1081"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44.6</w:t>
            </w:r>
          </w:p>
        </w:tc>
        <w:tc>
          <w:tcPr>
            <w:tcW w:w="693"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0.607</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Low (&lt;6), %</w:t>
            </w:r>
          </w:p>
        </w:tc>
        <w:tc>
          <w:tcPr>
            <w:tcW w:w="850"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w:t>
            </w:r>
          </w:p>
        </w:tc>
        <w:tc>
          <w:tcPr>
            <w:tcW w:w="1081"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31.6</w:t>
            </w:r>
          </w:p>
        </w:tc>
        <w:tc>
          <w:tcPr>
            <w:tcW w:w="693" w:type="pct"/>
            <w:shd w:val="clear" w:color="auto" w:fill="auto"/>
          </w:tcPr>
          <w:p w:rsidR="00612DB7" w:rsidRPr="006115FC"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0.520</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ATRIA score</w:t>
            </w:r>
          </w:p>
        </w:tc>
        <w:tc>
          <w:tcPr>
            <w:tcW w:w="850"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(1-3)</w:t>
            </w:r>
          </w:p>
        </w:tc>
        <w:tc>
          <w:tcPr>
            <w:tcW w:w="1081"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(1-2)</w:t>
            </w:r>
          </w:p>
        </w:tc>
        <w:tc>
          <w:tcPr>
            <w:tcW w:w="693" w:type="pct"/>
            <w:shd w:val="clear" w:color="auto" w:fill="auto"/>
          </w:tcPr>
          <w:p w:rsidR="00612DB7" w:rsidRPr="006115FC"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0.003</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rPr>
                <w:rFonts w:ascii="Times New Roman" w:hAnsi="Times New Roman" w:cs="Times New Roman"/>
                <w:b w:val="0"/>
                <w:color w:val="000000"/>
                <w:sz w:val="24"/>
                <w:szCs w:val="24"/>
              </w:rPr>
            </w:pPr>
            <w:r w:rsidRPr="002C3080">
              <w:rPr>
                <w:rFonts w:ascii="Times New Roman" w:hAnsi="Times New Roman" w:cs="Times New Roman"/>
                <w:b w:val="0"/>
                <w:color w:val="000000"/>
                <w:sz w:val="24"/>
                <w:szCs w:val="24"/>
              </w:rPr>
              <w:t>Warfarin treatment</w:t>
            </w:r>
          </w:p>
        </w:tc>
        <w:tc>
          <w:tcPr>
            <w:tcW w:w="850"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1"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3"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jc w:val="both"/>
              <w:rPr>
                <w:rFonts w:ascii="Times New Roman" w:hAnsi="Times New Roman" w:cs="Times New Roman"/>
                <w:b w:val="0"/>
                <w:bCs w:val="0"/>
                <w:color w:val="000000"/>
                <w:sz w:val="24"/>
                <w:szCs w:val="24"/>
              </w:rPr>
            </w:pPr>
            <w:r w:rsidRPr="002C3080">
              <w:rPr>
                <w:rFonts w:ascii="Times New Roman" w:hAnsi="Times New Roman" w:cs="Times New Roman"/>
                <w:b w:val="0"/>
                <w:color w:val="000000"/>
                <w:sz w:val="24"/>
                <w:szCs w:val="24"/>
              </w:rPr>
              <w:t>Duration, years</w:t>
            </w:r>
          </w:p>
        </w:tc>
        <w:tc>
          <w:tcPr>
            <w:tcW w:w="850"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46E7">
              <w:rPr>
                <w:rFonts w:ascii="Times New Roman" w:hAnsi="Times New Roman" w:cs="Times New Roman"/>
                <w:sz w:val="24"/>
                <w:szCs w:val="24"/>
              </w:rPr>
              <w:t>3 (1-5)</w:t>
            </w:r>
          </w:p>
        </w:tc>
        <w:tc>
          <w:tcPr>
            <w:tcW w:w="1081"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46E7">
              <w:rPr>
                <w:rFonts w:ascii="Times New Roman" w:hAnsi="Times New Roman" w:cs="Times New Roman"/>
                <w:sz w:val="24"/>
                <w:szCs w:val="24"/>
              </w:rPr>
              <w:t>3 (1-5)</w:t>
            </w:r>
          </w:p>
        </w:tc>
        <w:tc>
          <w:tcPr>
            <w:tcW w:w="693"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0.822</w:t>
            </w:r>
          </w:p>
        </w:tc>
      </w:tr>
      <w:tr w:rsidR="00612DB7" w:rsidRPr="00976BF8" w:rsidTr="00C92CAD">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jc w:val="both"/>
              <w:rPr>
                <w:rFonts w:ascii="Times New Roman" w:hAnsi="Times New Roman" w:cs="Times New Roman"/>
                <w:b w:val="0"/>
                <w:bCs w:val="0"/>
                <w:color w:val="000000"/>
                <w:sz w:val="24"/>
                <w:szCs w:val="24"/>
              </w:rPr>
            </w:pPr>
            <w:r w:rsidRPr="002C3080">
              <w:rPr>
                <w:rFonts w:ascii="Times New Roman" w:hAnsi="Times New Roman" w:cs="Times New Roman"/>
                <w:b w:val="0"/>
                <w:color w:val="000000"/>
                <w:sz w:val="24"/>
                <w:szCs w:val="24"/>
              </w:rPr>
              <w:t>Total weekly dose, mg</w:t>
            </w:r>
          </w:p>
        </w:tc>
        <w:tc>
          <w:tcPr>
            <w:tcW w:w="850"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 (20-35)</w:t>
            </w:r>
          </w:p>
        </w:tc>
        <w:tc>
          <w:tcPr>
            <w:tcW w:w="1081"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 (23-35)</w:t>
            </w:r>
          </w:p>
        </w:tc>
        <w:tc>
          <w:tcPr>
            <w:tcW w:w="693" w:type="pct"/>
            <w:shd w:val="clear" w:color="auto" w:fill="auto"/>
          </w:tcPr>
          <w:p w:rsidR="00612DB7" w:rsidRPr="00F546E7" w:rsidRDefault="00612DB7" w:rsidP="00C92C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0.077</w:t>
            </w:r>
          </w:p>
        </w:tc>
      </w:tr>
      <w:tr w:rsidR="00612DB7" w:rsidRPr="00976BF8" w:rsidTr="00C9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pct"/>
            <w:shd w:val="clear" w:color="auto" w:fill="auto"/>
          </w:tcPr>
          <w:p w:rsidR="00612DB7" w:rsidRPr="002C3080" w:rsidRDefault="00612DB7" w:rsidP="00C92CAD">
            <w:pPr>
              <w:spacing w:line="276" w:lineRule="auto"/>
              <w:jc w:val="both"/>
              <w:rPr>
                <w:rFonts w:ascii="Times New Roman" w:hAnsi="Times New Roman" w:cs="Times New Roman"/>
                <w:b w:val="0"/>
                <w:bCs w:val="0"/>
                <w:color w:val="000000"/>
                <w:sz w:val="24"/>
                <w:szCs w:val="24"/>
              </w:rPr>
            </w:pPr>
            <w:r w:rsidRPr="002C3080">
              <w:rPr>
                <w:rFonts w:ascii="Times New Roman" w:hAnsi="Times New Roman" w:cs="Times New Roman"/>
                <w:b w:val="0"/>
                <w:color w:val="000000"/>
                <w:sz w:val="24"/>
                <w:szCs w:val="24"/>
              </w:rPr>
              <w:t>Number of INR test</w:t>
            </w:r>
            <w:r>
              <w:t xml:space="preserve"> </w:t>
            </w:r>
            <w:r w:rsidRPr="00766321">
              <w:rPr>
                <w:rFonts w:ascii="Times New Roman" w:hAnsi="Times New Roman" w:cs="Times New Roman"/>
                <w:b w:val="0"/>
                <w:color w:val="000000"/>
                <w:sz w:val="24"/>
                <w:szCs w:val="24"/>
              </w:rPr>
              <w:t>during index period</w:t>
            </w:r>
          </w:p>
        </w:tc>
        <w:tc>
          <w:tcPr>
            <w:tcW w:w="850"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(3-5)</w:t>
            </w:r>
          </w:p>
        </w:tc>
        <w:tc>
          <w:tcPr>
            <w:tcW w:w="1081"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(3-5)</w:t>
            </w:r>
          </w:p>
        </w:tc>
        <w:tc>
          <w:tcPr>
            <w:tcW w:w="693" w:type="pct"/>
            <w:shd w:val="clear" w:color="auto" w:fill="auto"/>
          </w:tcPr>
          <w:p w:rsidR="00612DB7" w:rsidRPr="00F546E7" w:rsidRDefault="00612DB7" w:rsidP="00C92C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0.596</w:t>
            </w:r>
          </w:p>
        </w:tc>
      </w:tr>
    </w:tbl>
    <w:p w:rsidR="00612DB7" w:rsidRPr="009A4920" w:rsidRDefault="00612DB7" w:rsidP="00612DB7">
      <w:pPr>
        <w:spacing w:after="0"/>
        <w:jc w:val="both"/>
        <w:rPr>
          <w:rFonts w:ascii="Times New Roman" w:hAnsi="Times New Roman" w:cs="Times New Roman"/>
          <w:sz w:val="18"/>
          <w:szCs w:val="18"/>
        </w:rPr>
      </w:pPr>
      <w:r w:rsidRPr="009A4920">
        <w:rPr>
          <w:rFonts w:ascii="Times New Roman" w:hAnsi="Times New Roman" w:cs="Times New Roman"/>
          <w:sz w:val="18"/>
          <w:szCs w:val="18"/>
        </w:rPr>
        <w:t xml:space="preserve">AF, atrial fibrillation; </w:t>
      </w:r>
      <w:proofErr w:type="spellStart"/>
      <w:r w:rsidRPr="009A4920">
        <w:rPr>
          <w:rFonts w:ascii="Times New Roman" w:hAnsi="Times New Roman" w:cs="Times New Roman"/>
          <w:sz w:val="18"/>
          <w:szCs w:val="18"/>
        </w:rPr>
        <w:t>HFpEF</w:t>
      </w:r>
      <w:proofErr w:type="spellEnd"/>
      <w:r w:rsidRPr="009A4920">
        <w:rPr>
          <w:rFonts w:ascii="Times New Roman" w:hAnsi="Times New Roman" w:cs="Times New Roman"/>
          <w:sz w:val="18"/>
          <w:szCs w:val="18"/>
        </w:rPr>
        <w:t xml:space="preserve">, heart failure with preserved ejection fraction; </w:t>
      </w:r>
      <w:proofErr w:type="spellStart"/>
      <w:r w:rsidRPr="009A4920">
        <w:rPr>
          <w:rFonts w:ascii="Times New Roman" w:hAnsi="Times New Roman" w:cs="Times New Roman"/>
          <w:sz w:val="18"/>
          <w:szCs w:val="18"/>
        </w:rPr>
        <w:t>HFrEF</w:t>
      </w:r>
      <w:proofErr w:type="spellEnd"/>
      <w:r w:rsidRPr="009A4920">
        <w:rPr>
          <w:rFonts w:ascii="Times New Roman" w:hAnsi="Times New Roman" w:cs="Times New Roman"/>
          <w:sz w:val="18"/>
          <w:szCs w:val="18"/>
        </w:rPr>
        <w:t xml:space="preserve">, heart failure with reduced ejection fraction; INR, international normalized ratio; 8-MMAS,eight-item </w:t>
      </w:r>
      <w:proofErr w:type="spellStart"/>
      <w:r w:rsidRPr="009A4920">
        <w:rPr>
          <w:rFonts w:ascii="Times New Roman" w:hAnsi="Times New Roman" w:cs="Times New Roman"/>
          <w:sz w:val="18"/>
          <w:szCs w:val="18"/>
        </w:rPr>
        <w:t>Morisky</w:t>
      </w:r>
      <w:proofErr w:type="spellEnd"/>
      <w:r w:rsidRPr="009A4920">
        <w:rPr>
          <w:rFonts w:ascii="Times New Roman" w:hAnsi="Times New Roman" w:cs="Times New Roman"/>
          <w:sz w:val="18"/>
          <w:szCs w:val="18"/>
        </w:rPr>
        <w:t xml:space="preserve"> Medication Adherence Scale; RVD, right ventricular dysfunction; TTR, time in therapeutic range. </w:t>
      </w:r>
    </w:p>
    <w:p w:rsidR="00612DB7" w:rsidRPr="009A4920" w:rsidRDefault="00612DB7" w:rsidP="00612DB7">
      <w:pPr>
        <w:spacing w:after="0"/>
        <w:jc w:val="both"/>
        <w:rPr>
          <w:rFonts w:ascii="Times New Roman" w:hAnsi="Times New Roman" w:cs="Times New Roman"/>
          <w:sz w:val="18"/>
          <w:szCs w:val="18"/>
        </w:rPr>
      </w:pPr>
      <w:r w:rsidRPr="009A4920">
        <w:rPr>
          <w:rFonts w:ascii="Times New Roman" w:hAnsi="Times New Roman" w:cs="Times New Roman"/>
          <w:sz w:val="18"/>
          <w:szCs w:val="18"/>
        </w:rPr>
        <w:t>*Cerebrovascular thromboembolism, peripheral arterial thrombosis, presence of left heart thrombus and prophylactic treatment.</w:t>
      </w:r>
    </w:p>
    <w:p w:rsidR="00612DB7" w:rsidRDefault="00612DB7">
      <w:pPr>
        <w:rPr>
          <w:rFonts w:ascii="Times New Roman" w:hAnsi="Times New Roman" w:cs="Times New Roman"/>
          <w:b/>
          <w:sz w:val="24"/>
          <w:szCs w:val="24"/>
        </w:rPr>
      </w:pPr>
    </w:p>
    <w:p w:rsidR="00E351B6" w:rsidRDefault="00E351B6" w:rsidP="00E351B6">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r w:rsidRPr="00DD25CA">
        <w:rPr>
          <w:rFonts w:ascii="Times New Roman" w:hAnsi="Times New Roman" w:cs="Times New Roman"/>
          <w:sz w:val="24"/>
          <w:szCs w:val="24"/>
          <w:lang w:val="tr-TR"/>
        </w:rPr>
        <w:t xml:space="preserve">Demirkan K, </w:t>
      </w:r>
      <w:proofErr w:type="spellStart"/>
      <w:r w:rsidRPr="00DD25CA">
        <w:rPr>
          <w:rFonts w:ascii="Times New Roman" w:hAnsi="Times New Roman" w:cs="Times New Roman"/>
          <w:sz w:val="24"/>
          <w:szCs w:val="24"/>
          <w:lang w:val="tr-TR"/>
        </w:rPr>
        <w:t>Stephens</w:t>
      </w:r>
      <w:proofErr w:type="spellEnd"/>
      <w:r w:rsidRPr="00DD25CA">
        <w:rPr>
          <w:rFonts w:ascii="Times New Roman" w:hAnsi="Times New Roman" w:cs="Times New Roman"/>
          <w:sz w:val="24"/>
          <w:szCs w:val="24"/>
          <w:lang w:val="tr-TR"/>
        </w:rPr>
        <w:t xml:space="preserve"> MA, </w:t>
      </w:r>
      <w:proofErr w:type="spellStart"/>
      <w:r w:rsidRPr="00DD25CA">
        <w:rPr>
          <w:rFonts w:ascii="Times New Roman" w:hAnsi="Times New Roman" w:cs="Times New Roman"/>
          <w:sz w:val="24"/>
          <w:szCs w:val="24"/>
          <w:lang w:val="tr-TR"/>
        </w:rPr>
        <w:t>Newman</w:t>
      </w:r>
      <w:proofErr w:type="spellEnd"/>
      <w:r w:rsidRPr="00DD25CA">
        <w:rPr>
          <w:rFonts w:ascii="Times New Roman" w:hAnsi="Times New Roman" w:cs="Times New Roman"/>
          <w:sz w:val="24"/>
          <w:szCs w:val="24"/>
          <w:lang w:val="tr-TR"/>
        </w:rPr>
        <w:t xml:space="preserve"> KP, Self TH. </w:t>
      </w:r>
      <w:proofErr w:type="spellStart"/>
      <w:r w:rsidRPr="00DD25CA">
        <w:rPr>
          <w:rFonts w:ascii="Times New Roman" w:hAnsi="Times New Roman" w:cs="Times New Roman"/>
          <w:sz w:val="24"/>
          <w:szCs w:val="24"/>
          <w:lang w:val="tr-TR"/>
        </w:rPr>
        <w:t>Response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to</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warfarin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other</w:t>
      </w:r>
      <w:proofErr w:type="spellEnd"/>
      <w:r w:rsidRPr="00DD25CA">
        <w:rPr>
          <w:rFonts w:ascii="Times New Roman" w:hAnsi="Times New Roman" w:cs="Times New Roman"/>
          <w:sz w:val="24"/>
          <w:szCs w:val="24"/>
          <w:lang w:val="tr-TR"/>
        </w:rPr>
        <w:t xml:space="preserve"> oral </w:t>
      </w:r>
      <w:proofErr w:type="spellStart"/>
      <w:r w:rsidRPr="00DD25CA">
        <w:rPr>
          <w:rFonts w:ascii="Times New Roman" w:hAnsi="Times New Roman" w:cs="Times New Roman"/>
          <w:sz w:val="24"/>
          <w:szCs w:val="24"/>
          <w:lang w:val="tr-TR"/>
        </w:rPr>
        <w:t>anticoagulants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effects</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disease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states</w:t>
      </w:r>
      <w:proofErr w:type="spellEnd"/>
      <w:r w:rsidRPr="00DD25CA">
        <w:rPr>
          <w:rFonts w:ascii="Times New Roman" w:hAnsi="Times New Roman" w:cs="Times New Roman"/>
          <w:sz w:val="24"/>
          <w:szCs w:val="24"/>
          <w:lang w:val="tr-TR"/>
        </w:rPr>
        <w:t xml:space="preserve">. South </w:t>
      </w:r>
      <w:proofErr w:type="spellStart"/>
      <w:r w:rsidRPr="00DD25CA">
        <w:rPr>
          <w:rFonts w:ascii="Times New Roman" w:hAnsi="Times New Roman" w:cs="Times New Roman"/>
          <w:sz w:val="24"/>
          <w:szCs w:val="24"/>
          <w:lang w:val="tr-TR"/>
        </w:rPr>
        <w:t>Med</w:t>
      </w:r>
      <w:proofErr w:type="spellEnd"/>
      <w:r w:rsidRPr="00DD25CA">
        <w:rPr>
          <w:rFonts w:ascii="Times New Roman" w:hAnsi="Times New Roman" w:cs="Times New Roman"/>
          <w:sz w:val="24"/>
          <w:szCs w:val="24"/>
          <w:lang w:val="tr-TR"/>
        </w:rPr>
        <w:t xml:space="preserve"> J 2000</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93</w:t>
      </w:r>
      <w:r w:rsidRPr="00DD25CA">
        <w:rPr>
          <w:rFonts w:ascii="Times New Roman" w:hAnsi="Times New Roman" w:cs="Times New Roman"/>
          <w:sz w:val="24"/>
          <w:szCs w:val="24"/>
          <w:lang w:val="tr-TR"/>
        </w:rPr>
        <w:t>:448</w:t>
      </w:r>
      <w:proofErr w:type="gramEnd"/>
      <w:r w:rsidRPr="00DD25CA">
        <w:rPr>
          <w:rFonts w:ascii="Times New Roman" w:hAnsi="Times New Roman" w:cs="Times New Roman"/>
          <w:sz w:val="24"/>
          <w:szCs w:val="24"/>
          <w:lang w:val="tr-TR"/>
        </w:rPr>
        <w:t>-</w:t>
      </w:r>
      <w:r>
        <w:rPr>
          <w:rFonts w:ascii="Times New Roman" w:hAnsi="Times New Roman" w:cs="Times New Roman"/>
          <w:sz w:val="24"/>
          <w:szCs w:val="24"/>
          <w:lang w:val="tr-TR"/>
        </w:rPr>
        <w:t>4</w:t>
      </w:r>
      <w:r w:rsidRPr="00DD25CA">
        <w:rPr>
          <w:rFonts w:ascii="Times New Roman" w:hAnsi="Times New Roman" w:cs="Times New Roman"/>
          <w:sz w:val="24"/>
          <w:szCs w:val="24"/>
          <w:lang w:val="tr-TR"/>
        </w:rPr>
        <w:t>54.</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r w:rsidRPr="00DD25CA">
        <w:rPr>
          <w:rFonts w:ascii="Times New Roman" w:hAnsi="Times New Roman" w:cs="Times New Roman"/>
          <w:sz w:val="24"/>
          <w:szCs w:val="24"/>
          <w:lang w:val="tr-TR"/>
        </w:rPr>
        <w:t xml:space="preserve">White PJ. </w:t>
      </w:r>
      <w:proofErr w:type="spellStart"/>
      <w:r w:rsidRPr="00DD25CA">
        <w:rPr>
          <w:rFonts w:ascii="Times New Roman" w:hAnsi="Times New Roman" w:cs="Times New Roman"/>
          <w:sz w:val="24"/>
          <w:szCs w:val="24"/>
          <w:lang w:val="tr-TR"/>
        </w:rPr>
        <w:t>Patient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factors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that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influence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warfarin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dose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response</w:t>
      </w:r>
      <w:proofErr w:type="spellEnd"/>
      <w:r w:rsidRPr="00DD25CA">
        <w:rPr>
          <w:rFonts w:ascii="Times New Roman" w:hAnsi="Times New Roman" w:cs="Times New Roman"/>
          <w:sz w:val="24"/>
          <w:szCs w:val="24"/>
          <w:lang w:val="tr-TR"/>
        </w:rPr>
        <w:t xml:space="preserve">. J </w:t>
      </w:r>
      <w:proofErr w:type="spellStart"/>
      <w:r w:rsidRPr="00DD25CA">
        <w:rPr>
          <w:rFonts w:ascii="Times New Roman" w:hAnsi="Times New Roman" w:cs="Times New Roman"/>
          <w:sz w:val="24"/>
          <w:szCs w:val="24"/>
          <w:lang w:val="tr-TR"/>
        </w:rPr>
        <w:t>Pharm</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Pract</w:t>
      </w:r>
      <w:proofErr w:type="spellEnd"/>
      <w:r w:rsidRPr="00DD25CA">
        <w:rPr>
          <w:rFonts w:ascii="Times New Roman" w:hAnsi="Times New Roman" w:cs="Times New Roman"/>
          <w:sz w:val="24"/>
          <w:szCs w:val="24"/>
          <w:lang w:val="tr-TR"/>
        </w:rPr>
        <w:t xml:space="preserve"> 2010;</w:t>
      </w:r>
      <w:proofErr w:type="gramStart"/>
      <w:r w:rsidRPr="00DD25CA">
        <w:rPr>
          <w:rFonts w:ascii="Times New Roman" w:hAnsi="Times New Roman" w:cs="Times New Roman"/>
          <w:sz w:val="24"/>
          <w:szCs w:val="24"/>
          <w:lang w:val="tr-TR"/>
        </w:rPr>
        <w:t>23:194</w:t>
      </w:r>
      <w:proofErr w:type="gramEnd"/>
      <w:r w:rsidRPr="00DD25CA">
        <w:rPr>
          <w:rFonts w:ascii="Times New Roman" w:hAnsi="Times New Roman" w:cs="Times New Roman"/>
          <w:sz w:val="24"/>
          <w:szCs w:val="24"/>
          <w:lang w:val="tr-TR"/>
        </w:rPr>
        <w:t>-204.</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proofErr w:type="spellStart"/>
      <w:r w:rsidRPr="00DD25CA">
        <w:rPr>
          <w:rFonts w:ascii="Times New Roman" w:hAnsi="Times New Roman" w:cs="Times New Roman"/>
          <w:sz w:val="24"/>
          <w:szCs w:val="24"/>
          <w:lang w:val="tr-TR"/>
        </w:rPr>
        <w:t>Fang</w:t>
      </w:r>
      <w:proofErr w:type="spellEnd"/>
      <w:r w:rsidRPr="00DD25CA">
        <w:rPr>
          <w:rFonts w:ascii="Times New Roman" w:hAnsi="Times New Roman" w:cs="Times New Roman"/>
          <w:sz w:val="24"/>
          <w:szCs w:val="24"/>
          <w:lang w:val="tr-TR"/>
        </w:rPr>
        <w:t xml:space="preserve"> MC, </w:t>
      </w:r>
      <w:proofErr w:type="spellStart"/>
      <w:r w:rsidRPr="00DD25CA">
        <w:rPr>
          <w:rFonts w:ascii="Times New Roman" w:hAnsi="Times New Roman" w:cs="Times New Roman"/>
          <w:sz w:val="24"/>
          <w:szCs w:val="24"/>
          <w:lang w:val="tr-TR"/>
        </w:rPr>
        <w:t>Go</w:t>
      </w:r>
      <w:proofErr w:type="spellEnd"/>
      <w:r w:rsidRPr="00DD25CA">
        <w:rPr>
          <w:rFonts w:ascii="Times New Roman" w:hAnsi="Times New Roman" w:cs="Times New Roman"/>
          <w:sz w:val="24"/>
          <w:szCs w:val="24"/>
          <w:lang w:val="tr-TR"/>
        </w:rPr>
        <w:t xml:space="preserve"> AS, </w:t>
      </w:r>
      <w:proofErr w:type="spellStart"/>
      <w:r w:rsidRPr="00DD25CA">
        <w:rPr>
          <w:rFonts w:ascii="Times New Roman" w:hAnsi="Times New Roman" w:cs="Times New Roman"/>
          <w:sz w:val="24"/>
          <w:szCs w:val="24"/>
          <w:lang w:val="tr-TR"/>
        </w:rPr>
        <w:t>Chang</w:t>
      </w:r>
      <w:proofErr w:type="spellEnd"/>
      <w:r w:rsidRPr="00DD25CA">
        <w:rPr>
          <w:rFonts w:ascii="Times New Roman" w:hAnsi="Times New Roman" w:cs="Times New Roman"/>
          <w:sz w:val="24"/>
          <w:szCs w:val="24"/>
          <w:lang w:val="tr-TR"/>
        </w:rPr>
        <w:t xml:space="preserve"> Y, </w:t>
      </w:r>
      <w:proofErr w:type="spellStart"/>
      <w:r w:rsidRPr="00DD25CA">
        <w:rPr>
          <w:rFonts w:ascii="Times New Roman" w:hAnsi="Times New Roman" w:cs="Times New Roman"/>
          <w:sz w:val="24"/>
          <w:szCs w:val="24"/>
          <w:lang w:val="tr-TR"/>
        </w:rPr>
        <w:t>Borowsky</w:t>
      </w:r>
      <w:proofErr w:type="spellEnd"/>
      <w:r w:rsidRPr="00DD25CA">
        <w:rPr>
          <w:rFonts w:ascii="Times New Roman" w:hAnsi="Times New Roman" w:cs="Times New Roman"/>
          <w:sz w:val="24"/>
          <w:szCs w:val="24"/>
          <w:lang w:val="tr-TR"/>
        </w:rPr>
        <w:t xml:space="preserve"> LH, </w:t>
      </w:r>
      <w:proofErr w:type="spellStart"/>
      <w:r w:rsidRPr="00DD25CA">
        <w:rPr>
          <w:rFonts w:ascii="Times New Roman" w:hAnsi="Times New Roman" w:cs="Times New Roman"/>
          <w:sz w:val="24"/>
          <w:szCs w:val="24"/>
          <w:lang w:val="tr-TR"/>
        </w:rPr>
        <w:t>Pomernacki</w:t>
      </w:r>
      <w:proofErr w:type="spellEnd"/>
      <w:r w:rsidRPr="00DD25CA">
        <w:rPr>
          <w:rFonts w:ascii="Times New Roman" w:hAnsi="Times New Roman" w:cs="Times New Roman"/>
          <w:sz w:val="24"/>
          <w:szCs w:val="24"/>
          <w:lang w:val="tr-TR"/>
        </w:rPr>
        <w:t xml:space="preserve"> NK, </w:t>
      </w:r>
      <w:proofErr w:type="spellStart"/>
      <w:r w:rsidRPr="00DD25CA">
        <w:rPr>
          <w:rFonts w:ascii="Times New Roman" w:hAnsi="Times New Roman" w:cs="Times New Roman"/>
          <w:sz w:val="24"/>
          <w:szCs w:val="24"/>
          <w:lang w:val="tr-TR"/>
        </w:rPr>
        <w:t>Udaltsova</w:t>
      </w:r>
      <w:proofErr w:type="spellEnd"/>
      <w:r w:rsidRPr="00DD25CA">
        <w:rPr>
          <w:rFonts w:ascii="Times New Roman" w:hAnsi="Times New Roman" w:cs="Times New Roman"/>
          <w:sz w:val="24"/>
          <w:szCs w:val="24"/>
          <w:lang w:val="tr-TR"/>
        </w:rPr>
        <w:t xml:space="preserve"> N, </w:t>
      </w:r>
      <w:proofErr w:type="spellStart"/>
      <w:r w:rsidRPr="00DD25CA">
        <w:rPr>
          <w:rFonts w:ascii="Times New Roman" w:hAnsi="Times New Roman" w:cs="Times New Roman"/>
          <w:sz w:val="24"/>
          <w:szCs w:val="24"/>
          <w:lang w:val="tr-TR"/>
        </w:rPr>
        <w:t>Singer</w:t>
      </w:r>
      <w:proofErr w:type="spellEnd"/>
      <w:r w:rsidRPr="00DD25CA">
        <w:rPr>
          <w:rFonts w:ascii="Times New Roman" w:hAnsi="Times New Roman" w:cs="Times New Roman"/>
          <w:sz w:val="24"/>
          <w:szCs w:val="24"/>
          <w:lang w:val="tr-TR"/>
        </w:rPr>
        <w:t xml:space="preserve"> DE. A </w:t>
      </w:r>
      <w:proofErr w:type="spellStart"/>
      <w:r w:rsidRPr="00DD25CA">
        <w:rPr>
          <w:rFonts w:ascii="Times New Roman" w:hAnsi="Times New Roman" w:cs="Times New Roman"/>
          <w:sz w:val="24"/>
          <w:szCs w:val="24"/>
          <w:lang w:val="tr-TR"/>
        </w:rPr>
        <w:t>new</w:t>
      </w:r>
      <w:proofErr w:type="spellEnd"/>
      <w:r w:rsidRPr="00DD25CA">
        <w:rPr>
          <w:rFonts w:ascii="Times New Roman" w:hAnsi="Times New Roman" w:cs="Times New Roman"/>
          <w:sz w:val="24"/>
          <w:szCs w:val="24"/>
          <w:lang w:val="tr-TR"/>
        </w:rPr>
        <w:t xml:space="preserve"> risk </w:t>
      </w:r>
      <w:proofErr w:type="spellStart"/>
      <w:r w:rsidRPr="00DD25CA">
        <w:rPr>
          <w:rFonts w:ascii="Times New Roman" w:hAnsi="Times New Roman" w:cs="Times New Roman"/>
          <w:sz w:val="24"/>
          <w:szCs w:val="24"/>
          <w:lang w:val="tr-TR"/>
        </w:rPr>
        <w:t>scheme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to</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predict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warfarin-associated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hemorrhage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ATRIA (</w:t>
      </w:r>
      <w:proofErr w:type="spellStart"/>
      <w:r w:rsidRPr="00DD25CA">
        <w:rPr>
          <w:rFonts w:ascii="Times New Roman" w:hAnsi="Times New Roman" w:cs="Times New Roman"/>
          <w:sz w:val="24"/>
          <w:szCs w:val="24"/>
          <w:lang w:val="tr-TR"/>
        </w:rPr>
        <w:t>Anticoagulation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Risk </w:t>
      </w:r>
      <w:proofErr w:type="spellStart"/>
      <w:r w:rsidRPr="00DD25CA">
        <w:rPr>
          <w:rFonts w:ascii="Times New Roman" w:hAnsi="Times New Roman" w:cs="Times New Roman"/>
          <w:sz w:val="24"/>
          <w:szCs w:val="24"/>
          <w:lang w:val="tr-TR"/>
        </w:rPr>
        <w:t>Factors</w:t>
      </w:r>
      <w:proofErr w:type="spellEnd"/>
      <w:r w:rsidRPr="00DD25CA">
        <w:rPr>
          <w:rFonts w:ascii="Times New Roman" w:hAnsi="Times New Roman" w:cs="Times New Roman"/>
          <w:sz w:val="24"/>
          <w:szCs w:val="24"/>
          <w:lang w:val="tr-TR"/>
        </w:rPr>
        <w:t xml:space="preserve"> in </w:t>
      </w:r>
      <w:proofErr w:type="spellStart"/>
      <w:r w:rsidRPr="00DD25CA">
        <w:rPr>
          <w:rFonts w:ascii="Times New Roman" w:hAnsi="Times New Roman" w:cs="Times New Roman"/>
          <w:sz w:val="24"/>
          <w:szCs w:val="24"/>
          <w:lang w:val="tr-TR"/>
        </w:rPr>
        <w:t>Atrial</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Fibrillation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Study</w:t>
      </w:r>
      <w:proofErr w:type="spellEnd"/>
      <w:r w:rsidRPr="00DD25CA">
        <w:rPr>
          <w:rFonts w:ascii="Times New Roman" w:hAnsi="Times New Roman" w:cs="Times New Roman"/>
          <w:sz w:val="24"/>
          <w:szCs w:val="24"/>
          <w:lang w:val="tr-TR"/>
        </w:rPr>
        <w:t xml:space="preserve">. J </w:t>
      </w:r>
      <w:proofErr w:type="spellStart"/>
      <w:r w:rsidRPr="00DD25CA">
        <w:rPr>
          <w:rFonts w:ascii="Times New Roman" w:hAnsi="Times New Roman" w:cs="Times New Roman"/>
          <w:sz w:val="24"/>
          <w:szCs w:val="24"/>
          <w:lang w:val="tr-TR"/>
        </w:rPr>
        <w:t>Am</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Coll</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Cardiol</w:t>
      </w:r>
      <w:proofErr w:type="spellEnd"/>
      <w:r>
        <w:rPr>
          <w:rFonts w:ascii="Times New Roman" w:hAnsi="Times New Roman" w:cs="Times New Roman"/>
          <w:sz w:val="24"/>
          <w:szCs w:val="24"/>
          <w:lang w:val="tr-TR"/>
        </w:rPr>
        <w:t xml:space="preserve"> 2011</w:t>
      </w:r>
      <w:r w:rsidRPr="00DD25CA">
        <w:rPr>
          <w:rFonts w:ascii="Times New Roman" w:hAnsi="Times New Roman" w:cs="Times New Roman"/>
          <w:sz w:val="24"/>
          <w:szCs w:val="24"/>
          <w:lang w:val="tr-TR"/>
        </w:rPr>
        <w:t>;</w:t>
      </w:r>
      <w:proofErr w:type="gramStart"/>
      <w:r w:rsidRPr="00DD25CA">
        <w:rPr>
          <w:rFonts w:ascii="Times New Roman" w:hAnsi="Times New Roman" w:cs="Times New Roman"/>
          <w:sz w:val="24"/>
          <w:szCs w:val="24"/>
          <w:lang w:val="tr-TR"/>
        </w:rPr>
        <w:t>58:395</w:t>
      </w:r>
      <w:proofErr w:type="gramEnd"/>
      <w:r w:rsidRPr="00DD25CA">
        <w:rPr>
          <w:rFonts w:ascii="Times New Roman" w:hAnsi="Times New Roman" w:cs="Times New Roman"/>
          <w:sz w:val="24"/>
          <w:szCs w:val="24"/>
          <w:lang w:val="tr-TR"/>
        </w:rPr>
        <w:t>-401.</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proofErr w:type="spellStart"/>
      <w:r w:rsidRPr="00DD25CA">
        <w:rPr>
          <w:rFonts w:ascii="Times New Roman" w:hAnsi="Times New Roman" w:cs="Times New Roman"/>
          <w:sz w:val="24"/>
          <w:szCs w:val="24"/>
          <w:lang w:val="tr-TR"/>
        </w:rPr>
        <w:t>Morisky</w:t>
      </w:r>
      <w:proofErr w:type="spellEnd"/>
      <w:r w:rsidRPr="00DD25CA">
        <w:rPr>
          <w:rFonts w:ascii="Times New Roman" w:hAnsi="Times New Roman" w:cs="Times New Roman"/>
          <w:sz w:val="24"/>
          <w:szCs w:val="24"/>
          <w:lang w:val="tr-TR"/>
        </w:rPr>
        <w:t xml:space="preserve"> DE, </w:t>
      </w:r>
      <w:proofErr w:type="spellStart"/>
      <w:r w:rsidRPr="00DD25CA">
        <w:rPr>
          <w:rFonts w:ascii="Times New Roman" w:hAnsi="Times New Roman" w:cs="Times New Roman"/>
          <w:sz w:val="24"/>
          <w:szCs w:val="24"/>
          <w:lang w:val="tr-TR"/>
        </w:rPr>
        <w:t>Ang</w:t>
      </w:r>
      <w:proofErr w:type="spellEnd"/>
      <w:r w:rsidRPr="00DD25CA">
        <w:rPr>
          <w:rFonts w:ascii="Times New Roman" w:hAnsi="Times New Roman" w:cs="Times New Roman"/>
          <w:sz w:val="24"/>
          <w:szCs w:val="24"/>
          <w:lang w:val="tr-TR"/>
        </w:rPr>
        <w:t xml:space="preserve"> A, </w:t>
      </w:r>
      <w:proofErr w:type="spellStart"/>
      <w:r w:rsidRPr="00DD25CA">
        <w:rPr>
          <w:rFonts w:ascii="Times New Roman" w:hAnsi="Times New Roman" w:cs="Times New Roman"/>
          <w:sz w:val="24"/>
          <w:szCs w:val="24"/>
          <w:lang w:val="tr-TR"/>
        </w:rPr>
        <w:t>Krousel-Wood</w:t>
      </w:r>
      <w:proofErr w:type="spellEnd"/>
      <w:r w:rsidRPr="00DD25CA">
        <w:rPr>
          <w:rFonts w:ascii="Times New Roman" w:hAnsi="Times New Roman" w:cs="Times New Roman"/>
          <w:sz w:val="24"/>
          <w:szCs w:val="24"/>
          <w:lang w:val="tr-TR"/>
        </w:rPr>
        <w:t xml:space="preserve"> M, </w:t>
      </w:r>
      <w:proofErr w:type="spellStart"/>
      <w:r w:rsidRPr="00DD25CA">
        <w:rPr>
          <w:rFonts w:ascii="Times New Roman" w:hAnsi="Times New Roman" w:cs="Times New Roman"/>
          <w:sz w:val="24"/>
          <w:szCs w:val="24"/>
          <w:lang w:val="tr-TR"/>
        </w:rPr>
        <w:t>Ward</w:t>
      </w:r>
      <w:proofErr w:type="spellEnd"/>
      <w:r w:rsidRPr="00DD25CA">
        <w:rPr>
          <w:rFonts w:ascii="Times New Roman" w:hAnsi="Times New Roman" w:cs="Times New Roman"/>
          <w:sz w:val="24"/>
          <w:szCs w:val="24"/>
          <w:lang w:val="tr-TR"/>
        </w:rPr>
        <w:t xml:space="preserve"> HJ. </w:t>
      </w:r>
      <w:proofErr w:type="spellStart"/>
      <w:r w:rsidRPr="00DD25CA">
        <w:rPr>
          <w:rFonts w:ascii="Times New Roman" w:hAnsi="Times New Roman" w:cs="Times New Roman"/>
          <w:sz w:val="24"/>
          <w:szCs w:val="24"/>
          <w:lang w:val="tr-TR"/>
        </w:rPr>
        <w:t>Predictive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validity</w:t>
      </w:r>
      <w:proofErr w:type="spellEnd"/>
      <w:r w:rsidRPr="00DD25CA">
        <w:rPr>
          <w:rFonts w:ascii="Times New Roman" w:hAnsi="Times New Roman" w:cs="Times New Roman"/>
          <w:sz w:val="24"/>
          <w:szCs w:val="24"/>
          <w:lang w:val="tr-TR"/>
        </w:rPr>
        <w:t xml:space="preserve"> of a </w:t>
      </w:r>
      <w:proofErr w:type="spellStart"/>
      <w:r w:rsidRPr="00DD25CA">
        <w:rPr>
          <w:rFonts w:ascii="Times New Roman" w:hAnsi="Times New Roman" w:cs="Times New Roman"/>
          <w:sz w:val="24"/>
          <w:szCs w:val="24"/>
          <w:lang w:val="tr-TR"/>
        </w:rPr>
        <w:t>medication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adherence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measure</w:t>
      </w:r>
      <w:proofErr w:type="spellEnd"/>
      <w:r w:rsidRPr="00DD25CA">
        <w:rPr>
          <w:rFonts w:ascii="Times New Roman" w:hAnsi="Times New Roman" w:cs="Times New Roman"/>
          <w:sz w:val="24"/>
          <w:szCs w:val="24"/>
          <w:lang w:val="tr-TR"/>
        </w:rPr>
        <w:t xml:space="preserve"> in an </w:t>
      </w:r>
      <w:proofErr w:type="spellStart"/>
      <w:r w:rsidRPr="00DD25CA">
        <w:rPr>
          <w:rFonts w:ascii="Times New Roman" w:hAnsi="Times New Roman" w:cs="Times New Roman"/>
          <w:sz w:val="24"/>
          <w:szCs w:val="24"/>
          <w:lang w:val="tr-TR"/>
        </w:rPr>
        <w:t>outpatient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setting</w:t>
      </w:r>
      <w:proofErr w:type="spellEnd"/>
      <w:r w:rsidRPr="00DD25CA">
        <w:rPr>
          <w:rFonts w:ascii="Times New Roman" w:hAnsi="Times New Roman" w:cs="Times New Roman"/>
          <w:sz w:val="24"/>
          <w:szCs w:val="24"/>
          <w:lang w:val="tr-TR"/>
        </w:rPr>
        <w:t xml:space="preserve">. J </w:t>
      </w:r>
      <w:proofErr w:type="spellStart"/>
      <w:r w:rsidRPr="00DD25CA">
        <w:rPr>
          <w:rFonts w:ascii="Times New Roman" w:hAnsi="Times New Roman" w:cs="Times New Roman"/>
          <w:sz w:val="24"/>
          <w:szCs w:val="24"/>
          <w:lang w:val="tr-TR"/>
        </w:rPr>
        <w:t>Clin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Hypertens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Greenwich</w:t>
      </w:r>
      <w:proofErr w:type="spellEnd"/>
      <w:r w:rsidRPr="00DD25CA">
        <w:rPr>
          <w:rFonts w:ascii="Times New Roman" w:hAnsi="Times New Roman" w:cs="Times New Roman"/>
          <w:sz w:val="24"/>
          <w:szCs w:val="24"/>
          <w:lang w:val="tr-TR"/>
        </w:rPr>
        <w:t>) 2008;</w:t>
      </w:r>
      <w:proofErr w:type="gramStart"/>
      <w:r w:rsidRPr="00DD25CA">
        <w:rPr>
          <w:rFonts w:ascii="Times New Roman" w:hAnsi="Times New Roman" w:cs="Times New Roman"/>
          <w:sz w:val="24"/>
          <w:szCs w:val="24"/>
          <w:lang w:val="tr-TR"/>
        </w:rPr>
        <w:t>10:348</w:t>
      </w:r>
      <w:proofErr w:type="gramEnd"/>
      <w:r w:rsidRPr="00DD25CA">
        <w:rPr>
          <w:rFonts w:ascii="Times New Roman" w:hAnsi="Times New Roman" w:cs="Times New Roman"/>
          <w:sz w:val="24"/>
          <w:szCs w:val="24"/>
          <w:lang w:val="tr-TR"/>
        </w:rPr>
        <w:t>–354.</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proofErr w:type="spellStart"/>
      <w:r w:rsidRPr="00DD25CA">
        <w:rPr>
          <w:rFonts w:ascii="Times New Roman" w:hAnsi="Times New Roman" w:cs="Times New Roman"/>
          <w:sz w:val="24"/>
          <w:szCs w:val="24"/>
          <w:lang w:val="tr-TR"/>
        </w:rPr>
        <w:t>Lang</w:t>
      </w:r>
      <w:proofErr w:type="spellEnd"/>
      <w:r w:rsidRPr="00DD25CA">
        <w:rPr>
          <w:rFonts w:ascii="Times New Roman" w:hAnsi="Times New Roman" w:cs="Times New Roman"/>
          <w:sz w:val="24"/>
          <w:szCs w:val="24"/>
          <w:lang w:val="tr-TR"/>
        </w:rPr>
        <w:t xml:space="preserve"> RM, </w:t>
      </w:r>
      <w:proofErr w:type="spellStart"/>
      <w:r w:rsidRPr="00DD25CA">
        <w:rPr>
          <w:rFonts w:ascii="Times New Roman" w:hAnsi="Times New Roman" w:cs="Times New Roman"/>
          <w:sz w:val="24"/>
          <w:szCs w:val="24"/>
          <w:lang w:val="tr-TR"/>
        </w:rPr>
        <w:t>Badano</w:t>
      </w:r>
      <w:proofErr w:type="spellEnd"/>
      <w:r w:rsidRPr="00DD25CA">
        <w:rPr>
          <w:rFonts w:ascii="Times New Roman" w:hAnsi="Times New Roman" w:cs="Times New Roman"/>
          <w:sz w:val="24"/>
          <w:szCs w:val="24"/>
          <w:lang w:val="tr-TR"/>
        </w:rPr>
        <w:t xml:space="preserve"> LP, Mor-</w:t>
      </w:r>
      <w:proofErr w:type="spellStart"/>
      <w:r w:rsidRPr="00DD25CA">
        <w:rPr>
          <w:rFonts w:ascii="Times New Roman" w:hAnsi="Times New Roman" w:cs="Times New Roman"/>
          <w:sz w:val="24"/>
          <w:szCs w:val="24"/>
          <w:lang w:val="tr-TR"/>
        </w:rPr>
        <w:t>Avi</w:t>
      </w:r>
      <w:proofErr w:type="spellEnd"/>
      <w:r w:rsidRPr="00DD25CA">
        <w:rPr>
          <w:rFonts w:ascii="Times New Roman" w:hAnsi="Times New Roman" w:cs="Times New Roman"/>
          <w:sz w:val="24"/>
          <w:szCs w:val="24"/>
          <w:lang w:val="tr-TR"/>
        </w:rPr>
        <w:t xml:space="preserve"> V, </w:t>
      </w:r>
      <w:proofErr w:type="spellStart"/>
      <w:r w:rsidRPr="00DD25CA">
        <w:rPr>
          <w:rFonts w:ascii="Times New Roman" w:hAnsi="Times New Roman" w:cs="Times New Roman"/>
          <w:sz w:val="24"/>
          <w:szCs w:val="24"/>
          <w:lang w:val="tr-TR"/>
        </w:rPr>
        <w:t>Afilalo</w:t>
      </w:r>
      <w:proofErr w:type="spellEnd"/>
      <w:r w:rsidRPr="00DD25CA">
        <w:rPr>
          <w:rFonts w:ascii="Times New Roman" w:hAnsi="Times New Roman" w:cs="Times New Roman"/>
          <w:sz w:val="24"/>
          <w:szCs w:val="24"/>
          <w:lang w:val="tr-TR"/>
        </w:rPr>
        <w:t xml:space="preserve"> J, Armstrong A, </w:t>
      </w:r>
      <w:proofErr w:type="spellStart"/>
      <w:r w:rsidRPr="00DD25CA">
        <w:rPr>
          <w:rFonts w:ascii="Times New Roman" w:hAnsi="Times New Roman" w:cs="Times New Roman"/>
          <w:sz w:val="24"/>
          <w:szCs w:val="24"/>
          <w:lang w:val="tr-TR"/>
        </w:rPr>
        <w:t>Ernande</w:t>
      </w:r>
      <w:proofErr w:type="spellEnd"/>
      <w:r w:rsidRPr="00DD25CA">
        <w:rPr>
          <w:rFonts w:ascii="Times New Roman" w:hAnsi="Times New Roman" w:cs="Times New Roman"/>
          <w:sz w:val="24"/>
          <w:szCs w:val="24"/>
          <w:lang w:val="tr-TR"/>
        </w:rPr>
        <w:t xml:space="preserve"> L, </w:t>
      </w:r>
      <w:proofErr w:type="spellStart"/>
      <w:r w:rsidRPr="00DD25CA">
        <w:rPr>
          <w:rFonts w:ascii="Times New Roman" w:hAnsi="Times New Roman" w:cs="Times New Roman"/>
          <w:sz w:val="24"/>
          <w:szCs w:val="24"/>
          <w:lang w:val="tr-TR"/>
        </w:rPr>
        <w:t>Flachskampf</w:t>
      </w:r>
      <w:proofErr w:type="spellEnd"/>
      <w:r w:rsidRPr="00DD25CA">
        <w:rPr>
          <w:rFonts w:ascii="Times New Roman" w:hAnsi="Times New Roman" w:cs="Times New Roman"/>
          <w:sz w:val="24"/>
          <w:szCs w:val="24"/>
          <w:lang w:val="tr-TR"/>
        </w:rPr>
        <w:t xml:space="preserve"> FA, </w:t>
      </w:r>
      <w:proofErr w:type="spellStart"/>
      <w:r w:rsidRPr="00DD25CA">
        <w:rPr>
          <w:rFonts w:ascii="Times New Roman" w:hAnsi="Times New Roman" w:cs="Times New Roman"/>
          <w:sz w:val="24"/>
          <w:szCs w:val="24"/>
          <w:lang w:val="tr-TR"/>
        </w:rPr>
        <w:t>Foster</w:t>
      </w:r>
      <w:proofErr w:type="spellEnd"/>
      <w:r w:rsidRPr="00DD25CA">
        <w:rPr>
          <w:rFonts w:ascii="Times New Roman" w:hAnsi="Times New Roman" w:cs="Times New Roman"/>
          <w:sz w:val="24"/>
          <w:szCs w:val="24"/>
          <w:lang w:val="tr-TR"/>
        </w:rPr>
        <w:t xml:space="preserve"> E, </w:t>
      </w:r>
      <w:proofErr w:type="spellStart"/>
      <w:r w:rsidRPr="00DD25CA">
        <w:rPr>
          <w:rFonts w:ascii="Times New Roman" w:hAnsi="Times New Roman" w:cs="Times New Roman"/>
          <w:sz w:val="24"/>
          <w:szCs w:val="24"/>
          <w:lang w:val="tr-TR"/>
        </w:rPr>
        <w:t>Goldstein</w:t>
      </w:r>
      <w:proofErr w:type="spellEnd"/>
      <w:r w:rsidRPr="00DD25CA">
        <w:rPr>
          <w:rFonts w:ascii="Times New Roman" w:hAnsi="Times New Roman" w:cs="Times New Roman"/>
          <w:sz w:val="24"/>
          <w:szCs w:val="24"/>
          <w:lang w:val="tr-TR"/>
        </w:rPr>
        <w:t xml:space="preserve"> SA, </w:t>
      </w:r>
      <w:proofErr w:type="spellStart"/>
      <w:r w:rsidRPr="00DD25CA">
        <w:rPr>
          <w:rFonts w:ascii="Times New Roman" w:hAnsi="Times New Roman" w:cs="Times New Roman"/>
          <w:sz w:val="24"/>
          <w:szCs w:val="24"/>
          <w:lang w:val="tr-TR"/>
        </w:rPr>
        <w:t>Kuznetsova</w:t>
      </w:r>
      <w:proofErr w:type="spellEnd"/>
      <w:r w:rsidRPr="00DD25CA">
        <w:rPr>
          <w:rFonts w:ascii="Times New Roman" w:hAnsi="Times New Roman" w:cs="Times New Roman"/>
          <w:sz w:val="24"/>
          <w:szCs w:val="24"/>
          <w:lang w:val="tr-TR"/>
        </w:rPr>
        <w:t xml:space="preserve"> T, </w:t>
      </w:r>
      <w:proofErr w:type="spellStart"/>
      <w:r w:rsidRPr="00DD25CA">
        <w:rPr>
          <w:rFonts w:ascii="Times New Roman" w:hAnsi="Times New Roman" w:cs="Times New Roman"/>
          <w:sz w:val="24"/>
          <w:szCs w:val="24"/>
          <w:lang w:val="tr-TR"/>
        </w:rPr>
        <w:t>Lancellotti</w:t>
      </w:r>
      <w:proofErr w:type="spellEnd"/>
      <w:r w:rsidRPr="00DD25CA">
        <w:rPr>
          <w:rFonts w:ascii="Times New Roman" w:hAnsi="Times New Roman" w:cs="Times New Roman"/>
          <w:sz w:val="24"/>
          <w:szCs w:val="24"/>
          <w:lang w:val="tr-TR"/>
        </w:rPr>
        <w:t xml:space="preserve"> P, </w:t>
      </w:r>
      <w:proofErr w:type="spellStart"/>
      <w:r w:rsidRPr="00DD25CA">
        <w:rPr>
          <w:rFonts w:ascii="Times New Roman" w:hAnsi="Times New Roman" w:cs="Times New Roman"/>
          <w:sz w:val="24"/>
          <w:szCs w:val="24"/>
          <w:lang w:val="tr-TR"/>
        </w:rPr>
        <w:t>Muraru</w:t>
      </w:r>
      <w:proofErr w:type="spellEnd"/>
      <w:r w:rsidRPr="00DD25CA">
        <w:rPr>
          <w:rFonts w:ascii="Times New Roman" w:hAnsi="Times New Roman" w:cs="Times New Roman"/>
          <w:sz w:val="24"/>
          <w:szCs w:val="24"/>
          <w:lang w:val="tr-TR"/>
        </w:rPr>
        <w:t xml:space="preserve"> D, </w:t>
      </w:r>
      <w:proofErr w:type="spellStart"/>
      <w:r w:rsidRPr="00DD25CA">
        <w:rPr>
          <w:rFonts w:ascii="Times New Roman" w:hAnsi="Times New Roman" w:cs="Times New Roman"/>
          <w:sz w:val="24"/>
          <w:szCs w:val="24"/>
          <w:lang w:val="tr-TR"/>
        </w:rPr>
        <w:t>Picard</w:t>
      </w:r>
      <w:proofErr w:type="spellEnd"/>
      <w:r w:rsidRPr="00DD25CA">
        <w:rPr>
          <w:rFonts w:ascii="Times New Roman" w:hAnsi="Times New Roman" w:cs="Times New Roman"/>
          <w:sz w:val="24"/>
          <w:szCs w:val="24"/>
          <w:lang w:val="tr-TR"/>
        </w:rPr>
        <w:t xml:space="preserve"> MH, </w:t>
      </w:r>
      <w:proofErr w:type="spellStart"/>
      <w:r w:rsidRPr="00DD25CA">
        <w:rPr>
          <w:rFonts w:ascii="Times New Roman" w:hAnsi="Times New Roman" w:cs="Times New Roman"/>
          <w:sz w:val="24"/>
          <w:szCs w:val="24"/>
          <w:lang w:val="tr-TR"/>
        </w:rPr>
        <w:t>Rietzschel</w:t>
      </w:r>
      <w:proofErr w:type="spellEnd"/>
      <w:r w:rsidRPr="00DD25CA">
        <w:rPr>
          <w:rFonts w:ascii="Times New Roman" w:hAnsi="Times New Roman" w:cs="Times New Roman"/>
          <w:sz w:val="24"/>
          <w:szCs w:val="24"/>
          <w:lang w:val="tr-TR"/>
        </w:rPr>
        <w:t xml:space="preserve"> ER, </w:t>
      </w:r>
      <w:proofErr w:type="spellStart"/>
      <w:r w:rsidRPr="00DD25CA">
        <w:rPr>
          <w:rFonts w:ascii="Times New Roman" w:hAnsi="Times New Roman" w:cs="Times New Roman"/>
          <w:sz w:val="24"/>
          <w:szCs w:val="24"/>
          <w:lang w:val="tr-TR"/>
        </w:rPr>
        <w:t>Rudski</w:t>
      </w:r>
      <w:proofErr w:type="spellEnd"/>
      <w:r w:rsidRPr="00DD25CA">
        <w:rPr>
          <w:rFonts w:ascii="Times New Roman" w:hAnsi="Times New Roman" w:cs="Times New Roman"/>
          <w:sz w:val="24"/>
          <w:szCs w:val="24"/>
          <w:lang w:val="tr-TR"/>
        </w:rPr>
        <w:t xml:space="preserve"> L, </w:t>
      </w:r>
      <w:proofErr w:type="spellStart"/>
      <w:r w:rsidRPr="00DD25CA">
        <w:rPr>
          <w:rFonts w:ascii="Times New Roman" w:hAnsi="Times New Roman" w:cs="Times New Roman"/>
          <w:sz w:val="24"/>
          <w:szCs w:val="24"/>
          <w:lang w:val="tr-TR"/>
        </w:rPr>
        <w:t>Spencer</w:t>
      </w:r>
      <w:proofErr w:type="spellEnd"/>
      <w:r w:rsidRPr="00DD25CA">
        <w:rPr>
          <w:rFonts w:ascii="Times New Roman" w:hAnsi="Times New Roman" w:cs="Times New Roman"/>
          <w:sz w:val="24"/>
          <w:szCs w:val="24"/>
          <w:lang w:val="tr-TR"/>
        </w:rPr>
        <w:t xml:space="preserve"> KT, </w:t>
      </w:r>
      <w:proofErr w:type="spellStart"/>
      <w:r w:rsidRPr="00DD25CA">
        <w:rPr>
          <w:rFonts w:ascii="Times New Roman" w:hAnsi="Times New Roman" w:cs="Times New Roman"/>
          <w:sz w:val="24"/>
          <w:szCs w:val="24"/>
          <w:lang w:val="tr-TR"/>
        </w:rPr>
        <w:t>Tsang</w:t>
      </w:r>
      <w:proofErr w:type="spellEnd"/>
      <w:r w:rsidRPr="00DD25CA">
        <w:rPr>
          <w:rFonts w:ascii="Times New Roman" w:hAnsi="Times New Roman" w:cs="Times New Roman"/>
          <w:sz w:val="24"/>
          <w:szCs w:val="24"/>
          <w:lang w:val="tr-TR"/>
        </w:rPr>
        <w:t xml:space="preserve"> W, </w:t>
      </w:r>
      <w:proofErr w:type="spellStart"/>
      <w:r w:rsidRPr="00DD25CA">
        <w:rPr>
          <w:rFonts w:ascii="Times New Roman" w:hAnsi="Times New Roman" w:cs="Times New Roman"/>
          <w:sz w:val="24"/>
          <w:szCs w:val="24"/>
          <w:lang w:val="tr-TR"/>
        </w:rPr>
        <w:t>Voigt</w:t>
      </w:r>
      <w:proofErr w:type="spellEnd"/>
      <w:r w:rsidRPr="00DD25CA">
        <w:rPr>
          <w:rFonts w:ascii="Times New Roman" w:hAnsi="Times New Roman" w:cs="Times New Roman"/>
          <w:sz w:val="24"/>
          <w:szCs w:val="24"/>
          <w:lang w:val="tr-TR"/>
        </w:rPr>
        <w:t xml:space="preserve"> JU. </w:t>
      </w:r>
      <w:proofErr w:type="spellStart"/>
      <w:r w:rsidRPr="00DD25CA">
        <w:rPr>
          <w:rFonts w:ascii="Times New Roman" w:hAnsi="Times New Roman" w:cs="Times New Roman"/>
          <w:sz w:val="24"/>
          <w:szCs w:val="24"/>
          <w:lang w:val="tr-TR"/>
        </w:rPr>
        <w:t>Recommendations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for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cardiac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chamber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lastRenderedPageBreak/>
        <w:t>quantification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by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echocardiography</w:t>
      </w:r>
      <w:proofErr w:type="spellEnd"/>
      <w:r w:rsidRPr="00DD25CA">
        <w:rPr>
          <w:rFonts w:ascii="Times New Roman" w:hAnsi="Times New Roman" w:cs="Times New Roman"/>
          <w:sz w:val="24"/>
          <w:szCs w:val="24"/>
          <w:lang w:val="tr-TR"/>
        </w:rPr>
        <w:t xml:space="preserve"> in </w:t>
      </w:r>
      <w:proofErr w:type="spellStart"/>
      <w:r w:rsidRPr="00DD25CA">
        <w:rPr>
          <w:rFonts w:ascii="Times New Roman" w:hAnsi="Times New Roman" w:cs="Times New Roman"/>
          <w:sz w:val="24"/>
          <w:szCs w:val="24"/>
          <w:lang w:val="tr-TR"/>
        </w:rPr>
        <w:t>adults</w:t>
      </w:r>
      <w:proofErr w:type="spellEnd"/>
      <w:r w:rsidRPr="00DD25CA">
        <w:rPr>
          <w:rFonts w:ascii="Times New Roman" w:hAnsi="Times New Roman" w:cs="Times New Roman"/>
          <w:sz w:val="24"/>
          <w:szCs w:val="24"/>
          <w:lang w:val="tr-TR"/>
        </w:rPr>
        <w:t xml:space="preserve">: an </w:t>
      </w:r>
      <w:proofErr w:type="spellStart"/>
      <w:r w:rsidRPr="00DD25CA">
        <w:rPr>
          <w:rFonts w:ascii="Times New Roman" w:hAnsi="Times New Roman" w:cs="Times New Roman"/>
          <w:sz w:val="24"/>
          <w:szCs w:val="24"/>
          <w:lang w:val="tr-TR"/>
        </w:rPr>
        <w:t>update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from</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American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Society</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Echocardiography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European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Association</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Cardiovascular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Imaging</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Eur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J </w:t>
      </w:r>
      <w:proofErr w:type="spellStart"/>
      <w:r w:rsidRPr="00DD25CA">
        <w:rPr>
          <w:rFonts w:ascii="Times New Roman" w:hAnsi="Times New Roman" w:cs="Times New Roman"/>
          <w:sz w:val="24"/>
          <w:szCs w:val="24"/>
          <w:lang w:val="tr-TR"/>
        </w:rPr>
        <w:t>Cardiovasc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Imaging</w:t>
      </w:r>
      <w:proofErr w:type="spellEnd"/>
      <w:r w:rsidRPr="00DD25CA">
        <w:rPr>
          <w:rFonts w:ascii="Times New Roman" w:hAnsi="Times New Roman" w:cs="Times New Roman"/>
          <w:sz w:val="24"/>
          <w:szCs w:val="24"/>
          <w:lang w:val="tr-TR"/>
        </w:rPr>
        <w:t xml:space="preserve"> 2015;</w:t>
      </w:r>
      <w:proofErr w:type="gramStart"/>
      <w:r w:rsidRPr="00DD25CA">
        <w:rPr>
          <w:rFonts w:ascii="Times New Roman" w:hAnsi="Times New Roman" w:cs="Times New Roman"/>
          <w:sz w:val="24"/>
          <w:szCs w:val="24"/>
          <w:lang w:val="tr-TR"/>
        </w:rPr>
        <w:t>16:233</w:t>
      </w:r>
      <w:proofErr w:type="gramEnd"/>
      <w:r w:rsidRPr="00DD25CA">
        <w:rPr>
          <w:rFonts w:ascii="Times New Roman" w:hAnsi="Times New Roman" w:cs="Times New Roman"/>
          <w:sz w:val="24"/>
          <w:szCs w:val="24"/>
          <w:lang w:val="tr-TR"/>
        </w:rPr>
        <w:t>-</w:t>
      </w:r>
      <w:r>
        <w:rPr>
          <w:rFonts w:ascii="Times New Roman" w:hAnsi="Times New Roman" w:cs="Times New Roman"/>
          <w:sz w:val="24"/>
          <w:szCs w:val="24"/>
          <w:lang w:val="tr-TR"/>
        </w:rPr>
        <w:t>2</w:t>
      </w:r>
      <w:r w:rsidRPr="00DD25CA">
        <w:rPr>
          <w:rFonts w:ascii="Times New Roman" w:hAnsi="Times New Roman" w:cs="Times New Roman"/>
          <w:sz w:val="24"/>
          <w:szCs w:val="24"/>
          <w:lang w:val="tr-TR"/>
        </w:rPr>
        <w:t>70.</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proofErr w:type="spellStart"/>
      <w:r w:rsidRPr="00DD25CA">
        <w:rPr>
          <w:rFonts w:ascii="Times New Roman" w:hAnsi="Times New Roman" w:cs="Times New Roman"/>
          <w:sz w:val="24"/>
          <w:szCs w:val="24"/>
          <w:lang w:val="tr-TR"/>
        </w:rPr>
        <w:t>Nagueh</w:t>
      </w:r>
      <w:proofErr w:type="spellEnd"/>
      <w:r w:rsidRPr="00DD25CA">
        <w:rPr>
          <w:rFonts w:ascii="Times New Roman" w:hAnsi="Times New Roman" w:cs="Times New Roman"/>
          <w:sz w:val="24"/>
          <w:szCs w:val="24"/>
          <w:lang w:val="tr-TR"/>
        </w:rPr>
        <w:t xml:space="preserve"> SF, </w:t>
      </w:r>
      <w:proofErr w:type="spellStart"/>
      <w:r w:rsidRPr="00DD25CA">
        <w:rPr>
          <w:rFonts w:ascii="Times New Roman" w:hAnsi="Times New Roman" w:cs="Times New Roman"/>
          <w:sz w:val="24"/>
          <w:szCs w:val="24"/>
          <w:lang w:val="tr-TR"/>
        </w:rPr>
        <w:t>Appleton</w:t>
      </w:r>
      <w:proofErr w:type="spellEnd"/>
      <w:r w:rsidRPr="00DD25CA">
        <w:rPr>
          <w:rFonts w:ascii="Times New Roman" w:hAnsi="Times New Roman" w:cs="Times New Roman"/>
          <w:sz w:val="24"/>
          <w:szCs w:val="24"/>
          <w:lang w:val="tr-TR"/>
        </w:rPr>
        <w:t xml:space="preserve"> CP, </w:t>
      </w:r>
      <w:proofErr w:type="spellStart"/>
      <w:r w:rsidRPr="00DD25CA">
        <w:rPr>
          <w:rFonts w:ascii="Times New Roman" w:hAnsi="Times New Roman" w:cs="Times New Roman"/>
          <w:sz w:val="24"/>
          <w:szCs w:val="24"/>
          <w:lang w:val="tr-TR"/>
        </w:rPr>
        <w:t>Gillebert</w:t>
      </w:r>
      <w:proofErr w:type="spellEnd"/>
      <w:r w:rsidRPr="00DD25CA">
        <w:rPr>
          <w:rFonts w:ascii="Times New Roman" w:hAnsi="Times New Roman" w:cs="Times New Roman"/>
          <w:sz w:val="24"/>
          <w:szCs w:val="24"/>
          <w:lang w:val="tr-TR"/>
        </w:rPr>
        <w:t xml:space="preserve"> TC, Marino PN, Oh JK, </w:t>
      </w:r>
      <w:proofErr w:type="spellStart"/>
      <w:r w:rsidRPr="00DD25CA">
        <w:rPr>
          <w:rFonts w:ascii="Times New Roman" w:hAnsi="Times New Roman" w:cs="Times New Roman"/>
          <w:sz w:val="24"/>
          <w:szCs w:val="24"/>
          <w:lang w:val="tr-TR"/>
        </w:rPr>
        <w:t>Smiseth</w:t>
      </w:r>
      <w:proofErr w:type="spellEnd"/>
      <w:r w:rsidRPr="00DD25CA">
        <w:rPr>
          <w:rFonts w:ascii="Times New Roman" w:hAnsi="Times New Roman" w:cs="Times New Roman"/>
          <w:sz w:val="24"/>
          <w:szCs w:val="24"/>
          <w:lang w:val="tr-TR"/>
        </w:rPr>
        <w:t xml:space="preserve"> OA, </w:t>
      </w:r>
      <w:proofErr w:type="spellStart"/>
      <w:r w:rsidRPr="00DD25CA">
        <w:rPr>
          <w:rFonts w:ascii="Times New Roman" w:hAnsi="Times New Roman" w:cs="Times New Roman"/>
          <w:sz w:val="24"/>
          <w:szCs w:val="24"/>
          <w:lang w:val="tr-TR"/>
        </w:rPr>
        <w:t>Waggoner</w:t>
      </w:r>
      <w:proofErr w:type="spellEnd"/>
      <w:r w:rsidRPr="00DD25CA">
        <w:rPr>
          <w:rFonts w:ascii="Times New Roman" w:hAnsi="Times New Roman" w:cs="Times New Roman"/>
          <w:sz w:val="24"/>
          <w:szCs w:val="24"/>
          <w:lang w:val="tr-TR"/>
        </w:rPr>
        <w:t xml:space="preserve"> AD, </w:t>
      </w:r>
      <w:proofErr w:type="spellStart"/>
      <w:r w:rsidRPr="00DD25CA">
        <w:rPr>
          <w:rFonts w:ascii="Times New Roman" w:hAnsi="Times New Roman" w:cs="Times New Roman"/>
          <w:sz w:val="24"/>
          <w:szCs w:val="24"/>
          <w:lang w:val="tr-TR"/>
        </w:rPr>
        <w:t>Flachskampf</w:t>
      </w:r>
      <w:proofErr w:type="spellEnd"/>
      <w:r w:rsidRPr="00DD25CA">
        <w:rPr>
          <w:rFonts w:ascii="Times New Roman" w:hAnsi="Times New Roman" w:cs="Times New Roman"/>
          <w:sz w:val="24"/>
          <w:szCs w:val="24"/>
          <w:lang w:val="tr-TR"/>
        </w:rPr>
        <w:t xml:space="preserve"> FA, </w:t>
      </w:r>
      <w:proofErr w:type="spellStart"/>
      <w:r w:rsidRPr="00DD25CA">
        <w:rPr>
          <w:rFonts w:ascii="Times New Roman" w:hAnsi="Times New Roman" w:cs="Times New Roman"/>
          <w:sz w:val="24"/>
          <w:szCs w:val="24"/>
          <w:lang w:val="tr-TR"/>
        </w:rPr>
        <w:t>Pellikka</w:t>
      </w:r>
      <w:proofErr w:type="spellEnd"/>
      <w:r w:rsidRPr="00DD25CA">
        <w:rPr>
          <w:rFonts w:ascii="Times New Roman" w:hAnsi="Times New Roman" w:cs="Times New Roman"/>
          <w:sz w:val="24"/>
          <w:szCs w:val="24"/>
          <w:lang w:val="tr-TR"/>
        </w:rPr>
        <w:t xml:space="preserve"> PA, </w:t>
      </w:r>
      <w:proofErr w:type="spellStart"/>
      <w:r w:rsidRPr="00DD25CA">
        <w:rPr>
          <w:rFonts w:ascii="Times New Roman" w:hAnsi="Times New Roman" w:cs="Times New Roman"/>
          <w:sz w:val="24"/>
          <w:szCs w:val="24"/>
          <w:lang w:val="tr-TR"/>
        </w:rPr>
        <w:t>Evangelisa</w:t>
      </w:r>
      <w:proofErr w:type="spellEnd"/>
      <w:r w:rsidRPr="00DD25CA">
        <w:rPr>
          <w:rFonts w:ascii="Times New Roman" w:hAnsi="Times New Roman" w:cs="Times New Roman"/>
          <w:sz w:val="24"/>
          <w:szCs w:val="24"/>
          <w:lang w:val="tr-TR"/>
        </w:rPr>
        <w:t xml:space="preserve"> A. </w:t>
      </w:r>
      <w:proofErr w:type="spellStart"/>
      <w:r w:rsidRPr="00DD25CA">
        <w:rPr>
          <w:rFonts w:ascii="Times New Roman" w:hAnsi="Times New Roman" w:cs="Times New Roman"/>
          <w:sz w:val="24"/>
          <w:szCs w:val="24"/>
          <w:lang w:val="tr-TR"/>
        </w:rPr>
        <w:t>Recommendations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for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evaluation</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left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ventricular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diastolic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function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by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echoc</w:t>
      </w:r>
      <w:r>
        <w:rPr>
          <w:rFonts w:ascii="Times New Roman" w:hAnsi="Times New Roman" w:cs="Times New Roman"/>
          <w:sz w:val="24"/>
          <w:szCs w:val="24"/>
          <w:lang w:val="tr-TR"/>
        </w:rPr>
        <w:t>ardiography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Eur</w:t>
      </w:r>
      <w:proofErr w:type="spellEnd"/>
      <w:r>
        <w:rPr>
          <w:rFonts w:ascii="Times New Roman" w:hAnsi="Times New Roman" w:cs="Times New Roman"/>
          <w:sz w:val="24"/>
          <w:szCs w:val="24"/>
          <w:lang w:val="tr-TR"/>
        </w:rPr>
        <w:t xml:space="preserve"> J </w:t>
      </w:r>
      <w:proofErr w:type="spellStart"/>
      <w:r>
        <w:rPr>
          <w:rFonts w:ascii="Times New Roman" w:hAnsi="Times New Roman" w:cs="Times New Roman"/>
          <w:sz w:val="24"/>
          <w:szCs w:val="24"/>
          <w:lang w:val="tr-TR"/>
        </w:rPr>
        <w:t>Echocardiogr</w:t>
      </w:r>
      <w:proofErr w:type="spellEnd"/>
      <w:r>
        <w:rPr>
          <w:rFonts w:ascii="Times New Roman" w:hAnsi="Times New Roman" w:cs="Times New Roman"/>
          <w:sz w:val="24"/>
          <w:szCs w:val="24"/>
          <w:lang w:val="tr-TR"/>
        </w:rPr>
        <w:t xml:space="preserve"> 2009</w:t>
      </w:r>
      <w:r w:rsidRPr="00DD25CA">
        <w:rPr>
          <w:rFonts w:ascii="Times New Roman" w:hAnsi="Times New Roman" w:cs="Times New Roman"/>
          <w:sz w:val="24"/>
          <w:szCs w:val="24"/>
          <w:lang w:val="tr-TR"/>
        </w:rPr>
        <w:t>;</w:t>
      </w:r>
      <w:proofErr w:type="gramStart"/>
      <w:r w:rsidRPr="00DD25CA">
        <w:rPr>
          <w:rFonts w:ascii="Times New Roman" w:hAnsi="Times New Roman" w:cs="Times New Roman"/>
          <w:sz w:val="24"/>
          <w:szCs w:val="24"/>
          <w:lang w:val="tr-TR"/>
        </w:rPr>
        <w:t>10:165</w:t>
      </w:r>
      <w:proofErr w:type="gramEnd"/>
      <w:r w:rsidRPr="00DD25CA">
        <w:rPr>
          <w:rFonts w:ascii="Times New Roman" w:hAnsi="Times New Roman" w:cs="Times New Roman"/>
          <w:sz w:val="24"/>
          <w:szCs w:val="24"/>
          <w:lang w:val="tr-TR"/>
        </w:rPr>
        <w:t>-</w:t>
      </w:r>
      <w:r>
        <w:rPr>
          <w:rFonts w:ascii="Times New Roman" w:hAnsi="Times New Roman" w:cs="Times New Roman"/>
          <w:sz w:val="24"/>
          <w:szCs w:val="24"/>
          <w:lang w:val="tr-TR"/>
        </w:rPr>
        <w:t>1</w:t>
      </w:r>
      <w:r w:rsidRPr="00DD25CA">
        <w:rPr>
          <w:rFonts w:ascii="Times New Roman" w:hAnsi="Times New Roman" w:cs="Times New Roman"/>
          <w:sz w:val="24"/>
          <w:szCs w:val="24"/>
          <w:lang w:val="tr-TR"/>
        </w:rPr>
        <w:t>93.</w:t>
      </w:r>
    </w:p>
    <w:p w:rsidR="00E351B6" w:rsidRPr="00DD25CA" w:rsidRDefault="00E351B6" w:rsidP="00E351B6">
      <w:pPr>
        <w:pStyle w:val="ListeParagraf"/>
        <w:numPr>
          <w:ilvl w:val="0"/>
          <w:numId w:val="1"/>
        </w:numPr>
        <w:spacing w:line="360" w:lineRule="auto"/>
        <w:jc w:val="both"/>
        <w:rPr>
          <w:rFonts w:ascii="Times New Roman" w:hAnsi="Times New Roman" w:cs="Times New Roman"/>
          <w:b/>
          <w:sz w:val="24"/>
          <w:szCs w:val="24"/>
          <w:lang w:val="tr-TR"/>
        </w:rPr>
      </w:pPr>
      <w:proofErr w:type="spellStart"/>
      <w:proofErr w:type="gramStart"/>
      <w:r w:rsidRPr="00DD25CA">
        <w:rPr>
          <w:rFonts w:ascii="Times New Roman" w:hAnsi="Times New Roman" w:cs="Times New Roman"/>
          <w:sz w:val="24"/>
          <w:szCs w:val="24"/>
          <w:lang w:val="tr-TR"/>
        </w:rPr>
        <w:t>Ponikowski</w:t>
      </w:r>
      <w:proofErr w:type="spellEnd"/>
      <w:r w:rsidRPr="00DD25CA">
        <w:rPr>
          <w:rFonts w:ascii="Times New Roman" w:hAnsi="Times New Roman" w:cs="Times New Roman"/>
          <w:sz w:val="24"/>
          <w:szCs w:val="24"/>
          <w:lang w:val="tr-TR"/>
        </w:rPr>
        <w:t xml:space="preserve"> P, </w:t>
      </w:r>
      <w:proofErr w:type="spellStart"/>
      <w:r w:rsidRPr="00DD25CA">
        <w:rPr>
          <w:rFonts w:ascii="Times New Roman" w:hAnsi="Times New Roman" w:cs="Times New Roman"/>
          <w:sz w:val="24"/>
          <w:szCs w:val="24"/>
          <w:lang w:val="tr-TR"/>
        </w:rPr>
        <w:t>Voors</w:t>
      </w:r>
      <w:proofErr w:type="spellEnd"/>
      <w:r w:rsidRPr="00DD25CA">
        <w:rPr>
          <w:rFonts w:ascii="Times New Roman" w:hAnsi="Times New Roman" w:cs="Times New Roman"/>
          <w:sz w:val="24"/>
          <w:szCs w:val="24"/>
          <w:lang w:val="tr-TR"/>
        </w:rPr>
        <w:t xml:space="preserve"> AA, </w:t>
      </w:r>
      <w:proofErr w:type="spellStart"/>
      <w:r w:rsidRPr="00DD25CA">
        <w:rPr>
          <w:rFonts w:ascii="Times New Roman" w:hAnsi="Times New Roman" w:cs="Times New Roman"/>
          <w:sz w:val="24"/>
          <w:szCs w:val="24"/>
          <w:lang w:val="tr-TR"/>
        </w:rPr>
        <w:t>Anker</w:t>
      </w:r>
      <w:proofErr w:type="spellEnd"/>
      <w:r w:rsidRPr="00DD25CA">
        <w:rPr>
          <w:rFonts w:ascii="Times New Roman" w:hAnsi="Times New Roman" w:cs="Times New Roman"/>
          <w:sz w:val="24"/>
          <w:szCs w:val="24"/>
          <w:lang w:val="tr-TR"/>
        </w:rPr>
        <w:t xml:space="preserve"> SD, </w:t>
      </w:r>
      <w:proofErr w:type="spellStart"/>
      <w:r w:rsidRPr="00DD25CA">
        <w:rPr>
          <w:rFonts w:ascii="Times New Roman" w:hAnsi="Times New Roman" w:cs="Times New Roman"/>
          <w:sz w:val="24"/>
          <w:szCs w:val="24"/>
          <w:lang w:val="tr-TR"/>
        </w:rPr>
        <w:t>Bueno</w:t>
      </w:r>
      <w:proofErr w:type="spellEnd"/>
      <w:r w:rsidRPr="00DD25CA">
        <w:rPr>
          <w:rFonts w:ascii="Times New Roman" w:hAnsi="Times New Roman" w:cs="Times New Roman"/>
          <w:sz w:val="24"/>
          <w:szCs w:val="24"/>
          <w:lang w:val="tr-TR"/>
        </w:rPr>
        <w:t xml:space="preserve"> H, </w:t>
      </w:r>
      <w:proofErr w:type="spellStart"/>
      <w:r w:rsidRPr="00DD25CA">
        <w:rPr>
          <w:rFonts w:ascii="Times New Roman" w:hAnsi="Times New Roman" w:cs="Times New Roman"/>
          <w:sz w:val="24"/>
          <w:szCs w:val="24"/>
          <w:lang w:val="tr-TR"/>
        </w:rPr>
        <w:t>Cleland</w:t>
      </w:r>
      <w:proofErr w:type="spellEnd"/>
      <w:r w:rsidRPr="00DD25CA">
        <w:rPr>
          <w:rFonts w:ascii="Times New Roman" w:hAnsi="Times New Roman" w:cs="Times New Roman"/>
          <w:sz w:val="24"/>
          <w:szCs w:val="24"/>
          <w:lang w:val="tr-TR"/>
        </w:rPr>
        <w:t xml:space="preserve"> JG, </w:t>
      </w:r>
      <w:proofErr w:type="spellStart"/>
      <w:r w:rsidRPr="00DD25CA">
        <w:rPr>
          <w:rFonts w:ascii="Times New Roman" w:hAnsi="Times New Roman" w:cs="Times New Roman"/>
          <w:sz w:val="24"/>
          <w:szCs w:val="24"/>
          <w:lang w:val="tr-TR"/>
        </w:rPr>
        <w:t>Coats</w:t>
      </w:r>
      <w:proofErr w:type="spellEnd"/>
      <w:r w:rsidRPr="00DD25CA">
        <w:rPr>
          <w:rFonts w:ascii="Times New Roman" w:hAnsi="Times New Roman" w:cs="Times New Roman"/>
          <w:sz w:val="24"/>
          <w:szCs w:val="24"/>
          <w:lang w:val="tr-TR"/>
        </w:rPr>
        <w:t xml:space="preserve"> AJ, </w:t>
      </w:r>
      <w:proofErr w:type="spellStart"/>
      <w:r w:rsidRPr="00DD25CA">
        <w:rPr>
          <w:rFonts w:ascii="Times New Roman" w:hAnsi="Times New Roman" w:cs="Times New Roman"/>
          <w:sz w:val="24"/>
          <w:szCs w:val="24"/>
          <w:lang w:val="tr-TR"/>
        </w:rPr>
        <w:t>Falk</w:t>
      </w:r>
      <w:proofErr w:type="spellEnd"/>
      <w:r w:rsidRPr="00DD25CA">
        <w:rPr>
          <w:rFonts w:ascii="Times New Roman" w:hAnsi="Times New Roman" w:cs="Times New Roman"/>
          <w:sz w:val="24"/>
          <w:szCs w:val="24"/>
          <w:lang w:val="tr-TR"/>
        </w:rPr>
        <w:t xml:space="preserve"> V, </w:t>
      </w:r>
      <w:proofErr w:type="spellStart"/>
      <w:r w:rsidRPr="00DD25CA">
        <w:rPr>
          <w:rFonts w:ascii="Times New Roman" w:hAnsi="Times New Roman" w:cs="Times New Roman"/>
          <w:sz w:val="24"/>
          <w:szCs w:val="24"/>
          <w:lang w:val="tr-TR"/>
        </w:rPr>
        <w:t>González-Juanatey</w:t>
      </w:r>
      <w:proofErr w:type="spellEnd"/>
      <w:r w:rsidRPr="00DD25CA">
        <w:rPr>
          <w:rFonts w:ascii="Times New Roman" w:hAnsi="Times New Roman" w:cs="Times New Roman"/>
          <w:sz w:val="24"/>
          <w:szCs w:val="24"/>
          <w:lang w:val="tr-TR"/>
        </w:rPr>
        <w:t xml:space="preserve"> JR, </w:t>
      </w:r>
      <w:proofErr w:type="spellStart"/>
      <w:r w:rsidRPr="00DD25CA">
        <w:rPr>
          <w:rFonts w:ascii="Times New Roman" w:hAnsi="Times New Roman" w:cs="Times New Roman"/>
          <w:sz w:val="24"/>
          <w:szCs w:val="24"/>
          <w:lang w:val="tr-TR"/>
        </w:rPr>
        <w:t>Harjola</w:t>
      </w:r>
      <w:proofErr w:type="spellEnd"/>
      <w:r w:rsidRPr="00DD25CA">
        <w:rPr>
          <w:rFonts w:ascii="Times New Roman" w:hAnsi="Times New Roman" w:cs="Times New Roman"/>
          <w:sz w:val="24"/>
          <w:szCs w:val="24"/>
          <w:lang w:val="tr-TR"/>
        </w:rPr>
        <w:t xml:space="preserve"> VP, </w:t>
      </w:r>
      <w:proofErr w:type="spellStart"/>
      <w:r w:rsidRPr="00DD25CA">
        <w:rPr>
          <w:rFonts w:ascii="Times New Roman" w:hAnsi="Times New Roman" w:cs="Times New Roman"/>
          <w:sz w:val="24"/>
          <w:szCs w:val="24"/>
          <w:lang w:val="tr-TR"/>
        </w:rPr>
        <w:t>Jankowska</w:t>
      </w:r>
      <w:proofErr w:type="spellEnd"/>
      <w:r w:rsidRPr="00DD25CA">
        <w:rPr>
          <w:rFonts w:ascii="Times New Roman" w:hAnsi="Times New Roman" w:cs="Times New Roman"/>
          <w:sz w:val="24"/>
          <w:szCs w:val="24"/>
          <w:lang w:val="tr-TR"/>
        </w:rPr>
        <w:t xml:space="preserve"> EA, </w:t>
      </w:r>
      <w:proofErr w:type="spellStart"/>
      <w:r w:rsidRPr="00DD25CA">
        <w:rPr>
          <w:rFonts w:ascii="Times New Roman" w:hAnsi="Times New Roman" w:cs="Times New Roman"/>
          <w:sz w:val="24"/>
          <w:szCs w:val="24"/>
          <w:lang w:val="tr-TR"/>
        </w:rPr>
        <w:t>Jessup</w:t>
      </w:r>
      <w:proofErr w:type="spellEnd"/>
      <w:r w:rsidRPr="00DD25CA">
        <w:rPr>
          <w:rFonts w:ascii="Times New Roman" w:hAnsi="Times New Roman" w:cs="Times New Roman"/>
          <w:sz w:val="24"/>
          <w:szCs w:val="24"/>
          <w:lang w:val="tr-TR"/>
        </w:rPr>
        <w:t xml:space="preserve"> M, </w:t>
      </w:r>
      <w:proofErr w:type="spellStart"/>
      <w:r w:rsidRPr="00DD25CA">
        <w:rPr>
          <w:rFonts w:ascii="Times New Roman" w:hAnsi="Times New Roman" w:cs="Times New Roman"/>
          <w:sz w:val="24"/>
          <w:szCs w:val="24"/>
          <w:lang w:val="tr-TR"/>
        </w:rPr>
        <w:t>Linde</w:t>
      </w:r>
      <w:proofErr w:type="spellEnd"/>
      <w:r w:rsidRPr="00DD25CA">
        <w:rPr>
          <w:rFonts w:ascii="Times New Roman" w:hAnsi="Times New Roman" w:cs="Times New Roman"/>
          <w:sz w:val="24"/>
          <w:szCs w:val="24"/>
          <w:lang w:val="tr-TR"/>
        </w:rPr>
        <w:t xml:space="preserve"> C, </w:t>
      </w:r>
      <w:proofErr w:type="spellStart"/>
      <w:r w:rsidRPr="00DD25CA">
        <w:rPr>
          <w:rFonts w:ascii="Times New Roman" w:hAnsi="Times New Roman" w:cs="Times New Roman"/>
          <w:sz w:val="24"/>
          <w:szCs w:val="24"/>
          <w:lang w:val="tr-TR"/>
        </w:rPr>
        <w:t>Nihoyannopoulos</w:t>
      </w:r>
      <w:proofErr w:type="spellEnd"/>
      <w:r w:rsidRPr="00DD25CA">
        <w:rPr>
          <w:rFonts w:ascii="Times New Roman" w:hAnsi="Times New Roman" w:cs="Times New Roman"/>
          <w:sz w:val="24"/>
          <w:szCs w:val="24"/>
          <w:lang w:val="tr-TR"/>
        </w:rPr>
        <w:t xml:space="preserve"> P, </w:t>
      </w:r>
      <w:proofErr w:type="spellStart"/>
      <w:r w:rsidRPr="00DD25CA">
        <w:rPr>
          <w:rFonts w:ascii="Times New Roman" w:hAnsi="Times New Roman" w:cs="Times New Roman"/>
          <w:sz w:val="24"/>
          <w:szCs w:val="24"/>
          <w:lang w:val="tr-TR"/>
        </w:rPr>
        <w:t>Parissis</w:t>
      </w:r>
      <w:proofErr w:type="spellEnd"/>
      <w:r w:rsidRPr="00DD25CA">
        <w:rPr>
          <w:rFonts w:ascii="Times New Roman" w:hAnsi="Times New Roman" w:cs="Times New Roman"/>
          <w:sz w:val="24"/>
          <w:szCs w:val="24"/>
          <w:lang w:val="tr-TR"/>
        </w:rPr>
        <w:t xml:space="preserve"> JT, </w:t>
      </w:r>
      <w:proofErr w:type="spellStart"/>
      <w:r w:rsidRPr="00DD25CA">
        <w:rPr>
          <w:rFonts w:ascii="Times New Roman" w:hAnsi="Times New Roman" w:cs="Times New Roman"/>
          <w:sz w:val="24"/>
          <w:szCs w:val="24"/>
          <w:lang w:val="tr-TR"/>
        </w:rPr>
        <w:t>Pieske</w:t>
      </w:r>
      <w:proofErr w:type="spellEnd"/>
      <w:r w:rsidRPr="00DD25CA">
        <w:rPr>
          <w:rFonts w:ascii="Times New Roman" w:hAnsi="Times New Roman" w:cs="Times New Roman"/>
          <w:sz w:val="24"/>
          <w:szCs w:val="24"/>
          <w:lang w:val="tr-TR"/>
        </w:rPr>
        <w:t xml:space="preserve"> B, </w:t>
      </w:r>
      <w:proofErr w:type="spellStart"/>
      <w:r w:rsidRPr="00DD25CA">
        <w:rPr>
          <w:rFonts w:ascii="Times New Roman" w:hAnsi="Times New Roman" w:cs="Times New Roman"/>
          <w:sz w:val="24"/>
          <w:szCs w:val="24"/>
          <w:lang w:val="tr-TR"/>
        </w:rPr>
        <w:t>Riley</w:t>
      </w:r>
      <w:proofErr w:type="spellEnd"/>
      <w:r w:rsidRPr="00DD25CA">
        <w:rPr>
          <w:rFonts w:ascii="Times New Roman" w:hAnsi="Times New Roman" w:cs="Times New Roman"/>
          <w:sz w:val="24"/>
          <w:szCs w:val="24"/>
          <w:lang w:val="tr-TR"/>
        </w:rPr>
        <w:t xml:space="preserve"> JP, </w:t>
      </w:r>
      <w:proofErr w:type="spellStart"/>
      <w:r w:rsidRPr="00DD25CA">
        <w:rPr>
          <w:rFonts w:ascii="Times New Roman" w:hAnsi="Times New Roman" w:cs="Times New Roman"/>
          <w:sz w:val="24"/>
          <w:szCs w:val="24"/>
          <w:lang w:val="tr-TR"/>
        </w:rPr>
        <w:t>Rosano</w:t>
      </w:r>
      <w:proofErr w:type="spellEnd"/>
      <w:r w:rsidRPr="00DD25CA">
        <w:rPr>
          <w:rFonts w:ascii="Times New Roman" w:hAnsi="Times New Roman" w:cs="Times New Roman"/>
          <w:sz w:val="24"/>
          <w:szCs w:val="24"/>
          <w:lang w:val="tr-TR"/>
        </w:rPr>
        <w:t xml:space="preserve"> GM, </w:t>
      </w:r>
      <w:proofErr w:type="spellStart"/>
      <w:r w:rsidRPr="00DD25CA">
        <w:rPr>
          <w:rFonts w:ascii="Times New Roman" w:hAnsi="Times New Roman" w:cs="Times New Roman"/>
          <w:sz w:val="24"/>
          <w:szCs w:val="24"/>
          <w:lang w:val="tr-TR"/>
        </w:rPr>
        <w:t>Ruilope</w:t>
      </w:r>
      <w:proofErr w:type="spellEnd"/>
      <w:r w:rsidRPr="00DD25CA">
        <w:rPr>
          <w:rFonts w:ascii="Times New Roman" w:hAnsi="Times New Roman" w:cs="Times New Roman"/>
          <w:sz w:val="24"/>
          <w:szCs w:val="24"/>
          <w:lang w:val="tr-TR"/>
        </w:rPr>
        <w:t xml:space="preserve"> LM, </w:t>
      </w:r>
      <w:proofErr w:type="spellStart"/>
      <w:r w:rsidRPr="00DD25CA">
        <w:rPr>
          <w:rFonts w:ascii="Times New Roman" w:hAnsi="Times New Roman" w:cs="Times New Roman"/>
          <w:sz w:val="24"/>
          <w:szCs w:val="24"/>
          <w:lang w:val="tr-TR"/>
        </w:rPr>
        <w:t>Ruschitzka</w:t>
      </w:r>
      <w:proofErr w:type="spellEnd"/>
      <w:r w:rsidRPr="00DD25CA">
        <w:rPr>
          <w:rFonts w:ascii="Times New Roman" w:hAnsi="Times New Roman" w:cs="Times New Roman"/>
          <w:sz w:val="24"/>
          <w:szCs w:val="24"/>
          <w:lang w:val="tr-TR"/>
        </w:rPr>
        <w:t xml:space="preserve"> F, </w:t>
      </w:r>
      <w:proofErr w:type="spellStart"/>
      <w:r w:rsidRPr="00DD25CA">
        <w:rPr>
          <w:rFonts w:ascii="Times New Roman" w:hAnsi="Times New Roman" w:cs="Times New Roman"/>
          <w:sz w:val="24"/>
          <w:szCs w:val="24"/>
          <w:lang w:val="tr-TR"/>
        </w:rPr>
        <w:t>Rutten</w:t>
      </w:r>
      <w:proofErr w:type="spellEnd"/>
      <w:r w:rsidRPr="00DD25CA">
        <w:rPr>
          <w:rFonts w:ascii="Times New Roman" w:hAnsi="Times New Roman" w:cs="Times New Roman"/>
          <w:sz w:val="24"/>
          <w:szCs w:val="24"/>
          <w:lang w:val="tr-TR"/>
        </w:rPr>
        <w:t xml:space="preserve"> FH, </w:t>
      </w:r>
      <w:proofErr w:type="spellStart"/>
      <w:r w:rsidRPr="00DD25CA">
        <w:rPr>
          <w:rFonts w:ascii="Times New Roman" w:hAnsi="Times New Roman" w:cs="Times New Roman"/>
          <w:sz w:val="24"/>
          <w:szCs w:val="24"/>
          <w:lang w:val="tr-TR"/>
        </w:rPr>
        <w:t>van</w:t>
      </w:r>
      <w:proofErr w:type="spellEnd"/>
      <w:r w:rsidRPr="00DD25CA">
        <w:rPr>
          <w:rFonts w:ascii="Times New Roman" w:hAnsi="Times New Roman" w:cs="Times New Roman"/>
          <w:sz w:val="24"/>
          <w:szCs w:val="24"/>
          <w:lang w:val="tr-TR"/>
        </w:rPr>
        <w:t xml:space="preserve"> der </w:t>
      </w:r>
      <w:proofErr w:type="spellStart"/>
      <w:r w:rsidRPr="00DD25CA">
        <w:rPr>
          <w:rFonts w:ascii="Times New Roman" w:hAnsi="Times New Roman" w:cs="Times New Roman"/>
          <w:sz w:val="24"/>
          <w:szCs w:val="24"/>
          <w:lang w:val="tr-TR"/>
        </w:rPr>
        <w:t>Meer</w:t>
      </w:r>
      <w:proofErr w:type="spellEnd"/>
      <w:r w:rsidRPr="00DD25CA">
        <w:rPr>
          <w:rFonts w:ascii="Times New Roman" w:hAnsi="Times New Roman" w:cs="Times New Roman"/>
          <w:sz w:val="24"/>
          <w:szCs w:val="24"/>
          <w:lang w:val="tr-TR"/>
        </w:rPr>
        <w:t xml:space="preserve"> P; </w:t>
      </w:r>
      <w:proofErr w:type="spellStart"/>
      <w:r w:rsidRPr="00DD25CA">
        <w:rPr>
          <w:rFonts w:ascii="Times New Roman" w:hAnsi="Times New Roman" w:cs="Times New Roman"/>
          <w:sz w:val="24"/>
          <w:szCs w:val="24"/>
          <w:lang w:val="tr-TR"/>
        </w:rPr>
        <w:t>Authors</w:t>
      </w:r>
      <w:proofErr w:type="spellEnd"/>
      <w:r w:rsidRPr="00DD25CA">
        <w:rPr>
          <w:rFonts w:ascii="Times New Roman" w:hAnsi="Times New Roman" w:cs="Times New Roman"/>
          <w:sz w:val="24"/>
          <w:szCs w:val="24"/>
          <w:lang w:val="tr-TR"/>
        </w:rPr>
        <w:t>/</w:t>
      </w:r>
      <w:proofErr w:type="spellStart"/>
      <w:r w:rsidRPr="00DD25CA">
        <w:rPr>
          <w:rFonts w:ascii="Times New Roman" w:hAnsi="Times New Roman" w:cs="Times New Roman"/>
          <w:sz w:val="24"/>
          <w:szCs w:val="24"/>
          <w:lang w:val="tr-TR"/>
        </w:rPr>
        <w:t>Task</w:t>
      </w:r>
      <w:proofErr w:type="spellEnd"/>
      <w:r w:rsidRPr="00DD25CA">
        <w:rPr>
          <w:rFonts w:ascii="Times New Roman" w:hAnsi="Times New Roman" w:cs="Times New Roman"/>
          <w:sz w:val="24"/>
          <w:szCs w:val="24"/>
          <w:lang w:val="tr-TR"/>
        </w:rPr>
        <w:t xml:space="preserve"> Force </w:t>
      </w:r>
      <w:proofErr w:type="spellStart"/>
      <w:r w:rsidRPr="00DD25CA">
        <w:rPr>
          <w:rFonts w:ascii="Times New Roman" w:hAnsi="Times New Roman" w:cs="Times New Roman"/>
          <w:sz w:val="24"/>
          <w:szCs w:val="24"/>
          <w:lang w:val="tr-TR"/>
        </w:rPr>
        <w:t>Members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Document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Reviewers</w:t>
      </w:r>
      <w:proofErr w:type="spellEnd"/>
      <w:r w:rsidRPr="00DD25CA">
        <w:rPr>
          <w:rFonts w:ascii="Times New Roman" w:hAnsi="Times New Roman" w:cs="Times New Roman"/>
          <w:sz w:val="24"/>
          <w:szCs w:val="24"/>
          <w:lang w:val="tr-TR"/>
        </w:rPr>
        <w:t xml:space="preserve">. </w:t>
      </w:r>
      <w:proofErr w:type="gramEnd"/>
      <w:r w:rsidRPr="00DD25CA">
        <w:rPr>
          <w:rFonts w:ascii="Times New Roman" w:hAnsi="Times New Roman" w:cs="Times New Roman"/>
          <w:sz w:val="24"/>
          <w:szCs w:val="24"/>
          <w:lang w:val="tr-TR"/>
        </w:rPr>
        <w:t xml:space="preserve">2016 ESC </w:t>
      </w:r>
      <w:proofErr w:type="spellStart"/>
      <w:r w:rsidRPr="00DD25CA">
        <w:rPr>
          <w:rFonts w:ascii="Times New Roman" w:hAnsi="Times New Roman" w:cs="Times New Roman"/>
          <w:sz w:val="24"/>
          <w:szCs w:val="24"/>
          <w:lang w:val="tr-TR"/>
        </w:rPr>
        <w:t>Guidelines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for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diagnosis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treatment</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acute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chronic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failure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Task</w:t>
      </w:r>
      <w:proofErr w:type="spellEnd"/>
      <w:r w:rsidRPr="00DD25CA">
        <w:rPr>
          <w:rFonts w:ascii="Times New Roman" w:hAnsi="Times New Roman" w:cs="Times New Roman"/>
          <w:sz w:val="24"/>
          <w:szCs w:val="24"/>
          <w:lang w:val="tr-TR"/>
        </w:rPr>
        <w:t xml:space="preserve"> Force </w:t>
      </w:r>
      <w:proofErr w:type="spellStart"/>
      <w:r w:rsidRPr="00DD25CA">
        <w:rPr>
          <w:rFonts w:ascii="Times New Roman" w:hAnsi="Times New Roman" w:cs="Times New Roman"/>
          <w:sz w:val="24"/>
          <w:szCs w:val="24"/>
          <w:lang w:val="tr-TR"/>
        </w:rPr>
        <w:t>for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diagnosis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treatment</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acute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chronic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failure</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European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Society</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Cardiology</w:t>
      </w:r>
      <w:proofErr w:type="spellEnd"/>
      <w:r w:rsidRPr="00DD25CA">
        <w:rPr>
          <w:rFonts w:ascii="Times New Roman" w:hAnsi="Times New Roman" w:cs="Times New Roman"/>
          <w:sz w:val="24"/>
          <w:szCs w:val="24"/>
          <w:lang w:val="tr-TR"/>
        </w:rPr>
        <w:t xml:space="preserve"> (ESC)</w:t>
      </w:r>
      <w:proofErr w:type="spellStart"/>
      <w:r w:rsidRPr="00DD25CA">
        <w:rPr>
          <w:rFonts w:ascii="Times New Roman" w:hAnsi="Times New Roman" w:cs="Times New Roman"/>
          <w:sz w:val="24"/>
          <w:szCs w:val="24"/>
          <w:lang w:val="tr-TR"/>
        </w:rPr>
        <w:t>Developed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with</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special</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contribution</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Failure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Association</w:t>
      </w:r>
      <w:proofErr w:type="spellEnd"/>
      <w:r w:rsidRPr="00DD25CA">
        <w:rPr>
          <w:rFonts w:ascii="Times New Roman" w:hAnsi="Times New Roman" w:cs="Times New Roman"/>
          <w:sz w:val="24"/>
          <w:szCs w:val="24"/>
          <w:lang w:val="tr-TR"/>
        </w:rPr>
        <w:t xml:space="preserve"> (HFA) of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ESC.  </w:t>
      </w:r>
      <w:proofErr w:type="spellStart"/>
      <w:r w:rsidRPr="00DD25CA">
        <w:rPr>
          <w:rFonts w:ascii="Times New Roman" w:hAnsi="Times New Roman" w:cs="Times New Roman"/>
          <w:sz w:val="24"/>
          <w:szCs w:val="24"/>
          <w:lang w:val="tr-TR"/>
        </w:rPr>
        <w:t>Eur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J</w:t>
      </w:r>
      <w:r>
        <w:rPr>
          <w:rFonts w:ascii="Times New Roman" w:hAnsi="Times New Roman" w:cs="Times New Roman"/>
          <w:sz w:val="24"/>
          <w:szCs w:val="24"/>
          <w:lang w:val="tr-TR"/>
        </w:rPr>
        <w:t xml:space="preserve"> 2016</w:t>
      </w:r>
      <w:r w:rsidRPr="00DD25CA">
        <w:rPr>
          <w:rFonts w:ascii="Times New Roman" w:hAnsi="Times New Roman" w:cs="Times New Roman"/>
          <w:sz w:val="24"/>
          <w:szCs w:val="24"/>
          <w:lang w:val="tr-TR"/>
        </w:rPr>
        <w:t xml:space="preserve">: ehw128; DOI: </w:t>
      </w:r>
      <w:proofErr w:type="gramStart"/>
      <w:r w:rsidRPr="00DD25CA">
        <w:rPr>
          <w:rFonts w:ascii="Times New Roman" w:hAnsi="Times New Roman" w:cs="Times New Roman"/>
          <w:sz w:val="24"/>
          <w:szCs w:val="24"/>
          <w:lang w:val="tr-TR"/>
        </w:rPr>
        <w:t>10.1093</w:t>
      </w:r>
      <w:proofErr w:type="gramEnd"/>
      <w:r w:rsidRPr="00DD25CA">
        <w:rPr>
          <w:rFonts w:ascii="Times New Roman" w:hAnsi="Times New Roman" w:cs="Times New Roman"/>
          <w:sz w:val="24"/>
          <w:szCs w:val="24"/>
          <w:lang w:val="tr-TR"/>
        </w:rPr>
        <w:t>/</w:t>
      </w:r>
      <w:proofErr w:type="spellStart"/>
      <w:r w:rsidRPr="00DD25CA">
        <w:rPr>
          <w:rFonts w:ascii="Times New Roman" w:hAnsi="Times New Roman" w:cs="Times New Roman"/>
          <w:sz w:val="24"/>
          <w:szCs w:val="24"/>
          <w:lang w:val="tr-TR"/>
        </w:rPr>
        <w:t>eurheartj</w:t>
      </w:r>
      <w:proofErr w:type="spellEnd"/>
      <w:r w:rsidRPr="00DD25CA">
        <w:rPr>
          <w:rFonts w:ascii="Times New Roman" w:hAnsi="Times New Roman" w:cs="Times New Roman"/>
          <w:sz w:val="24"/>
          <w:szCs w:val="24"/>
          <w:lang w:val="tr-TR"/>
        </w:rPr>
        <w:t>/ehw128.</w:t>
      </w:r>
    </w:p>
    <w:p w:rsidR="00E351B6" w:rsidRPr="00DD25CA" w:rsidRDefault="00E351B6" w:rsidP="00E351B6">
      <w:pPr>
        <w:pStyle w:val="ListeParagraf"/>
        <w:numPr>
          <w:ilvl w:val="0"/>
          <w:numId w:val="1"/>
        </w:numPr>
        <w:spacing w:line="360" w:lineRule="auto"/>
        <w:jc w:val="both"/>
        <w:rPr>
          <w:rFonts w:ascii="Times New Roman" w:hAnsi="Times New Roman" w:cs="Times New Roman"/>
          <w:sz w:val="24"/>
          <w:szCs w:val="24"/>
          <w:lang w:val="tr-TR"/>
        </w:rPr>
      </w:pPr>
      <w:proofErr w:type="spellStart"/>
      <w:r w:rsidRPr="00DD25CA">
        <w:rPr>
          <w:rFonts w:ascii="Times New Roman" w:hAnsi="Times New Roman" w:cs="Times New Roman"/>
          <w:sz w:val="24"/>
          <w:szCs w:val="24"/>
          <w:lang w:val="tr-TR"/>
        </w:rPr>
        <w:t>Rudski</w:t>
      </w:r>
      <w:proofErr w:type="spellEnd"/>
      <w:r w:rsidRPr="00DD25CA">
        <w:rPr>
          <w:rFonts w:ascii="Times New Roman" w:hAnsi="Times New Roman" w:cs="Times New Roman"/>
          <w:sz w:val="24"/>
          <w:szCs w:val="24"/>
          <w:lang w:val="tr-TR"/>
        </w:rPr>
        <w:t xml:space="preserve"> LG, </w:t>
      </w:r>
      <w:proofErr w:type="spellStart"/>
      <w:r w:rsidRPr="00DD25CA">
        <w:rPr>
          <w:rFonts w:ascii="Times New Roman" w:hAnsi="Times New Roman" w:cs="Times New Roman"/>
          <w:sz w:val="24"/>
          <w:szCs w:val="24"/>
          <w:lang w:val="tr-TR"/>
        </w:rPr>
        <w:t>Lai</w:t>
      </w:r>
      <w:proofErr w:type="spellEnd"/>
      <w:r w:rsidRPr="00DD25CA">
        <w:rPr>
          <w:rFonts w:ascii="Times New Roman" w:hAnsi="Times New Roman" w:cs="Times New Roman"/>
          <w:sz w:val="24"/>
          <w:szCs w:val="24"/>
          <w:lang w:val="tr-TR"/>
        </w:rPr>
        <w:t xml:space="preserve"> WW, </w:t>
      </w:r>
      <w:proofErr w:type="spellStart"/>
      <w:r w:rsidRPr="00DD25CA">
        <w:rPr>
          <w:rFonts w:ascii="Times New Roman" w:hAnsi="Times New Roman" w:cs="Times New Roman"/>
          <w:sz w:val="24"/>
          <w:szCs w:val="24"/>
          <w:lang w:val="tr-TR"/>
        </w:rPr>
        <w:t>Afilalo</w:t>
      </w:r>
      <w:proofErr w:type="spellEnd"/>
      <w:r w:rsidRPr="00DD25CA">
        <w:rPr>
          <w:rFonts w:ascii="Times New Roman" w:hAnsi="Times New Roman" w:cs="Times New Roman"/>
          <w:sz w:val="24"/>
          <w:szCs w:val="24"/>
          <w:lang w:val="tr-TR"/>
        </w:rPr>
        <w:t xml:space="preserve"> J, </w:t>
      </w:r>
      <w:proofErr w:type="spellStart"/>
      <w:r w:rsidRPr="00DD25CA">
        <w:rPr>
          <w:rFonts w:ascii="Times New Roman" w:hAnsi="Times New Roman" w:cs="Times New Roman"/>
          <w:sz w:val="24"/>
          <w:szCs w:val="24"/>
          <w:lang w:val="tr-TR"/>
        </w:rPr>
        <w:t>Hua</w:t>
      </w:r>
      <w:proofErr w:type="spellEnd"/>
      <w:r w:rsidRPr="00DD25CA">
        <w:rPr>
          <w:rFonts w:ascii="Times New Roman" w:hAnsi="Times New Roman" w:cs="Times New Roman"/>
          <w:sz w:val="24"/>
          <w:szCs w:val="24"/>
          <w:lang w:val="tr-TR"/>
        </w:rPr>
        <w:t xml:space="preserve"> L, </w:t>
      </w:r>
      <w:proofErr w:type="spellStart"/>
      <w:r w:rsidRPr="00DD25CA">
        <w:rPr>
          <w:rFonts w:ascii="Times New Roman" w:hAnsi="Times New Roman" w:cs="Times New Roman"/>
          <w:sz w:val="24"/>
          <w:szCs w:val="24"/>
          <w:lang w:val="tr-TR"/>
        </w:rPr>
        <w:t>Handschumacher</w:t>
      </w:r>
      <w:proofErr w:type="spellEnd"/>
      <w:r w:rsidRPr="00DD25CA">
        <w:rPr>
          <w:rFonts w:ascii="Times New Roman" w:hAnsi="Times New Roman" w:cs="Times New Roman"/>
          <w:sz w:val="24"/>
          <w:szCs w:val="24"/>
          <w:lang w:val="tr-TR"/>
        </w:rPr>
        <w:t xml:space="preserve"> MD, </w:t>
      </w:r>
      <w:proofErr w:type="spellStart"/>
      <w:r w:rsidRPr="00DD25CA">
        <w:rPr>
          <w:rFonts w:ascii="Times New Roman" w:hAnsi="Times New Roman" w:cs="Times New Roman"/>
          <w:sz w:val="24"/>
          <w:szCs w:val="24"/>
          <w:lang w:val="tr-TR"/>
        </w:rPr>
        <w:t>Chandrasekaran</w:t>
      </w:r>
      <w:proofErr w:type="spellEnd"/>
      <w:r w:rsidRPr="00DD25CA">
        <w:rPr>
          <w:rFonts w:ascii="Times New Roman" w:hAnsi="Times New Roman" w:cs="Times New Roman"/>
          <w:sz w:val="24"/>
          <w:szCs w:val="24"/>
          <w:lang w:val="tr-TR"/>
        </w:rPr>
        <w:t xml:space="preserve"> K, Solomon SD, </w:t>
      </w:r>
      <w:proofErr w:type="spellStart"/>
      <w:r w:rsidRPr="00DD25CA">
        <w:rPr>
          <w:rFonts w:ascii="Times New Roman" w:hAnsi="Times New Roman" w:cs="Times New Roman"/>
          <w:sz w:val="24"/>
          <w:szCs w:val="24"/>
          <w:lang w:val="tr-TR"/>
        </w:rPr>
        <w:t>Louie</w:t>
      </w:r>
      <w:proofErr w:type="spellEnd"/>
      <w:r w:rsidRPr="00DD25CA">
        <w:rPr>
          <w:rFonts w:ascii="Times New Roman" w:hAnsi="Times New Roman" w:cs="Times New Roman"/>
          <w:sz w:val="24"/>
          <w:szCs w:val="24"/>
          <w:lang w:val="tr-TR"/>
        </w:rPr>
        <w:t xml:space="preserve"> EK, </w:t>
      </w:r>
      <w:proofErr w:type="spellStart"/>
      <w:r w:rsidRPr="00DD25CA">
        <w:rPr>
          <w:rFonts w:ascii="Times New Roman" w:hAnsi="Times New Roman" w:cs="Times New Roman"/>
          <w:sz w:val="24"/>
          <w:szCs w:val="24"/>
          <w:lang w:val="tr-TR"/>
        </w:rPr>
        <w:t>Schiller</w:t>
      </w:r>
      <w:proofErr w:type="spellEnd"/>
      <w:r w:rsidRPr="00DD25CA">
        <w:rPr>
          <w:rFonts w:ascii="Times New Roman" w:hAnsi="Times New Roman" w:cs="Times New Roman"/>
          <w:sz w:val="24"/>
          <w:szCs w:val="24"/>
          <w:lang w:val="tr-TR"/>
        </w:rPr>
        <w:t xml:space="preserve"> NB. </w:t>
      </w:r>
      <w:proofErr w:type="spellStart"/>
      <w:r w:rsidRPr="00DD25CA">
        <w:rPr>
          <w:rFonts w:ascii="Times New Roman" w:hAnsi="Times New Roman" w:cs="Times New Roman"/>
          <w:sz w:val="24"/>
          <w:szCs w:val="24"/>
          <w:lang w:val="tr-TR"/>
        </w:rPr>
        <w:t>Guidelines</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for</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echocardiographic</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assessment</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right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heart</w:t>
      </w:r>
      <w:proofErr w:type="spellEnd"/>
      <w:r w:rsidRPr="00DD25CA">
        <w:rPr>
          <w:rFonts w:ascii="Times New Roman" w:hAnsi="Times New Roman" w:cs="Times New Roman"/>
          <w:sz w:val="24"/>
          <w:szCs w:val="24"/>
          <w:lang w:val="tr-TR"/>
        </w:rPr>
        <w:t xml:space="preserve"> in </w:t>
      </w:r>
      <w:proofErr w:type="spellStart"/>
      <w:r w:rsidRPr="00DD25CA">
        <w:rPr>
          <w:rFonts w:ascii="Times New Roman" w:hAnsi="Times New Roman" w:cs="Times New Roman"/>
          <w:sz w:val="24"/>
          <w:szCs w:val="24"/>
          <w:lang w:val="tr-TR"/>
        </w:rPr>
        <w:t>adults</w:t>
      </w:r>
      <w:proofErr w:type="spellEnd"/>
      <w:r w:rsidRPr="00DD25CA">
        <w:rPr>
          <w:rFonts w:ascii="Times New Roman" w:hAnsi="Times New Roman" w:cs="Times New Roman"/>
          <w:sz w:val="24"/>
          <w:szCs w:val="24"/>
          <w:lang w:val="tr-TR"/>
        </w:rPr>
        <w:t xml:space="preserve">: a </w:t>
      </w:r>
      <w:proofErr w:type="spellStart"/>
      <w:r w:rsidRPr="00DD25CA">
        <w:rPr>
          <w:rFonts w:ascii="Times New Roman" w:hAnsi="Times New Roman" w:cs="Times New Roman"/>
          <w:sz w:val="24"/>
          <w:szCs w:val="24"/>
          <w:lang w:val="tr-TR"/>
        </w:rPr>
        <w:t>report</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from</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American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Society</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Echocardiography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endorsed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by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European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Association</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Echocardiography</w:t>
      </w:r>
      <w:proofErr w:type="spellEnd"/>
      <w:r w:rsidRPr="00DD25CA">
        <w:rPr>
          <w:rFonts w:ascii="Times New Roman" w:hAnsi="Times New Roman" w:cs="Times New Roman"/>
          <w:sz w:val="24"/>
          <w:szCs w:val="24"/>
          <w:lang w:val="tr-TR"/>
        </w:rPr>
        <w:t xml:space="preserve">, a </w:t>
      </w:r>
      <w:proofErr w:type="spellStart"/>
      <w:r w:rsidRPr="00DD25CA">
        <w:rPr>
          <w:rFonts w:ascii="Times New Roman" w:hAnsi="Times New Roman" w:cs="Times New Roman"/>
          <w:sz w:val="24"/>
          <w:szCs w:val="24"/>
          <w:lang w:val="tr-TR"/>
        </w:rPr>
        <w:t>registered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branch</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European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Society</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Cardiology</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and</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the</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Canadian</w:t>
      </w:r>
      <w:proofErr w:type="spellEnd"/>
      <w:r w:rsidRPr="00DD25CA">
        <w:rPr>
          <w:rFonts w:ascii="Times New Roman" w:hAnsi="Times New Roman" w:cs="Times New Roman"/>
          <w:sz w:val="24"/>
          <w:szCs w:val="24"/>
          <w:lang w:val="tr-TR"/>
        </w:rPr>
        <w:t xml:space="preserve"> </w:t>
      </w:r>
      <w:proofErr w:type="spellStart"/>
      <w:r w:rsidRPr="00DD25CA">
        <w:rPr>
          <w:rFonts w:ascii="Times New Roman" w:hAnsi="Times New Roman" w:cs="Times New Roman"/>
          <w:sz w:val="24"/>
          <w:szCs w:val="24"/>
          <w:lang w:val="tr-TR"/>
        </w:rPr>
        <w:t>Society</w:t>
      </w:r>
      <w:proofErr w:type="spellEnd"/>
      <w:r w:rsidRPr="00DD25CA">
        <w:rPr>
          <w:rFonts w:ascii="Times New Roman" w:hAnsi="Times New Roman" w:cs="Times New Roman"/>
          <w:sz w:val="24"/>
          <w:szCs w:val="24"/>
          <w:lang w:val="tr-TR"/>
        </w:rPr>
        <w:t xml:space="preserve"> of </w:t>
      </w:r>
      <w:proofErr w:type="spellStart"/>
      <w:r w:rsidRPr="00DD25CA">
        <w:rPr>
          <w:rFonts w:ascii="Times New Roman" w:hAnsi="Times New Roman" w:cs="Times New Roman"/>
          <w:sz w:val="24"/>
          <w:szCs w:val="24"/>
          <w:lang w:val="tr-TR"/>
        </w:rPr>
        <w:t>Echocardi</w:t>
      </w:r>
      <w:r>
        <w:rPr>
          <w:rFonts w:ascii="Times New Roman" w:hAnsi="Times New Roman" w:cs="Times New Roman"/>
          <w:sz w:val="24"/>
          <w:szCs w:val="24"/>
          <w:lang w:val="tr-TR"/>
        </w:rPr>
        <w:t>ography</w:t>
      </w:r>
      <w:proofErr w:type="spellEnd"/>
      <w:r>
        <w:rPr>
          <w:rFonts w:ascii="Times New Roman" w:hAnsi="Times New Roman" w:cs="Times New Roman"/>
          <w:sz w:val="24"/>
          <w:szCs w:val="24"/>
          <w:lang w:val="tr-TR"/>
        </w:rPr>
        <w:t xml:space="preserve">. J </w:t>
      </w:r>
      <w:proofErr w:type="spellStart"/>
      <w:r>
        <w:rPr>
          <w:rFonts w:ascii="Times New Roman" w:hAnsi="Times New Roman" w:cs="Times New Roman"/>
          <w:sz w:val="24"/>
          <w:szCs w:val="24"/>
          <w:lang w:val="tr-TR"/>
        </w:rPr>
        <w:t>Am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Soc</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Echocardiogr</w:t>
      </w:r>
      <w:proofErr w:type="spellEnd"/>
      <w:r>
        <w:rPr>
          <w:rFonts w:ascii="Times New Roman" w:hAnsi="Times New Roman" w:cs="Times New Roman"/>
          <w:sz w:val="24"/>
          <w:szCs w:val="24"/>
          <w:lang w:val="tr-TR"/>
        </w:rPr>
        <w:t xml:space="preserve"> </w:t>
      </w:r>
      <w:r w:rsidRPr="00DD25CA">
        <w:rPr>
          <w:rFonts w:ascii="Times New Roman" w:hAnsi="Times New Roman" w:cs="Times New Roman"/>
          <w:sz w:val="24"/>
          <w:szCs w:val="24"/>
          <w:lang w:val="tr-TR"/>
        </w:rPr>
        <w:t>2010</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23</w:t>
      </w:r>
      <w:r w:rsidRPr="00DD25CA">
        <w:rPr>
          <w:rFonts w:ascii="Times New Roman" w:hAnsi="Times New Roman" w:cs="Times New Roman"/>
          <w:sz w:val="24"/>
          <w:szCs w:val="24"/>
          <w:lang w:val="tr-TR"/>
        </w:rPr>
        <w:t>:685</w:t>
      </w:r>
      <w:proofErr w:type="gramEnd"/>
      <w:r w:rsidRPr="00DD25CA">
        <w:rPr>
          <w:rFonts w:ascii="Times New Roman" w:hAnsi="Times New Roman" w:cs="Times New Roman"/>
          <w:sz w:val="24"/>
          <w:szCs w:val="24"/>
          <w:lang w:val="tr-TR"/>
        </w:rPr>
        <w:t>-713</w:t>
      </w:r>
      <w:r>
        <w:rPr>
          <w:rFonts w:ascii="Times New Roman" w:hAnsi="Times New Roman" w:cs="Times New Roman"/>
          <w:sz w:val="24"/>
          <w:szCs w:val="24"/>
          <w:lang w:val="tr-TR"/>
        </w:rPr>
        <w:t>.</w:t>
      </w:r>
    </w:p>
    <w:p w:rsidR="00E351B6" w:rsidRPr="00605F89" w:rsidRDefault="00E351B6" w:rsidP="00E351B6">
      <w:pPr>
        <w:pStyle w:val="ListeParagraf"/>
        <w:ind w:left="360"/>
        <w:rPr>
          <w:rFonts w:ascii="Times New Roman" w:hAnsi="Times New Roman" w:cs="Times New Roman"/>
          <w:bCs/>
          <w:sz w:val="24"/>
          <w:szCs w:val="24"/>
        </w:rPr>
      </w:pPr>
    </w:p>
    <w:p w:rsidR="00E351B6" w:rsidRDefault="00E351B6">
      <w:pPr>
        <w:rPr>
          <w:rFonts w:ascii="Times New Roman" w:hAnsi="Times New Roman" w:cs="Times New Roman"/>
          <w:b/>
          <w:sz w:val="24"/>
          <w:szCs w:val="24"/>
        </w:rPr>
      </w:pPr>
      <w:bookmarkStart w:id="0" w:name="_GoBack"/>
      <w:bookmarkEnd w:id="0"/>
    </w:p>
    <w:sectPr w:rsidR="00E351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15F2"/>
    <w:multiLevelType w:val="hybridMultilevel"/>
    <w:tmpl w:val="381855FE"/>
    <w:lvl w:ilvl="0" w:tplc="536CDD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6F0A5C"/>
    <w:multiLevelType w:val="hybridMultilevel"/>
    <w:tmpl w:val="2ACC5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23"/>
    <w:rsid w:val="00003B62"/>
    <w:rsid w:val="00011A0F"/>
    <w:rsid w:val="00013C8D"/>
    <w:rsid w:val="00014FDA"/>
    <w:rsid w:val="00020C2D"/>
    <w:rsid w:val="00023837"/>
    <w:rsid w:val="00024625"/>
    <w:rsid w:val="00031294"/>
    <w:rsid w:val="00033E04"/>
    <w:rsid w:val="00041039"/>
    <w:rsid w:val="00054C08"/>
    <w:rsid w:val="00060FFD"/>
    <w:rsid w:val="00070097"/>
    <w:rsid w:val="000723BE"/>
    <w:rsid w:val="00075229"/>
    <w:rsid w:val="00077816"/>
    <w:rsid w:val="000818B2"/>
    <w:rsid w:val="000826FF"/>
    <w:rsid w:val="00084243"/>
    <w:rsid w:val="000A1787"/>
    <w:rsid w:val="000A28BB"/>
    <w:rsid w:val="000A7D69"/>
    <w:rsid w:val="000B1766"/>
    <w:rsid w:val="000B3021"/>
    <w:rsid w:val="000C01A2"/>
    <w:rsid w:val="000C66EA"/>
    <w:rsid w:val="000D0D9D"/>
    <w:rsid w:val="000D4161"/>
    <w:rsid w:val="000E1CBA"/>
    <w:rsid w:val="000E1D04"/>
    <w:rsid w:val="000E348E"/>
    <w:rsid w:val="000F3A0F"/>
    <w:rsid w:val="000F53C0"/>
    <w:rsid w:val="000F58F6"/>
    <w:rsid w:val="001239D8"/>
    <w:rsid w:val="00136CC6"/>
    <w:rsid w:val="0014497B"/>
    <w:rsid w:val="00145723"/>
    <w:rsid w:val="001603A5"/>
    <w:rsid w:val="00166A6D"/>
    <w:rsid w:val="00172D41"/>
    <w:rsid w:val="001737F3"/>
    <w:rsid w:val="001754DF"/>
    <w:rsid w:val="001776F6"/>
    <w:rsid w:val="0018122C"/>
    <w:rsid w:val="00181D39"/>
    <w:rsid w:val="00182322"/>
    <w:rsid w:val="001855C7"/>
    <w:rsid w:val="0018718F"/>
    <w:rsid w:val="00194017"/>
    <w:rsid w:val="00196136"/>
    <w:rsid w:val="00196424"/>
    <w:rsid w:val="001A672B"/>
    <w:rsid w:val="001B0C1F"/>
    <w:rsid w:val="001B138D"/>
    <w:rsid w:val="001B5D77"/>
    <w:rsid w:val="001B62E1"/>
    <w:rsid w:val="001B745C"/>
    <w:rsid w:val="001C5C3B"/>
    <w:rsid w:val="001D383B"/>
    <w:rsid w:val="001D54EE"/>
    <w:rsid w:val="001D5871"/>
    <w:rsid w:val="001D61A7"/>
    <w:rsid w:val="001E5AFF"/>
    <w:rsid w:val="001E5BCE"/>
    <w:rsid w:val="001F0DC8"/>
    <w:rsid w:val="001F3D7D"/>
    <w:rsid w:val="001F7021"/>
    <w:rsid w:val="001F7811"/>
    <w:rsid w:val="0020283E"/>
    <w:rsid w:val="0021045F"/>
    <w:rsid w:val="00213A13"/>
    <w:rsid w:val="00214F18"/>
    <w:rsid w:val="00215241"/>
    <w:rsid w:val="00221E89"/>
    <w:rsid w:val="0022780D"/>
    <w:rsid w:val="00232CA5"/>
    <w:rsid w:val="002423AF"/>
    <w:rsid w:val="002444A7"/>
    <w:rsid w:val="00245AC7"/>
    <w:rsid w:val="00253AF9"/>
    <w:rsid w:val="0025564E"/>
    <w:rsid w:val="0026244F"/>
    <w:rsid w:val="002657AE"/>
    <w:rsid w:val="00270B89"/>
    <w:rsid w:val="00271549"/>
    <w:rsid w:val="002753E8"/>
    <w:rsid w:val="0027769D"/>
    <w:rsid w:val="00277A80"/>
    <w:rsid w:val="002A0B1B"/>
    <w:rsid w:val="002A36A8"/>
    <w:rsid w:val="002A44AF"/>
    <w:rsid w:val="002B22EC"/>
    <w:rsid w:val="002B3657"/>
    <w:rsid w:val="002B710B"/>
    <w:rsid w:val="002B7725"/>
    <w:rsid w:val="002C3080"/>
    <w:rsid w:val="002C3107"/>
    <w:rsid w:val="002C7345"/>
    <w:rsid w:val="002C73BB"/>
    <w:rsid w:val="002D2DE9"/>
    <w:rsid w:val="002D33A5"/>
    <w:rsid w:val="002D398F"/>
    <w:rsid w:val="002E0BD2"/>
    <w:rsid w:val="002E103D"/>
    <w:rsid w:val="002E290D"/>
    <w:rsid w:val="002E4785"/>
    <w:rsid w:val="002E64D2"/>
    <w:rsid w:val="002E71DE"/>
    <w:rsid w:val="002F28F8"/>
    <w:rsid w:val="002F2F9F"/>
    <w:rsid w:val="002F5A70"/>
    <w:rsid w:val="002F6267"/>
    <w:rsid w:val="002F78A0"/>
    <w:rsid w:val="002F7FC3"/>
    <w:rsid w:val="00303B4C"/>
    <w:rsid w:val="00304177"/>
    <w:rsid w:val="00305B12"/>
    <w:rsid w:val="00310803"/>
    <w:rsid w:val="00311346"/>
    <w:rsid w:val="00311DF5"/>
    <w:rsid w:val="00313B74"/>
    <w:rsid w:val="003142D5"/>
    <w:rsid w:val="003153FA"/>
    <w:rsid w:val="003158C0"/>
    <w:rsid w:val="00316FA3"/>
    <w:rsid w:val="00325D68"/>
    <w:rsid w:val="00334ACD"/>
    <w:rsid w:val="0033639E"/>
    <w:rsid w:val="00342E88"/>
    <w:rsid w:val="0035045E"/>
    <w:rsid w:val="003512B8"/>
    <w:rsid w:val="00363287"/>
    <w:rsid w:val="00364489"/>
    <w:rsid w:val="003678F2"/>
    <w:rsid w:val="00371EA9"/>
    <w:rsid w:val="00372C15"/>
    <w:rsid w:val="00374424"/>
    <w:rsid w:val="00386B02"/>
    <w:rsid w:val="00392D1F"/>
    <w:rsid w:val="003A0EEB"/>
    <w:rsid w:val="003A174F"/>
    <w:rsid w:val="003A3574"/>
    <w:rsid w:val="003A6C48"/>
    <w:rsid w:val="003B26CA"/>
    <w:rsid w:val="003B33D8"/>
    <w:rsid w:val="003D505D"/>
    <w:rsid w:val="003E14B7"/>
    <w:rsid w:val="003E3F3F"/>
    <w:rsid w:val="003E7ED3"/>
    <w:rsid w:val="003F60CE"/>
    <w:rsid w:val="004037A8"/>
    <w:rsid w:val="00404B6E"/>
    <w:rsid w:val="00425872"/>
    <w:rsid w:val="004306AC"/>
    <w:rsid w:val="00431023"/>
    <w:rsid w:val="004339E1"/>
    <w:rsid w:val="00436B47"/>
    <w:rsid w:val="00440257"/>
    <w:rsid w:val="0044307C"/>
    <w:rsid w:val="004453A4"/>
    <w:rsid w:val="00454000"/>
    <w:rsid w:val="0045612C"/>
    <w:rsid w:val="00464241"/>
    <w:rsid w:val="00466C88"/>
    <w:rsid w:val="004708FF"/>
    <w:rsid w:val="00473486"/>
    <w:rsid w:val="00476CD3"/>
    <w:rsid w:val="00482A94"/>
    <w:rsid w:val="00484341"/>
    <w:rsid w:val="00486467"/>
    <w:rsid w:val="00490246"/>
    <w:rsid w:val="004A0AEB"/>
    <w:rsid w:val="004A3375"/>
    <w:rsid w:val="004A49B0"/>
    <w:rsid w:val="004B660F"/>
    <w:rsid w:val="004C5321"/>
    <w:rsid w:val="004C5E93"/>
    <w:rsid w:val="004C69AE"/>
    <w:rsid w:val="004C6FA6"/>
    <w:rsid w:val="004D02FB"/>
    <w:rsid w:val="004D6859"/>
    <w:rsid w:val="004E0FE0"/>
    <w:rsid w:val="004E2D36"/>
    <w:rsid w:val="004E615E"/>
    <w:rsid w:val="004E73A8"/>
    <w:rsid w:val="005015E0"/>
    <w:rsid w:val="00502F19"/>
    <w:rsid w:val="00504DA5"/>
    <w:rsid w:val="00510144"/>
    <w:rsid w:val="00512BF6"/>
    <w:rsid w:val="005171A4"/>
    <w:rsid w:val="00517E22"/>
    <w:rsid w:val="00522513"/>
    <w:rsid w:val="00525B1B"/>
    <w:rsid w:val="0053068E"/>
    <w:rsid w:val="005342FD"/>
    <w:rsid w:val="00536C7E"/>
    <w:rsid w:val="00540BB1"/>
    <w:rsid w:val="00546BE9"/>
    <w:rsid w:val="00555D88"/>
    <w:rsid w:val="005561D0"/>
    <w:rsid w:val="00562DBA"/>
    <w:rsid w:val="005809A2"/>
    <w:rsid w:val="0058240C"/>
    <w:rsid w:val="005A3D8C"/>
    <w:rsid w:val="005B16AA"/>
    <w:rsid w:val="005C2F86"/>
    <w:rsid w:val="005C7328"/>
    <w:rsid w:val="005D2A0B"/>
    <w:rsid w:val="005D50C4"/>
    <w:rsid w:val="005D76FA"/>
    <w:rsid w:val="005E37AE"/>
    <w:rsid w:val="005E7DBC"/>
    <w:rsid w:val="005F3534"/>
    <w:rsid w:val="006037B1"/>
    <w:rsid w:val="00605F89"/>
    <w:rsid w:val="006115FC"/>
    <w:rsid w:val="00612DB7"/>
    <w:rsid w:val="0061640B"/>
    <w:rsid w:val="006234CB"/>
    <w:rsid w:val="00633CB8"/>
    <w:rsid w:val="00634469"/>
    <w:rsid w:val="00635A32"/>
    <w:rsid w:val="0063780D"/>
    <w:rsid w:val="006419C4"/>
    <w:rsid w:val="0064477D"/>
    <w:rsid w:val="00644891"/>
    <w:rsid w:val="00647695"/>
    <w:rsid w:val="006563D7"/>
    <w:rsid w:val="006569C3"/>
    <w:rsid w:val="006576FD"/>
    <w:rsid w:val="006609AD"/>
    <w:rsid w:val="00666557"/>
    <w:rsid w:val="00673011"/>
    <w:rsid w:val="00677EA0"/>
    <w:rsid w:val="0068418E"/>
    <w:rsid w:val="006921A1"/>
    <w:rsid w:val="006930C0"/>
    <w:rsid w:val="006943BD"/>
    <w:rsid w:val="00697F61"/>
    <w:rsid w:val="006A0075"/>
    <w:rsid w:val="006A0F5F"/>
    <w:rsid w:val="006B2423"/>
    <w:rsid w:val="006C25DD"/>
    <w:rsid w:val="006C2C93"/>
    <w:rsid w:val="006C3EF9"/>
    <w:rsid w:val="006D2722"/>
    <w:rsid w:val="006E1B6B"/>
    <w:rsid w:val="006E62EF"/>
    <w:rsid w:val="006F0E96"/>
    <w:rsid w:val="006F3636"/>
    <w:rsid w:val="006F6444"/>
    <w:rsid w:val="007007C5"/>
    <w:rsid w:val="007047B0"/>
    <w:rsid w:val="00705A0F"/>
    <w:rsid w:val="007110EE"/>
    <w:rsid w:val="007139D1"/>
    <w:rsid w:val="007156D4"/>
    <w:rsid w:val="00720BE6"/>
    <w:rsid w:val="00731C4F"/>
    <w:rsid w:val="00736102"/>
    <w:rsid w:val="007420F4"/>
    <w:rsid w:val="00746585"/>
    <w:rsid w:val="007509F6"/>
    <w:rsid w:val="007631B8"/>
    <w:rsid w:val="007653ED"/>
    <w:rsid w:val="00766321"/>
    <w:rsid w:val="00770A06"/>
    <w:rsid w:val="00770CD2"/>
    <w:rsid w:val="0077148A"/>
    <w:rsid w:val="007736B9"/>
    <w:rsid w:val="007777DD"/>
    <w:rsid w:val="00781FFA"/>
    <w:rsid w:val="00784D83"/>
    <w:rsid w:val="00787836"/>
    <w:rsid w:val="00787C75"/>
    <w:rsid w:val="00793822"/>
    <w:rsid w:val="007A5A1E"/>
    <w:rsid w:val="007B059E"/>
    <w:rsid w:val="007B612B"/>
    <w:rsid w:val="007B7332"/>
    <w:rsid w:val="007B7DF1"/>
    <w:rsid w:val="007C0151"/>
    <w:rsid w:val="007C40F2"/>
    <w:rsid w:val="007C5019"/>
    <w:rsid w:val="007D05B8"/>
    <w:rsid w:val="007D083B"/>
    <w:rsid w:val="007D0FD6"/>
    <w:rsid w:val="007D2E87"/>
    <w:rsid w:val="007D4A1A"/>
    <w:rsid w:val="007D7EFD"/>
    <w:rsid w:val="007E240B"/>
    <w:rsid w:val="007F4BA5"/>
    <w:rsid w:val="008009E1"/>
    <w:rsid w:val="0080316F"/>
    <w:rsid w:val="0082104B"/>
    <w:rsid w:val="00825FE8"/>
    <w:rsid w:val="00832276"/>
    <w:rsid w:val="00844FBD"/>
    <w:rsid w:val="00847B65"/>
    <w:rsid w:val="0085530F"/>
    <w:rsid w:val="00855D1B"/>
    <w:rsid w:val="00863700"/>
    <w:rsid w:val="00867355"/>
    <w:rsid w:val="00870398"/>
    <w:rsid w:val="00873B61"/>
    <w:rsid w:val="00875455"/>
    <w:rsid w:val="008838FB"/>
    <w:rsid w:val="00884E61"/>
    <w:rsid w:val="008878AF"/>
    <w:rsid w:val="00890897"/>
    <w:rsid w:val="00892A93"/>
    <w:rsid w:val="00893E65"/>
    <w:rsid w:val="00897429"/>
    <w:rsid w:val="008B3B5F"/>
    <w:rsid w:val="008B66B4"/>
    <w:rsid w:val="008C4397"/>
    <w:rsid w:val="008C5A50"/>
    <w:rsid w:val="008D02A3"/>
    <w:rsid w:val="008D0E38"/>
    <w:rsid w:val="008D1D8B"/>
    <w:rsid w:val="008E16C2"/>
    <w:rsid w:val="008E2E49"/>
    <w:rsid w:val="0090059C"/>
    <w:rsid w:val="00912A2B"/>
    <w:rsid w:val="00927CB0"/>
    <w:rsid w:val="009348F4"/>
    <w:rsid w:val="009364C0"/>
    <w:rsid w:val="0094041C"/>
    <w:rsid w:val="00947D63"/>
    <w:rsid w:val="00951809"/>
    <w:rsid w:val="00952B48"/>
    <w:rsid w:val="009534EB"/>
    <w:rsid w:val="0095655F"/>
    <w:rsid w:val="009616BF"/>
    <w:rsid w:val="00965950"/>
    <w:rsid w:val="00972E43"/>
    <w:rsid w:val="00972E7D"/>
    <w:rsid w:val="00975B1A"/>
    <w:rsid w:val="009807CD"/>
    <w:rsid w:val="00981DCE"/>
    <w:rsid w:val="009865DF"/>
    <w:rsid w:val="00986AB9"/>
    <w:rsid w:val="009878C9"/>
    <w:rsid w:val="00992A4F"/>
    <w:rsid w:val="009943B0"/>
    <w:rsid w:val="009A4920"/>
    <w:rsid w:val="009A4A86"/>
    <w:rsid w:val="009A5054"/>
    <w:rsid w:val="009B0634"/>
    <w:rsid w:val="009B138A"/>
    <w:rsid w:val="009B1F19"/>
    <w:rsid w:val="009B4C4A"/>
    <w:rsid w:val="009B5178"/>
    <w:rsid w:val="009B5E0F"/>
    <w:rsid w:val="009B65DA"/>
    <w:rsid w:val="009C12B3"/>
    <w:rsid w:val="009C34F4"/>
    <w:rsid w:val="009C5A91"/>
    <w:rsid w:val="009D0DBA"/>
    <w:rsid w:val="009D1CEB"/>
    <w:rsid w:val="009E3C9A"/>
    <w:rsid w:val="009F0FF1"/>
    <w:rsid w:val="009F103B"/>
    <w:rsid w:val="00A00DFE"/>
    <w:rsid w:val="00A0387E"/>
    <w:rsid w:val="00A04D83"/>
    <w:rsid w:val="00A12C81"/>
    <w:rsid w:val="00A132B0"/>
    <w:rsid w:val="00A1370F"/>
    <w:rsid w:val="00A164B7"/>
    <w:rsid w:val="00A21EA6"/>
    <w:rsid w:val="00A24E91"/>
    <w:rsid w:val="00A3055A"/>
    <w:rsid w:val="00A322E9"/>
    <w:rsid w:val="00A32A21"/>
    <w:rsid w:val="00A3392B"/>
    <w:rsid w:val="00A4067B"/>
    <w:rsid w:val="00A4267B"/>
    <w:rsid w:val="00A433E5"/>
    <w:rsid w:val="00A472A4"/>
    <w:rsid w:val="00A517D7"/>
    <w:rsid w:val="00A520FE"/>
    <w:rsid w:val="00A57BE4"/>
    <w:rsid w:val="00A63DBD"/>
    <w:rsid w:val="00A64310"/>
    <w:rsid w:val="00A64B23"/>
    <w:rsid w:val="00A65871"/>
    <w:rsid w:val="00A72131"/>
    <w:rsid w:val="00A733C8"/>
    <w:rsid w:val="00A761E7"/>
    <w:rsid w:val="00A76469"/>
    <w:rsid w:val="00A81FD4"/>
    <w:rsid w:val="00A901F6"/>
    <w:rsid w:val="00A93195"/>
    <w:rsid w:val="00A93FD2"/>
    <w:rsid w:val="00AB181E"/>
    <w:rsid w:val="00AC1512"/>
    <w:rsid w:val="00AD4429"/>
    <w:rsid w:val="00AE24FE"/>
    <w:rsid w:val="00B00B35"/>
    <w:rsid w:val="00B15185"/>
    <w:rsid w:val="00B20C2F"/>
    <w:rsid w:val="00B242ED"/>
    <w:rsid w:val="00B24C5F"/>
    <w:rsid w:val="00B24CA7"/>
    <w:rsid w:val="00B254CC"/>
    <w:rsid w:val="00B30DEF"/>
    <w:rsid w:val="00B31C70"/>
    <w:rsid w:val="00B328DC"/>
    <w:rsid w:val="00B34E60"/>
    <w:rsid w:val="00B40AF2"/>
    <w:rsid w:val="00B41408"/>
    <w:rsid w:val="00B44F4E"/>
    <w:rsid w:val="00B4712A"/>
    <w:rsid w:val="00B511CC"/>
    <w:rsid w:val="00B515E0"/>
    <w:rsid w:val="00B54269"/>
    <w:rsid w:val="00B548E5"/>
    <w:rsid w:val="00B56462"/>
    <w:rsid w:val="00B567B2"/>
    <w:rsid w:val="00B62F60"/>
    <w:rsid w:val="00B70782"/>
    <w:rsid w:val="00B8135C"/>
    <w:rsid w:val="00B8479F"/>
    <w:rsid w:val="00B90182"/>
    <w:rsid w:val="00B9618D"/>
    <w:rsid w:val="00BA20F9"/>
    <w:rsid w:val="00BA2D63"/>
    <w:rsid w:val="00BA6726"/>
    <w:rsid w:val="00BB1321"/>
    <w:rsid w:val="00BB4D07"/>
    <w:rsid w:val="00BC7835"/>
    <w:rsid w:val="00BD3F55"/>
    <w:rsid w:val="00BF1D7E"/>
    <w:rsid w:val="00BF25C6"/>
    <w:rsid w:val="00BF2C32"/>
    <w:rsid w:val="00BF5160"/>
    <w:rsid w:val="00BF7D66"/>
    <w:rsid w:val="00C01E26"/>
    <w:rsid w:val="00C22B60"/>
    <w:rsid w:val="00C2629F"/>
    <w:rsid w:val="00C34B5E"/>
    <w:rsid w:val="00C36566"/>
    <w:rsid w:val="00C373F7"/>
    <w:rsid w:val="00C42D43"/>
    <w:rsid w:val="00C532C2"/>
    <w:rsid w:val="00C5541F"/>
    <w:rsid w:val="00C62756"/>
    <w:rsid w:val="00C64081"/>
    <w:rsid w:val="00C70698"/>
    <w:rsid w:val="00C7614B"/>
    <w:rsid w:val="00C76CF6"/>
    <w:rsid w:val="00C773DD"/>
    <w:rsid w:val="00C83A91"/>
    <w:rsid w:val="00C860F2"/>
    <w:rsid w:val="00C866FB"/>
    <w:rsid w:val="00C873F6"/>
    <w:rsid w:val="00C90E3D"/>
    <w:rsid w:val="00C962BA"/>
    <w:rsid w:val="00C969FF"/>
    <w:rsid w:val="00CA7A6A"/>
    <w:rsid w:val="00CB20E0"/>
    <w:rsid w:val="00CB4376"/>
    <w:rsid w:val="00CB5A90"/>
    <w:rsid w:val="00CB6553"/>
    <w:rsid w:val="00CC27B0"/>
    <w:rsid w:val="00CC3595"/>
    <w:rsid w:val="00CC4C89"/>
    <w:rsid w:val="00CC750D"/>
    <w:rsid w:val="00CC75BB"/>
    <w:rsid w:val="00CD0990"/>
    <w:rsid w:val="00CD1634"/>
    <w:rsid w:val="00CE22F8"/>
    <w:rsid w:val="00CE4455"/>
    <w:rsid w:val="00CF08F0"/>
    <w:rsid w:val="00CF2317"/>
    <w:rsid w:val="00CF6827"/>
    <w:rsid w:val="00D004BD"/>
    <w:rsid w:val="00D008C5"/>
    <w:rsid w:val="00D03D56"/>
    <w:rsid w:val="00D03D9E"/>
    <w:rsid w:val="00D07DF0"/>
    <w:rsid w:val="00D16A6F"/>
    <w:rsid w:val="00D20ADD"/>
    <w:rsid w:val="00D23020"/>
    <w:rsid w:val="00D3310B"/>
    <w:rsid w:val="00D36001"/>
    <w:rsid w:val="00D3638D"/>
    <w:rsid w:val="00D36DEE"/>
    <w:rsid w:val="00D473FA"/>
    <w:rsid w:val="00D50067"/>
    <w:rsid w:val="00D530CC"/>
    <w:rsid w:val="00D632D2"/>
    <w:rsid w:val="00D6555D"/>
    <w:rsid w:val="00D67650"/>
    <w:rsid w:val="00D8533D"/>
    <w:rsid w:val="00D90B14"/>
    <w:rsid w:val="00D90E23"/>
    <w:rsid w:val="00D936EF"/>
    <w:rsid w:val="00DA013E"/>
    <w:rsid w:val="00DA1C42"/>
    <w:rsid w:val="00DA3CB5"/>
    <w:rsid w:val="00DB38E0"/>
    <w:rsid w:val="00DB6150"/>
    <w:rsid w:val="00DC1899"/>
    <w:rsid w:val="00DD40BA"/>
    <w:rsid w:val="00DD6A30"/>
    <w:rsid w:val="00DE0653"/>
    <w:rsid w:val="00DE27EC"/>
    <w:rsid w:val="00DE36BE"/>
    <w:rsid w:val="00DE3FE7"/>
    <w:rsid w:val="00DF2AFE"/>
    <w:rsid w:val="00DF3797"/>
    <w:rsid w:val="00DF41F2"/>
    <w:rsid w:val="00DF4578"/>
    <w:rsid w:val="00DF4B65"/>
    <w:rsid w:val="00DF4BE5"/>
    <w:rsid w:val="00DF5F79"/>
    <w:rsid w:val="00E02905"/>
    <w:rsid w:val="00E0731C"/>
    <w:rsid w:val="00E11524"/>
    <w:rsid w:val="00E22076"/>
    <w:rsid w:val="00E27020"/>
    <w:rsid w:val="00E31F48"/>
    <w:rsid w:val="00E344F3"/>
    <w:rsid w:val="00E351B6"/>
    <w:rsid w:val="00E4739C"/>
    <w:rsid w:val="00E52A5F"/>
    <w:rsid w:val="00E54C28"/>
    <w:rsid w:val="00E56B45"/>
    <w:rsid w:val="00E647A2"/>
    <w:rsid w:val="00E7597E"/>
    <w:rsid w:val="00E75EA1"/>
    <w:rsid w:val="00E7631B"/>
    <w:rsid w:val="00E774CF"/>
    <w:rsid w:val="00E82CB9"/>
    <w:rsid w:val="00E87806"/>
    <w:rsid w:val="00E90827"/>
    <w:rsid w:val="00E91532"/>
    <w:rsid w:val="00E95D85"/>
    <w:rsid w:val="00E961EF"/>
    <w:rsid w:val="00E972D3"/>
    <w:rsid w:val="00EA3B37"/>
    <w:rsid w:val="00EA6ADD"/>
    <w:rsid w:val="00EB6C8D"/>
    <w:rsid w:val="00EC0661"/>
    <w:rsid w:val="00EC546A"/>
    <w:rsid w:val="00EC5924"/>
    <w:rsid w:val="00ED521F"/>
    <w:rsid w:val="00ED6E83"/>
    <w:rsid w:val="00EF60A1"/>
    <w:rsid w:val="00F134BA"/>
    <w:rsid w:val="00F13F5A"/>
    <w:rsid w:val="00F14DC8"/>
    <w:rsid w:val="00F17209"/>
    <w:rsid w:val="00F17A81"/>
    <w:rsid w:val="00F23574"/>
    <w:rsid w:val="00F25D73"/>
    <w:rsid w:val="00F27C8B"/>
    <w:rsid w:val="00F32553"/>
    <w:rsid w:val="00F37C03"/>
    <w:rsid w:val="00F41B9B"/>
    <w:rsid w:val="00F44610"/>
    <w:rsid w:val="00F52BCB"/>
    <w:rsid w:val="00F546E7"/>
    <w:rsid w:val="00F54E36"/>
    <w:rsid w:val="00F6170A"/>
    <w:rsid w:val="00F67136"/>
    <w:rsid w:val="00F67735"/>
    <w:rsid w:val="00F70B3E"/>
    <w:rsid w:val="00F70CEB"/>
    <w:rsid w:val="00F70F77"/>
    <w:rsid w:val="00F73FF0"/>
    <w:rsid w:val="00F754D8"/>
    <w:rsid w:val="00F75747"/>
    <w:rsid w:val="00F762B0"/>
    <w:rsid w:val="00F76AA1"/>
    <w:rsid w:val="00F91751"/>
    <w:rsid w:val="00FA5B1B"/>
    <w:rsid w:val="00FB65EB"/>
    <w:rsid w:val="00FC05D0"/>
    <w:rsid w:val="00FC408C"/>
    <w:rsid w:val="00FD3A83"/>
    <w:rsid w:val="00FE0409"/>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
    <w:name w:val="Light Shading"/>
    <w:basedOn w:val="NormalTablo"/>
    <w:uiPriority w:val="60"/>
    <w:rsid w:val="004310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47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
    <w:name w:val="Medium Grid 1"/>
    <w:basedOn w:val="NormalTablo"/>
    <w:uiPriority w:val="67"/>
    <w:rsid w:val="00EC59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1">
    <w:name w:val="Medium List 1"/>
    <w:basedOn w:val="NormalTablo"/>
    <w:uiPriority w:val="65"/>
    <w:rsid w:val="00F14D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onMetni">
    <w:name w:val="Balloon Text"/>
    <w:basedOn w:val="Normal"/>
    <w:link w:val="BalonMetniChar"/>
    <w:uiPriority w:val="99"/>
    <w:semiHidden/>
    <w:unhideWhenUsed/>
    <w:rsid w:val="003644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4489"/>
    <w:rPr>
      <w:rFonts w:ascii="Tahoma" w:hAnsi="Tahoma" w:cs="Tahoma"/>
      <w:sz w:val="16"/>
      <w:szCs w:val="16"/>
    </w:rPr>
  </w:style>
  <w:style w:type="character" w:customStyle="1" w:styleId="apple-converted-space">
    <w:name w:val="apple-converted-space"/>
    <w:basedOn w:val="VarsaylanParagrafYazTipi"/>
    <w:rsid w:val="00F76AA1"/>
  </w:style>
  <w:style w:type="paragraph" w:styleId="ListeParagraf">
    <w:name w:val="List Paragraph"/>
    <w:basedOn w:val="Normal"/>
    <w:uiPriority w:val="34"/>
    <w:qFormat/>
    <w:rsid w:val="0060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
    <w:name w:val="Light Shading"/>
    <w:basedOn w:val="NormalTablo"/>
    <w:uiPriority w:val="60"/>
    <w:rsid w:val="004310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47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
    <w:name w:val="Medium Grid 1"/>
    <w:basedOn w:val="NormalTablo"/>
    <w:uiPriority w:val="67"/>
    <w:rsid w:val="00EC59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1">
    <w:name w:val="Medium List 1"/>
    <w:basedOn w:val="NormalTablo"/>
    <w:uiPriority w:val="65"/>
    <w:rsid w:val="00F14D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onMetni">
    <w:name w:val="Balloon Text"/>
    <w:basedOn w:val="Normal"/>
    <w:link w:val="BalonMetniChar"/>
    <w:uiPriority w:val="99"/>
    <w:semiHidden/>
    <w:unhideWhenUsed/>
    <w:rsid w:val="003644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4489"/>
    <w:rPr>
      <w:rFonts w:ascii="Tahoma" w:hAnsi="Tahoma" w:cs="Tahoma"/>
      <w:sz w:val="16"/>
      <w:szCs w:val="16"/>
    </w:rPr>
  </w:style>
  <w:style w:type="character" w:customStyle="1" w:styleId="apple-converted-space">
    <w:name w:val="apple-converted-space"/>
    <w:basedOn w:val="VarsaylanParagrafYazTipi"/>
    <w:rsid w:val="00F76AA1"/>
  </w:style>
  <w:style w:type="paragraph" w:styleId="ListeParagraf">
    <w:name w:val="List Paragraph"/>
    <w:basedOn w:val="Normal"/>
    <w:uiPriority w:val="34"/>
    <w:qFormat/>
    <w:rsid w:val="0060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FECD-2727-441E-A2E8-EEE381C3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1599</Words>
  <Characters>9115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ABKA</dc:creator>
  <cp:lastModifiedBy>ABKA</cp:lastModifiedBy>
  <cp:revision>246</cp:revision>
  <cp:lastPrinted>2016-06-26T23:11:00Z</cp:lastPrinted>
  <dcterms:created xsi:type="dcterms:W3CDTF">2016-07-04T01:34:00Z</dcterms:created>
  <dcterms:modified xsi:type="dcterms:W3CDTF">2016-08-17T19:49:00Z</dcterms:modified>
</cp:coreProperties>
</file>