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0B" w:rsidRDefault="00DA7E0B" w:rsidP="00DA7E0B">
      <w:pPr>
        <w:spacing w:line="4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</w:p>
    <w:p w:rsidR="00DA7E0B" w:rsidRPr="00AB4695" w:rsidRDefault="00F75A31" w:rsidP="00DA7E0B">
      <w:pPr>
        <w:spacing w:line="4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AB4695">
        <w:rPr>
          <w:rFonts w:ascii="Arial" w:hAnsi="Arial" w:cs="Arial"/>
          <w:b/>
          <w:sz w:val="28"/>
          <w:szCs w:val="28"/>
          <w:lang w:val="en-US"/>
        </w:rPr>
        <w:t>Catecholamine metabolism induces mitochondrial DNA deletions and leads to severe adrenal degeneration during aging</w:t>
      </w:r>
    </w:p>
    <w:p w:rsidR="00301663" w:rsidRPr="00AB4695" w:rsidRDefault="00301663" w:rsidP="00DA7E0B">
      <w:pPr>
        <w:spacing w:line="4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F14010" w:rsidRPr="00AB4695" w:rsidRDefault="00F14010" w:rsidP="00F14010">
      <w:pPr>
        <w:spacing w:line="360" w:lineRule="auto"/>
        <w:jc w:val="both"/>
        <w:rPr>
          <w:rFonts w:ascii="Arial" w:hAnsi="Arial"/>
        </w:rPr>
      </w:pPr>
      <w:r w:rsidRPr="00AB4695">
        <w:rPr>
          <w:rFonts w:ascii="Arial" w:hAnsi="Arial"/>
        </w:rPr>
        <w:t>Johannes Friedrich Georg Neuhaus</w:t>
      </w:r>
      <w:r w:rsidRPr="00AB4695">
        <w:rPr>
          <w:rFonts w:ascii="Arial" w:hAnsi="Arial"/>
          <w:vertAlign w:val="superscript"/>
        </w:rPr>
        <w:t>1</w:t>
      </w:r>
      <w:r w:rsidRPr="00AB4695">
        <w:rPr>
          <w:rFonts w:ascii="Arial" w:hAnsi="Arial"/>
        </w:rPr>
        <w:t xml:space="preserve">, </w:t>
      </w:r>
      <w:r w:rsidR="005677B5" w:rsidRPr="00AB4695">
        <w:rPr>
          <w:rFonts w:ascii="Arial" w:hAnsi="Arial"/>
        </w:rPr>
        <w:t>Olivier Richard Baris</w:t>
      </w:r>
      <w:r w:rsidR="005677B5" w:rsidRPr="00AB4695">
        <w:rPr>
          <w:rFonts w:ascii="Arial" w:hAnsi="Arial"/>
          <w:vertAlign w:val="superscript"/>
        </w:rPr>
        <w:t>1</w:t>
      </w:r>
      <w:r w:rsidR="005677B5" w:rsidRPr="00AB4695">
        <w:rPr>
          <w:rFonts w:ascii="Arial" w:hAnsi="Arial"/>
        </w:rPr>
        <w:t xml:space="preserve">, </w:t>
      </w:r>
      <w:r w:rsidRPr="00AB4695">
        <w:rPr>
          <w:rFonts w:ascii="Arial" w:hAnsi="Arial"/>
        </w:rPr>
        <w:t>Anne Kittelmann</w:t>
      </w:r>
      <w:r w:rsidRPr="00AB4695">
        <w:rPr>
          <w:rFonts w:ascii="Arial" w:hAnsi="Arial"/>
          <w:vertAlign w:val="superscript"/>
        </w:rPr>
        <w:t>1</w:t>
      </w:r>
      <w:r w:rsidR="005677B5" w:rsidRPr="00AB4695">
        <w:rPr>
          <w:rFonts w:ascii="Arial" w:hAnsi="Arial"/>
        </w:rPr>
        <w:t xml:space="preserve">, </w:t>
      </w:r>
      <w:r w:rsidRPr="00AB4695">
        <w:rPr>
          <w:rFonts w:ascii="Arial" w:hAnsi="Arial" w:cs="Arial"/>
        </w:rPr>
        <w:t>Katrin</w:t>
      </w:r>
      <w:r w:rsidRPr="00AB4695">
        <w:rPr>
          <w:rFonts w:ascii="Arial" w:hAnsi="Arial"/>
        </w:rPr>
        <w:t xml:space="preserve"> Becker</w:t>
      </w:r>
      <w:r w:rsidRPr="00AB4695">
        <w:rPr>
          <w:rFonts w:ascii="Arial" w:hAnsi="Arial"/>
          <w:vertAlign w:val="superscript"/>
        </w:rPr>
        <w:t>2</w:t>
      </w:r>
      <w:r w:rsidRPr="00AB4695">
        <w:rPr>
          <w:rFonts w:ascii="Arial" w:hAnsi="Arial" w:cs="Arial"/>
        </w:rPr>
        <w:t>, Markus Alexander Rothschild</w:t>
      </w:r>
      <w:r w:rsidRPr="00AB4695">
        <w:rPr>
          <w:rFonts w:ascii="Arial" w:hAnsi="Arial" w:cs="Arial"/>
          <w:vertAlign w:val="superscript"/>
        </w:rPr>
        <w:t>2</w:t>
      </w:r>
      <w:r w:rsidRPr="00AB4695">
        <w:rPr>
          <w:rFonts w:ascii="Arial" w:hAnsi="Arial"/>
        </w:rPr>
        <w:t xml:space="preserve"> and Rudolf Josef Wiesner</w:t>
      </w:r>
      <w:r w:rsidRPr="00AB4695">
        <w:rPr>
          <w:rFonts w:ascii="Arial" w:hAnsi="Arial"/>
          <w:vertAlign w:val="superscript"/>
        </w:rPr>
        <w:t>1,3,4</w:t>
      </w:r>
    </w:p>
    <w:p w:rsidR="00F14010" w:rsidRPr="00AB4695" w:rsidRDefault="00F14010" w:rsidP="00F14010">
      <w:pPr>
        <w:spacing w:line="480" w:lineRule="auto"/>
        <w:jc w:val="both"/>
        <w:rPr>
          <w:rFonts w:ascii="Arial" w:hAnsi="Arial"/>
          <w:sz w:val="20"/>
          <w:vertAlign w:val="superscript"/>
        </w:rPr>
      </w:pPr>
    </w:p>
    <w:p w:rsidR="00F14010" w:rsidRPr="00AB4695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695">
        <w:rPr>
          <w:rFonts w:ascii="Arial" w:hAnsi="Arial"/>
          <w:sz w:val="20"/>
          <w:vertAlign w:val="superscript"/>
          <w:lang w:val="en-US"/>
        </w:rPr>
        <w:t>1</w:t>
      </w:r>
      <w:r w:rsidRPr="00AB4695">
        <w:rPr>
          <w:rFonts w:ascii="Arial" w:hAnsi="Arial"/>
          <w:sz w:val="20"/>
          <w:lang w:val="en-US"/>
        </w:rPr>
        <w:t xml:space="preserve">Center for Physiology and Pathophysiology, Institute of Vegetative Physiology, Medical Faculty, University of Köln, Robert-Koch-Str. 39, 50931 Köln, Germany </w:t>
      </w:r>
    </w:p>
    <w:p w:rsidR="00F14010" w:rsidRPr="00AB4695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695">
        <w:rPr>
          <w:rFonts w:ascii="Arial" w:hAnsi="Arial" w:cs="Arial"/>
          <w:sz w:val="20"/>
          <w:vertAlign w:val="superscript"/>
          <w:lang w:val="en-US"/>
        </w:rPr>
        <w:t>2</w:t>
      </w:r>
      <w:r w:rsidRPr="00AB4695">
        <w:rPr>
          <w:rFonts w:ascii="Arial" w:hAnsi="Arial" w:cs="Arial"/>
          <w:sz w:val="20"/>
          <w:lang w:val="en-US"/>
        </w:rPr>
        <w:t>Institute of Legal Medicine, Medical Faculty</w:t>
      </w:r>
      <w:r w:rsidRPr="00AB4695">
        <w:rPr>
          <w:rFonts w:ascii="Arial" w:hAnsi="Arial"/>
          <w:sz w:val="20"/>
          <w:lang w:val="en-US"/>
        </w:rPr>
        <w:t xml:space="preserve">, University of Köln, Melatengürtel 60/62, 50823 Köln, Germany </w:t>
      </w:r>
    </w:p>
    <w:p w:rsidR="00F14010" w:rsidRPr="00AB4695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695">
        <w:rPr>
          <w:rFonts w:ascii="Arial" w:hAnsi="Arial"/>
          <w:sz w:val="20"/>
          <w:vertAlign w:val="superscript"/>
          <w:lang w:val="en-US"/>
        </w:rPr>
        <w:t>3</w:t>
      </w:r>
      <w:r w:rsidRPr="00AB4695">
        <w:rPr>
          <w:rFonts w:ascii="Arial" w:hAnsi="Arial"/>
          <w:sz w:val="20"/>
          <w:lang w:val="en-US"/>
        </w:rPr>
        <w:t>Center for Molecular Medicine Cologne (CMMC), University of Köln, Robert-Koch-Str. 21, 50931 Köln, Germany</w:t>
      </w:r>
    </w:p>
    <w:p w:rsidR="00F14010" w:rsidRPr="00AB4695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695">
        <w:rPr>
          <w:rFonts w:ascii="Arial" w:hAnsi="Arial"/>
          <w:sz w:val="20"/>
          <w:vertAlign w:val="superscript"/>
          <w:lang w:val="en-US"/>
        </w:rPr>
        <w:t>4</w:t>
      </w:r>
      <w:r w:rsidRPr="00AB4695">
        <w:rPr>
          <w:rFonts w:ascii="Arial" w:hAnsi="Arial"/>
          <w:sz w:val="20"/>
          <w:lang w:val="en-US"/>
        </w:rPr>
        <w:t xml:space="preserve">Cologne Excellence Cluster on Cellular Stress Responses in Ageing-associated Diseases (CECAD), University of Köln, Joseph-Stelzmann-Str. 26, 50931 Köln, Germany </w:t>
      </w:r>
    </w:p>
    <w:p w:rsidR="00F14010" w:rsidRPr="00AB4695" w:rsidRDefault="00F14010" w:rsidP="00F14010">
      <w:pPr>
        <w:spacing w:line="480" w:lineRule="auto"/>
        <w:rPr>
          <w:rFonts w:ascii="Arial" w:hAnsi="Arial"/>
          <w:lang w:val="en-US"/>
        </w:rPr>
      </w:pPr>
    </w:p>
    <w:p w:rsidR="00F14010" w:rsidRPr="00AB4695" w:rsidRDefault="00F14010" w:rsidP="00F14010">
      <w:pPr>
        <w:spacing w:line="360" w:lineRule="auto"/>
        <w:rPr>
          <w:rFonts w:ascii="Arial" w:hAnsi="Arial"/>
          <w:lang w:val="en-US"/>
        </w:rPr>
      </w:pPr>
      <w:r w:rsidRPr="00AB4695">
        <w:rPr>
          <w:rFonts w:ascii="Arial" w:hAnsi="Arial"/>
          <w:lang w:val="en-US"/>
        </w:rPr>
        <w:t>Corresponding author: Rudolf J. Wiesner</w:t>
      </w:r>
      <w:r w:rsidRPr="00AB4695">
        <w:rPr>
          <w:rFonts w:ascii="Arial" w:hAnsi="Arial"/>
          <w:lang w:val="en-US"/>
        </w:rPr>
        <w:tab/>
        <w:t xml:space="preserve">Mail: </w:t>
      </w:r>
      <w:r w:rsidR="00CD1132" w:rsidRPr="00AB4695">
        <w:rPr>
          <w:rFonts w:ascii="Arial" w:hAnsi="Arial"/>
          <w:lang w:val="en-US"/>
        </w:rPr>
        <w:t>rudolf.wiesner@uni-koeln.de</w:t>
      </w:r>
    </w:p>
    <w:p w:rsidR="00F14010" w:rsidRPr="00AB4695" w:rsidRDefault="00F14010" w:rsidP="00F14010">
      <w:pPr>
        <w:spacing w:line="360" w:lineRule="auto"/>
        <w:rPr>
          <w:rFonts w:ascii="Arial" w:hAnsi="Arial"/>
          <w:lang w:val="en-US"/>
        </w:rPr>
      </w:pP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  <w:t>Tel: +49-221-4783610</w:t>
      </w:r>
    </w:p>
    <w:p w:rsidR="00F14010" w:rsidRPr="00AB4695" w:rsidRDefault="00F14010" w:rsidP="00F14010">
      <w:pPr>
        <w:spacing w:line="360" w:lineRule="auto"/>
        <w:rPr>
          <w:rFonts w:ascii="Arial" w:hAnsi="Arial"/>
          <w:lang w:val="en-US"/>
        </w:rPr>
      </w:pP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</w:r>
      <w:r w:rsidRPr="00AB4695">
        <w:rPr>
          <w:rFonts w:ascii="Arial" w:hAnsi="Arial"/>
          <w:lang w:val="en-US"/>
        </w:rPr>
        <w:tab/>
        <w:t>Fax: +49-221-4783538</w:t>
      </w:r>
    </w:p>
    <w:p w:rsidR="00225D01" w:rsidRPr="00AB4695" w:rsidRDefault="00225D01" w:rsidP="00225D01">
      <w:pPr>
        <w:spacing w:line="480" w:lineRule="auto"/>
        <w:rPr>
          <w:rFonts w:ascii="Arial" w:hAnsi="Arial" w:cs="Arial"/>
          <w:b/>
          <w:lang w:val="en-US"/>
        </w:rPr>
      </w:pPr>
      <w:r w:rsidRPr="00AB4695">
        <w:rPr>
          <w:rFonts w:ascii="Arial" w:hAnsi="Arial" w:cs="Arial"/>
          <w:b/>
          <w:lang w:val="en-US"/>
        </w:rPr>
        <w:t>Inventory of Supplemental Information</w:t>
      </w:r>
    </w:p>
    <w:p w:rsidR="00225D01" w:rsidRPr="00AB4695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>Supplementary Figure S1, related to Figure 1</w:t>
      </w:r>
    </w:p>
    <w:p w:rsidR="00225D01" w:rsidRPr="00AB4695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 xml:space="preserve">Supplementary Figure S2, related to Figure </w:t>
      </w:r>
      <w:r w:rsidR="00ED311D" w:rsidRPr="00AB4695">
        <w:rPr>
          <w:rFonts w:ascii="Arial" w:hAnsi="Arial" w:cs="Arial"/>
          <w:lang w:val="en-US"/>
        </w:rPr>
        <w:t>5</w:t>
      </w:r>
    </w:p>
    <w:p w:rsidR="00225D01" w:rsidRPr="00AB4695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 xml:space="preserve">Supplementary Figure S3, related to Figure </w:t>
      </w:r>
      <w:r w:rsidR="00ED311D" w:rsidRPr="00AB4695">
        <w:rPr>
          <w:rFonts w:ascii="Arial" w:hAnsi="Arial" w:cs="Arial"/>
          <w:lang w:val="en-US"/>
        </w:rPr>
        <w:t>1</w:t>
      </w:r>
      <w:r w:rsidRPr="00AB4695">
        <w:rPr>
          <w:rFonts w:ascii="Arial" w:hAnsi="Arial" w:cs="Arial"/>
          <w:lang w:val="en-US"/>
        </w:rPr>
        <w:t xml:space="preserve"> </w:t>
      </w:r>
    </w:p>
    <w:p w:rsidR="00225D01" w:rsidRPr="00AB4695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 xml:space="preserve">Supplementary Figure S4, related to Figure </w:t>
      </w:r>
      <w:r w:rsidR="003036E6" w:rsidRPr="00AB4695">
        <w:rPr>
          <w:rFonts w:ascii="Arial" w:hAnsi="Arial" w:cs="Arial"/>
          <w:lang w:val="en-US"/>
        </w:rPr>
        <w:t>2</w:t>
      </w:r>
    </w:p>
    <w:p w:rsidR="00DA7E0B" w:rsidRPr="00AB4695" w:rsidRDefault="00DA7E0B" w:rsidP="00DA7E0B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 xml:space="preserve">Supplementary Figure S5, related to Figure </w:t>
      </w:r>
      <w:r w:rsidR="007D6989" w:rsidRPr="00AB4695">
        <w:rPr>
          <w:rFonts w:ascii="Arial" w:hAnsi="Arial" w:cs="Arial"/>
          <w:lang w:val="en-US"/>
        </w:rPr>
        <w:t>2</w:t>
      </w:r>
    </w:p>
    <w:p w:rsidR="00DA7E0B" w:rsidRPr="00AB4695" w:rsidRDefault="00DA7E0B" w:rsidP="00DA7E0B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 xml:space="preserve">Supplementary Figure S6, related to Figure </w:t>
      </w:r>
      <w:r w:rsidR="007D6989" w:rsidRPr="00AB4695">
        <w:rPr>
          <w:rFonts w:ascii="Arial" w:hAnsi="Arial" w:cs="Arial"/>
          <w:lang w:val="en-US"/>
        </w:rPr>
        <w:t>3</w:t>
      </w:r>
    </w:p>
    <w:p w:rsidR="007D6989" w:rsidRPr="00AB4695" w:rsidRDefault="007D6989" w:rsidP="00DA7E0B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>Supplementary Figure S7, related to Figure 3</w:t>
      </w:r>
    </w:p>
    <w:p w:rsidR="007D6989" w:rsidRPr="00AB4695" w:rsidRDefault="007D6989" w:rsidP="00DA7E0B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>Supplementary Figure S8, related to Figure 4, 5 and 6</w:t>
      </w:r>
    </w:p>
    <w:p w:rsidR="007D6989" w:rsidRPr="00AB4695" w:rsidRDefault="007D6989" w:rsidP="00DA7E0B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>Supplementary Figure S9, related to Figure 5</w:t>
      </w:r>
    </w:p>
    <w:p w:rsidR="00C06AE1" w:rsidRPr="00AB4695" w:rsidRDefault="00C06AE1" w:rsidP="00F14010">
      <w:pPr>
        <w:spacing w:line="480" w:lineRule="auto"/>
        <w:rPr>
          <w:rFonts w:ascii="Arial" w:hAnsi="Arial" w:cs="Arial"/>
          <w:lang w:val="en-US"/>
        </w:rPr>
      </w:pPr>
      <w:r w:rsidRPr="00AB4695">
        <w:rPr>
          <w:rFonts w:ascii="Arial" w:hAnsi="Arial" w:cs="Arial"/>
          <w:lang w:val="en-US"/>
        </w:rPr>
        <w:t>Supplementary Table S1, related to Figure 5, S3 and S9</w:t>
      </w:r>
    </w:p>
    <w:p w:rsidR="00D22C20" w:rsidRPr="00AB4695" w:rsidRDefault="00DA7E0B" w:rsidP="00F14010">
      <w:pPr>
        <w:spacing w:line="480" w:lineRule="auto"/>
        <w:rPr>
          <w:rFonts w:ascii="Arial" w:hAnsi="Arial"/>
          <w:b/>
          <w:bCs/>
          <w:lang w:val="en-US"/>
        </w:rPr>
      </w:pPr>
      <w:r w:rsidRPr="00AB4695">
        <w:rPr>
          <w:rFonts w:ascii="Arial" w:hAnsi="Arial" w:cs="Arial"/>
          <w:lang w:val="en-US"/>
        </w:rPr>
        <w:t>Supplementary Table S</w:t>
      </w:r>
      <w:r w:rsidR="00C06AE1" w:rsidRPr="00AB4695">
        <w:rPr>
          <w:rFonts w:ascii="Arial" w:hAnsi="Arial" w:cs="Arial"/>
          <w:lang w:val="en-US"/>
        </w:rPr>
        <w:t>2</w:t>
      </w:r>
      <w:r w:rsidRPr="00AB4695">
        <w:rPr>
          <w:rFonts w:ascii="Arial" w:hAnsi="Arial" w:cs="Arial"/>
          <w:lang w:val="en-US"/>
        </w:rPr>
        <w:t>, related to Figure 4</w:t>
      </w:r>
      <w:r w:rsidR="00CD7DB2" w:rsidRPr="00AB4695">
        <w:rPr>
          <w:rFonts w:ascii="Arial" w:hAnsi="Arial" w:cs="Arial"/>
          <w:lang w:val="en-US"/>
        </w:rPr>
        <w:t>, 5</w:t>
      </w:r>
      <w:r w:rsidRPr="00AB4695">
        <w:rPr>
          <w:rFonts w:ascii="Arial" w:hAnsi="Arial" w:cs="Arial"/>
          <w:lang w:val="en-US"/>
        </w:rPr>
        <w:t xml:space="preserve"> and 6</w:t>
      </w:r>
      <w:r w:rsidR="00D22C20" w:rsidRPr="00AB4695">
        <w:rPr>
          <w:rFonts w:ascii="Arial" w:hAnsi="Arial"/>
          <w:b/>
          <w:bCs/>
          <w:lang w:val="en-US"/>
        </w:rPr>
        <w:br w:type="page"/>
      </w:r>
    </w:p>
    <w:p w:rsidR="00D22C20" w:rsidRPr="00AB4695" w:rsidRDefault="00D22C20" w:rsidP="0051461E">
      <w:pPr>
        <w:spacing w:line="360" w:lineRule="auto"/>
        <w:jc w:val="center"/>
        <w:rPr>
          <w:rFonts w:ascii="Arial" w:hAnsi="Arial"/>
          <w:b/>
          <w:bCs/>
          <w:lang w:val="en-US"/>
        </w:rPr>
      </w:pPr>
      <w:r w:rsidRPr="00AB4695">
        <w:rPr>
          <w:rFonts w:ascii="Arial" w:hAnsi="Arial"/>
          <w:b/>
          <w:bCs/>
          <w:noProof/>
          <w:lang w:val="en-US" w:eastAsia="en-US"/>
        </w:rPr>
        <w:lastRenderedPageBreak/>
        <w:drawing>
          <wp:inline distT="0" distB="0" distL="0" distR="0" wp14:anchorId="644FCA09" wp14:editId="64069781">
            <wp:extent cx="4411065" cy="3897608"/>
            <wp:effectExtent l="0" t="0" r="889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s Del Screen v3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91" cy="39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63" w:rsidRPr="00AB4695" w:rsidRDefault="00CB034D" w:rsidP="00DA7E0B">
      <w:pPr>
        <w:spacing w:line="360" w:lineRule="auto"/>
        <w:jc w:val="both"/>
        <w:rPr>
          <w:rFonts w:ascii="Arial" w:hAnsi="Arial"/>
          <w:lang w:val="en-GB"/>
        </w:rPr>
      </w:pPr>
      <w:r w:rsidRPr="00AB4695">
        <w:rPr>
          <w:rFonts w:ascii="Arial" w:hAnsi="Arial"/>
          <w:b/>
          <w:bCs/>
          <w:lang w:val="en-US"/>
        </w:rPr>
        <w:t>Supplementary Fig</w:t>
      </w:r>
      <w:r w:rsidR="00485D30" w:rsidRPr="00AB4695">
        <w:rPr>
          <w:rFonts w:ascii="Arial" w:hAnsi="Arial"/>
          <w:b/>
          <w:bCs/>
          <w:lang w:val="en-US"/>
        </w:rPr>
        <w:t>. </w:t>
      </w:r>
      <w:r w:rsidRPr="00AB4695">
        <w:rPr>
          <w:rFonts w:ascii="Arial" w:hAnsi="Arial"/>
          <w:b/>
          <w:bCs/>
          <w:lang w:val="en-US"/>
        </w:rPr>
        <w:t>S1</w:t>
      </w:r>
      <w:r w:rsidR="0077314B" w:rsidRPr="00AB4695">
        <w:rPr>
          <w:rFonts w:ascii="Arial" w:hAnsi="Arial"/>
          <w:b/>
          <w:bCs/>
          <w:lang w:val="en-US"/>
        </w:rPr>
        <w:t>.</w:t>
      </w:r>
      <w:r w:rsidRPr="00AB4695">
        <w:rPr>
          <w:rFonts w:ascii="Arial" w:hAnsi="Arial"/>
          <w:b/>
          <w:bCs/>
          <w:lang w:val="en-US"/>
        </w:rPr>
        <w:t xml:space="preserve"> </w:t>
      </w:r>
      <w:r w:rsidR="00485D30" w:rsidRPr="00AB4695">
        <w:rPr>
          <w:rFonts w:ascii="Arial" w:hAnsi="Arial"/>
          <w:lang w:val="en-US"/>
        </w:rPr>
        <w:t>Arrangement of the three mtDNA deletion</w:t>
      </w:r>
      <w:r w:rsidR="00D22C20" w:rsidRPr="00AB4695">
        <w:rPr>
          <w:rFonts w:ascii="Arial" w:hAnsi="Arial"/>
          <w:lang w:val="en-US"/>
        </w:rPr>
        <w:t>s</w:t>
      </w:r>
      <w:r w:rsidR="00485D30" w:rsidRPr="00AB4695">
        <w:rPr>
          <w:rFonts w:ascii="Arial" w:hAnsi="Arial"/>
          <w:lang w:val="en-US"/>
        </w:rPr>
        <w:t xml:space="preserve"> quantified </w:t>
      </w:r>
      <w:r w:rsidR="00EC5AED" w:rsidRPr="00AB4695">
        <w:rPr>
          <w:rFonts w:ascii="Arial" w:hAnsi="Arial"/>
          <w:lang w:val="en-US"/>
        </w:rPr>
        <w:t>by</w:t>
      </w:r>
      <w:r w:rsidR="00485D30" w:rsidRPr="00AB4695">
        <w:rPr>
          <w:rFonts w:ascii="Arial" w:hAnsi="Arial"/>
          <w:lang w:val="en-US"/>
        </w:rPr>
        <w:t xml:space="preserve"> PCR</w:t>
      </w:r>
      <w:r w:rsidRPr="00AB4695">
        <w:rPr>
          <w:rFonts w:ascii="Arial" w:hAnsi="Arial"/>
          <w:b/>
          <w:bCs/>
          <w:lang w:val="en-GB"/>
        </w:rPr>
        <w:t xml:space="preserve">. </w:t>
      </w:r>
      <w:r w:rsidRPr="00AB4695">
        <w:rPr>
          <w:rFonts w:ascii="Arial" w:hAnsi="Arial"/>
          <w:lang w:val="en-GB"/>
        </w:rPr>
        <w:t>The circle displays a</w:t>
      </w:r>
      <w:r w:rsidR="00485D30" w:rsidRPr="00AB4695">
        <w:rPr>
          <w:rFonts w:ascii="Arial" w:hAnsi="Arial"/>
          <w:lang w:val="en-GB"/>
        </w:rPr>
        <w:t xml:space="preserve"> murine</w:t>
      </w:r>
      <w:r w:rsidRPr="00AB4695">
        <w:rPr>
          <w:rFonts w:ascii="Arial" w:hAnsi="Arial"/>
          <w:lang w:val="en-GB"/>
        </w:rPr>
        <w:t xml:space="preserve"> mtDNA molecule; rRNAs</w:t>
      </w:r>
      <w:r w:rsidR="00485D30" w:rsidRPr="00AB4695">
        <w:rPr>
          <w:rFonts w:ascii="Arial" w:hAnsi="Arial"/>
          <w:lang w:val="en-GB"/>
        </w:rPr>
        <w:t>, tRNAs</w:t>
      </w:r>
      <w:r w:rsidRPr="00AB4695">
        <w:rPr>
          <w:rFonts w:ascii="Arial" w:hAnsi="Arial"/>
          <w:lang w:val="en-GB"/>
        </w:rPr>
        <w:t xml:space="preserve"> and protein encoding genes are </w:t>
      </w:r>
      <w:r w:rsidR="00485D30" w:rsidRPr="00AB4695">
        <w:rPr>
          <w:rFonts w:ascii="Arial" w:hAnsi="Arial"/>
          <w:lang w:val="en-GB"/>
        </w:rPr>
        <w:t>specified</w:t>
      </w:r>
      <w:r w:rsidRPr="00AB4695">
        <w:rPr>
          <w:rFonts w:ascii="Arial" w:hAnsi="Arial"/>
          <w:lang w:val="en-GB"/>
        </w:rPr>
        <w:t xml:space="preserve"> in colours. Black bars indicate </w:t>
      </w:r>
      <w:r w:rsidR="00EC5AED" w:rsidRPr="00AB4695">
        <w:rPr>
          <w:rFonts w:ascii="Arial" w:hAnsi="Arial"/>
          <w:lang w:val="en-GB"/>
        </w:rPr>
        <w:t>the three</w:t>
      </w:r>
      <w:r w:rsidRPr="00AB4695">
        <w:rPr>
          <w:rFonts w:ascii="Arial" w:hAnsi="Arial"/>
          <w:lang w:val="en-GB"/>
        </w:rPr>
        <w:t xml:space="preserve"> deletion region</w:t>
      </w:r>
      <w:r w:rsidR="00EC5AED" w:rsidRPr="00AB4695">
        <w:rPr>
          <w:rFonts w:ascii="Arial" w:hAnsi="Arial"/>
          <w:lang w:val="en-GB"/>
        </w:rPr>
        <w:t>s</w:t>
      </w:r>
      <w:r w:rsidRPr="00AB4695">
        <w:rPr>
          <w:rFonts w:ascii="Arial" w:hAnsi="Arial"/>
          <w:lang w:val="en-GB"/>
        </w:rPr>
        <w:t xml:space="preserve"> (Del A,B,C) amplified with the corresponding primers</w:t>
      </w:r>
      <w:r w:rsidR="00485D30" w:rsidRPr="00AB4695">
        <w:rPr>
          <w:rFonts w:ascii="Arial" w:hAnsi="Arial"/>
          <w:lang w:val="en-GB"/>
        </w:rPr>
        <w:t xml:space="preserve">. </w:t>
      </w:r>
      <w:r w:rsidRPr="00AB4695">
        <w:rPr>
          <w:rFonts w:ascii="Arial" w:hAnsi="Arial"/>
          <w:lang w:val="en-GB"/>
        </w:rPr>
        <w:t>O</w:t>
      </w:r>
      <w:r w:rsidRPr="00AB4695">
        <w:rPr>
          <w:rFonts w:ascii="Arial" w:hAnsi="Arial"/>
          <w:vertAlign w:val="subscript"/>
          <w:lang w:val="en-GB"/>
        </w:rPr>
        <w:t>H</w:t>
      </w:r>
      <w:r w:rsidR="00485D30" w:rsidRPr="00AB4695">
        <w:rPr>
          <w:rFonts w:ascii="Arial" w:hAnsi="Arial"/>
          <w:lang w:val="en-GB"/>
        </w:rPr>
        <w:t>:</w:t>
      </w:r>
      <w:r w:rsidR="00485D30" w:rsidRPr="00AB4695">
        <w:rPr>
          <w:rFonts w:ascii="Arial" w:hAnsi="Arial"/>
          <w:lang w:val="en-US"/>
        </w:rPr>
        <w:t xml:space="preserve"> origin of heavy strand replication; </w:t>
      </w:r>
      <w:r w:rsidRPr="00AB4695">
        <w:rPr>
          <w:rFonts w:ascii="Arial" w:hAnsi="Arial"/>
          <w:lang w:val="en-GB"/>
        </w:rPr>
        <w:t>O</w:t>
      </w:r>
      <w:r w:rsidRPr="00AB4695">
        <w:rPr>
          <w:rFonts w:ascii="Arial" w:hAnsi="Arial"/>
          <w:vertAlign w:val="subscript"/>
          <w:lang w:val="en-GB"/>
        </w:rPr>
        <w:t>L</w:t>
      </w:r>
      <w:r w:rsidRPr="00AB4695">
        <w:rPr>
          <w:rFonts w:ascii="Arial" w:hAnsi="Arial"/>
          <w:lang w:val="en-GB"/>
        </w:rPr>
        <w:t xml:space="preserve">: </w:t>
      </w:r>
      <w:r w:rsidR="00485D30" w:rsidRPr="00AB4695">
        <w:rPr>
          <w:rFonts w:ascii="Arial" w:hAnsi="Arial"/>
          <w:lang w:val="en-US"/>
        </w:rPr>
        <w:t>origin of light strand replication</w:t>
      </w:r>
      <w:r w:rsidRPr="00AB4695">
        <w:rPr>
          <w:rFonts w:ascii="Arial" w:hAnsi="Arial"/>
          <w:lang w:val="en-GB"/>
        </w:rPr>
        <w:t xml:space="preserve">; D-Loop: </w:t>
      </w:r>
      <w:r w:rsidR="00485D30" w:rsidRPr="00AB4695">
        <w:rPr>
          <w:rFonts w:ascii="Arial" w:hAnsi="Arial"/>
          <w:lang w:val="en-GB"/>
        </w:rPr>
        <w:t xml:space="preserve">non-coding </w:t>
      </w:r>
      <w:r w:rsidRPr="00AB4695">
        <w:rPr>
          <w:rFonts w:ascii="Arial" w:hAnsi="Arial"/>
          <w:lang w:val="en-GB"/>
        </w:rPr>
        <w:t xml:space="preserve">regulatory region; </w:t>
      </w:r>
      <w:r w:rsidR="00485D30" w:rsidRPr="00AB4695">
        <w:rPr>
          <w:rFonts w:ascii="Arial" w:hAnsi="Arial"/>
          <w:lang w:val="en-GB"/>
        </w:rPr>
        <w:t>ATPase: ATP synthase; COX: cytochrome c oxidase; CYTB: cytochrome b; ND: NADH dehydrogenase; rRNA: ribosomal RNA</w:t>
      </w:r>
      <w:r w:rsidR="0051461E" w:rsidRPr="00AB4695">
        <w:rPr>
          <w:rFonts w:ascii="Arial" w:hAnsi="Arial"/>
          <w:lang w:val="en-GB"/>
        </w:rPr>
        <w:t>.</w:t>
      </w:r>
    </w:p>
    <w:p w:rsidR="00935F63" w:rsidRPr="00AB4695" w:rsidRDefault="00935F63">
      <w:pPr>
        <w:spacing w:after="200" w:line="276" w:lineRule="auto"/>
        <w:rPr>
          <w:rFonts w:ascii="Arial" w:hAnsi="Arial"/>
          <w:lang w:val="en-GB"/>
        </w:rPr>
      </w:pPr>
      <w:r w:rsidRPr="00AB4695">
        <w:rPr>
          <w:rFonts w:ascii="Arial" w:hAnsi="Arial"/>
          <w:lang w:val="en-GB"/>
        </w:rPr>
        <w:br w:type="page"/>
      </w:r>
    </w:p>
    <w:p w:rsidR="00833FC3" w:rsidRPr="00AB4695" w:rsidRDefault="00833FC3" w:rsidP="00DA7E0B">
      <w:pPr>
        <w:spacing w:line="360" w:lineRule="auto"/>
        <w:jc w:val="both"/>
        <w:rPr>
          <w:rFonts w:ascii="Arial" w:hAnsi="Arial"/>
          <w:lang w:val="en-GB"/>
        </w:rPr>
      </w:pPr>
    </w:p>
    <w:p w:rsidR="00935F63" w:rsidRPr="00AB4695" w:rsidRDefault="00935F63" w:rsidP="00935F63">
      <w:pPr>
        <w:spacing w:after="200" w:line="276" w:lineRule="auto"/>
        <w:jc w:val="center"/>
        <w:rPr>
          <w:rFonts w:ascii="Arial" w:hAnsi="Arial" w:cs="Arial"/>
          <w:b/>
          <w:bCs/>
        </w:rPr>
      </w:pPr>
      <w:r w:rsidRPr="00AB4695">
        <w:rPr>
          <w:noProof/>
          <w:lang w:val="en-US" w:eastAsia="en-US"/>
        </w:rPr>
        <w:drawing>
          <wp:inline distT="0" distB="0" distL="0" distR="0" wp14:anchorId="6BEF20B4" wp14:editId="4FC6885C">
            <wp:extent cx="5710165" cy="2410097"/>
            <wp:effectExtent l="0" t="0" r="508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ed PCR copy klein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75" cy="24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C3" w:rsidRPr="00AB4695" w:rsidRDefault="00935F63" w:rsidP="00E955A2">
      <w:pPr>
        <w:spacing w:after="200" w:line="360" w:lineRule="auto"/>
        <w:jc w:val="both"/>
        <w:rPr>
          <w:rFonts w:ascii="Arial" w:hAnsi="Arial"/>
          <w:lang w:val="en-GB"/>
        </w:rPr>
      </w:pPr>
      <w:r w:rsidRPr="00AB4695">
        <w:rPr>
          <w:rFonts w:ascii="Arial" w:hAnsi="Arial" w:cs="Arial"/>
          <w:b/>
          <w:bCs/>
          <w:lang w:val="en-US"/>
        </w:rPr>
        <w:t xml:space="preserve">Supplementary Fig. S2. </w:t>
      </w:r>
      <w:r w:rsidR="00E955A2" w:rsidRPr="00AB4695">
        <w:rPr>
          <w:rFonts w:ascii="Arial" w:hAnsi="Arial" w:cs="Arial"/>
          <w:bCs/>
          <w:lang w:val="en-US"/>
        </w:rPr>
        <w:t xml:space="preserve">Schematic description of the </w:t>
      </w:r>
      <w:r w:rsidR="00CD1132" w:rsidRPr="00AB4695">
        <w:rPr>
          <w:rFonts w:ascii="Arial" w:hAnsi="Arial" w:cs="Arial"/>
          <w:bCs/>
          <w:lang w:val="en-US"/>
        </w:rPr>
        <w:t xml:space="preserve">PCR strategy for </w:t>
      </w:r>
      <w:r w:rsidR="00E955A2" w:rsidRPr="00AB4695">
        <w:rPr>
          <w:rFonts w:ascii="Arial" w:hAnsi="Arial" w:cs="Arial"/>
          <w:bCs/>
          <w:lang w:val="en-US"/>
        </w:rPr>
        <w:t>mtDNA deletion screening</w:t>
      </w:r>
      <w:r w:rsidR="00C31334" w:rsidRPr="00AB4695">
        <w:rPr>
          <w:rFonts w:ascii="Arial" w:hAnsi="Arial" w:cs="Arial"/>
          <w:bCs/>
          <w:lang w:val="en-US"/>
        </w:rPr>
        <w:t>;</w:t>
      </w:r>
      <w:r w:rsidR="00E955A2" w:rsidRPr="00AB4695">
        <w:rPr>
          <w:rFonts w:ascii="Arial" w:hAnsi="Arial" w:cs="Arial"/>
          <w:bCs/>
          <w:lang w:val="en-US"/>
        </w:rPr>
        <w:t xml:space="preserve"> bp indicate the PCR product size. Choosing short elongation times allows selective amplification of deleted mtDNA molecules only, by avoiding amplification of undeleted wild-type mtDNA molecules, which would require more time to be amplified. This strategy thus allows identification of several distinct, defined deletions in a chosen tissue.</w:t>
      </w:r>
      <w:r w:rsidR="005B7EF0" w:rsidRPr="00AB4695">
        <w:rPr>
          <w:rFonts w:ascii="Arial" w:hAnsi="Arial" w:cs="Arial"/>
          <w:bCs/>
          <w:lang w:val="en-US"/>
        </w:rPr>
        <w:t xml:space="preserve"> Additionally, using nested primers allows increasing specificity and sensitivity of the method. </w:t>
      </w:r>
      <w:r w:rsidR="00E955A2" w:rsidRPr="00AB4695">
        <w:rPr>
          <w:rFonts w:ascii="Arial" w:hAnsi="Arial" w:cs="Arial"/>
          <w:bCs/>
          <w:lang w:val="en-US"/>
        </w:rPr>
        <w:t xml:space="preserve"> A small region of non-deleted mtDNA in the D-Loop region with a fixed size of 300bp is amplified as positive control for </w:t>
      </w:r>
      <w:r w:rsidR="00841A25" w:rsidRPr="00AB4695">
        <w:rPr>
          <w:rFonts w:ascii="Arial" w:hAnsi="Arial" w:cs="Arial"/>
          <w:bCs/>
          <w:lang w:val="en-US"/>
        </w:rPr>
        <w:t xml:space="preserve">all </w:t>
      </w:r>
      <w:r w:rsidR="00E955A2" w:rsidRPr="00AB4695">
        <w:rPr>
          <w:rFonts w:ascii="Arial" w:hAnsi="Arial" w:cs="Arial"/>
          <w:bCs/>
          <w:lang w:val="en-US"/>
        </w:rPr>
        <w:t xml:space="preserve">mtDNA </w:t>
      </w:r>
      <w:r w:rsidR="00841A25" w:rsidRPr="00AB4695">
        <w:rPr>
          <w:rFonts w:ascii="Arial" w:hAnsi="Arial" w:cs="Arial"/>
          <w:bCs/>
          <w:lang w:val="en-US"/>
        </w:rPr>
        <w:t>species</w:t>
      </w:r>
      <w:r w:rsidR="00E955A2" w:rsidRPr="00AB4695">
        <w:rPr>
          <w:rFonts w:ascii="Arial" w:hAnsi="Arial" w:cs="Arial"/>
          <w:bCs/>
          <w:lang w:val="en-US"/>
        </w:rPr>
        <w:t>. wt: wild type mtDNA molecule; del: deleted mtDNA molecule; ctrl: control PCR fragment of the D-Loop; del: deletion containing PCR product.</w:t>
      </w:r>
      <w:r w:rsidR="00833FC3" w:rsidRPr="00AB4695">
        <w:rPr>
          <w:rFonts w:ascii="Arial" w:hAnsi="Arial"/>
          <w:lang w:val="en-GB"/>
        </w:rPr>
        <w:br w:type="page"/>
      </w:r>
    </w:p>
    <w:p w:rsidR="00CB034D" w:rsidRPr="00AB4695" w:rsidRDefault="00FE5231" w:rsidP="00833FC3">
      <w:pPr>
        <w:spacing w:line="360" w:lineRule="auto"/>
        <w:jc w:val="center"/>
        <w:rPr>
          <w:rFonts w:ascii="Arial" w:hAnsi="Arial"/>
          <w:lang w:val="en-GB"/>
        </w:rPr>
      </w:pPr>
      <w:r w:rsidRPr="00AB4695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 wp14:anchorId="5280CBCD" wp14:editId="32175D3A">
            <wp:extent cx="5605670" cy="49754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.Fig.S2_revis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41" cy="497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20" w:rsidRPr="00AB4695" w:rsidRDefault="00E261D9" w:rsidP="0062244D">
      <w:pPr>
        <w:pStyle w:val="PlainText"/>
        <w:spacing w:line="360" w:lineRule="auto"/>
        <w:jc w:val="both"/>
        <w:rPr>
          <w:rFonts w:ascii="Arial" w:hAnsi="Arial"/>
        </w:rPr>
      </w:pPr>
      <w:r w:rsidRPr="00AB4695">
        <w:rPr>
          <w:rFonts w:ascii="Arial" w:hAnsi="Arial" w:cs="Arial"/>
          <w:b/>
          <w:bCs/>
          <w:sz w:val="24"/>
          <w:szCs w:val="24"/>
        </w:rPr>
        <w:t>Supplementary Fig. S</w:t>
      </w:r>
      <w:r w:rsidR="00195809" w:rsidRPr="00AB4695">
        <w:rPr>
          <w:rFonts w:ascii="Arial" w:hAnsi="Arial" w:cs="Arial"/>
          <w:b/>
          <w:bCs/>
          <w:sz w:val="24"/>
          <w:szCs w:val="24"/>
        </w:rPr>
        <w:t>3</w:t>
      </w:r>
      <w:r w:rsidR="004E735F" w:rsidRPr="00AB4695">
        <w:rPr>
          <w:rFonts w:ascii="Arial" w:hAnsi="Arial" w:cs="Arial"/>
          <w:b/>
          <w:bCs/>
          <w:sz w:val="24"/>
          <w:szCs w:val="24"/>
        </w:rPr>
        <w:t xml:space="preserve">. </w:t>
      </w:r>
      <w:r w:rsidR="004E735F" w:rsidRPr="00AB4695">
        <w:rPr>
          <w:rFonts w:ascii="Arial" w:hAnsi="Arial" w:cs="Arial"/>
          <w:sz w:val="24"/>
          <w:szCs w:val="24"/>
        </w:rPr>
        <w:t xml:space="preserve">Rat adrenal phaeochromocytoma cells (PC12) also accumulate more mtDNA deletions upon </w:t>
      </w:r>
      <w:r w:rsidR="00F3767E" w:rsidRPr="00AB4695">
        <w:rPr>
          <w:rFonts w:ascii="Arial" w:hAnsi="Arial" w:cs="Arial"/>
          <w:sz w:val="24"/>
          <w:szCs w:val="24"/>
        </w:rPr>
        <w:t>catechola</w:t>
      </w:r>
      <w:r w:rsidR="004E735F" w:rsidRPr="00AB4695">
        <w:rPr>
          <w:rFonts w:ascii="Arial" w:hAnsi="Arial" w:cs="Arial"/>
          <w:sz w:val="24"/>
          <w:szCs w:val="24"/>
        </w:rPr>
        <w:t>mine treatment. (A) Arrangement of mtDNA deletions detected with nested PCR assay. mtDNA displays an mtDNA molecule; rRNAs, and protein</w:t>
      </w:r>
      <w:r w:rsidR="00C31334" w:rsidRPr="00AB4695">
        <w:rPr>
          <w:rFonts w:ascii="Arial" w:hAnsi="Arial" w:cs="Arial"/>
          <w:sz w:val="24"/>
          <w:szCs w:val="24"/>
        </w:rPr>
        <w:t xml:space="preserve"> encoding gene</w:t>
      </w:r>
      <w:r w:rsidR="004E735F" w:rsidRPr="00AB4695">
        <w:rPr>
          <w:rFonts w:ascii="Arial" w:hAnsi="Arial" w:cs="Arial"/>
          <w:sz w:val="24"/>
          <w:szCs w:val="24"/>
        </w:rPr>
        <w:t>s are indicated. Black bars show each deletion region and the D-Loop fragment (control) amplified with the corresponding primers. Number 1-10 depict the ten potential deletion spots analysed. rRNA: ribosomal RNA; ND: NADH dehydrogenase; COX: cytochrome c oxidase, ATPase: ATP synthase; CYTB: cytochrome b. (B) Agarose gels of nested PCR</w:t>
      </w:r>
      <w:r w:rsidR="00841A25" w:rsidRPr="00AB4695">
        <w:rPr>
          <w:rFonts w:ascii="Arial" w:hAnsi="Arial" w:cs="Arial"/>
          <w:sz w:val="24"/>
          <w:szCs w:val="24"/>
        </w:rPr>
        <w:t xml:space="preserve"> product</w:t>
      </w:r>
      <w:r w:rsidR="004E735F" w:rsidRPr="00AB4695">
        <w:rPr>
          <w:rFonts w:ascii="Arial" w:hAnsi="Arial" w:cs="Arial"/>
          <w:sz w:val="24"/>
          <w:szCs w:val="24"/>
        </w:rPr>
        <w:t>s from catecholamine-exposed PC12 cells, showing increased accumulation of mtDNA deletion</w:t>
      </w:r>
      <w:r w:rsidR="00841A25" w:rsidRPr="00AB4695">
        <w:rPr>
          <w:rFonts w:ascii="Arial" w:hAnsi="Arial" w:cs="Arial"/>
          <w:sz w:val="24"/>
          <w:szCs w:val="24"/>
        </w:rPr>
        <w:t>s</w:t>
      </w:r>
      <w:r w:rsidR="004E735F" w:rsidRPr="00AB4695">
        <w:rPr>
          <w:rFonts w:ascii="Arial" w:hAnsi="Arial" w:cs="Arial"/>
          <w:sz w:val="24"/>
          <w:szCs w:val="24"/>
        </w:rPr>
        <w:t xml:space="preserve"> upon </w:t>
      </w:r>
      <w:r w:rsidR="00C06AE1" w:rsidRPr="00AB4695">
        <w:rPr>
          <w:rFonts w:ascii="Arial" w:hAnsi="Arial" w:cs="Arial"/>
          <w:sz w:val="24"/>
          <w:szCs w:val="24"/>
        </w:rPr>
        <w:t xml:space="preserve">seven days </w:t>
      </w:r>
      <w:r w:rsidR="004E735F" w:rsidRPr="00AB4695">
        <w:rPr>
          <w:rFonts w:ascii="Arial" w:hAnsi="Arial" w:cs="Arial"/>
          <w:sz w:val="24"/>
          <w:szCs w:val="24"/>
        </w:rPr>
        <w:t>treatment. Every single band represents a specific deletion species. Numbers indicate primer pairs, distributed over the whole mtDNA molecule. The control product (ctrl) is derived from the D Loop region necessary for mtDNA replication. (C) Distinct PCR products were counted, thus allowing comparison between drug-treated cells and controls (n=9 except for PC12 + epinephrine n=6</w:t>
      </w:r>
      <w:r w:rsidR="004C68B5" w:rsidRPr="00AB4695">
        <w:rPr>
          <w:rFonts w:ascii="Arial" w:hAnsi="Arial" w:cs="Arial"/>
          <w:sz w:val="24"/>
          <w:szCs w:val="24"/>
        </w:rPr>
        <w:t>, * = p &lt; 0.05, *** = p &lt; 0.001</w:t>
      </w:r>
      <w:r w:rsidR="004E735F" w:rsidRPr="00AB4695">
        <w:rPr>
          <w:rFonts w:ascii="Arial" w:hAnsi="Arial" w:cs="Arial"/>
          <w:sz w:val="24"/>
          <w:szCs w:val="24"/>
        </w:rPr>
        <w:t>).</w:t>
      </w:r>
      <w:r w:rsidR="00E23419" w:rsidRPr="00AB4695">
        <w:rPr>
          <w:rFonts w:ascii="Arial" w:hAnsi="Arial" w:cs="Arial"/>
          <w:sz w:val="24"/>
          <w:szCs w:val="24"/>
        </w:rPr>
        <w:t xml:space="preserve"> Ctrl: control</w:t>
      </w:r>
      <w:r w:rsidR="00D22C20" w:rsidRPr="00AB4695">
        <w:rPr>
          <w:rFonts w:ascii="Arial" w:hAnsi="Arial"/>
        </w:rPr>
        <w:br w:type="page"/>
      </w:r>
    </w:p>
    <w:p w:rsidR="00CB034D" w:rsidRPr="00AB4695" w:rsidRDefault="0077314B" w:rsidP="00E261D9">
      <w:pPr>
        <w:spacing w:line="360" w:lineRule="auto"/>
        <w:jc w:val="center"/>
        <w:rPr>
          <w:rFonts w:ascii="Arial" w:hAnsi="Arial"/>
          <w:lang w:val="en-US"/>
        </w:rPr>
      </w:pPr>
      <w:r w:rsidRPr="00AB4695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 wp14:anchorId="10DF44E4" wp14:editId="6062A81B">
            <wp:extent cx="3023616" cy="1133856"/>
            <wp:effectExtent l="0" t="0" r="571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EA" w:rsidRPr="00AB4695" w:rsidRDefault="00CB034D" w:rsidP="00DA7E0B">
      <w:pPr>
        <w:spacing w:line="360" w:lineRule="auto"/>
        <w:jc w:val="both"/>
        <w:rPr>
          <w:rFonts w:ascii="Arial" w:hAnsi="Arial"/>
          <w:lang w:val="en-US"/>
        </w:rPr>
      </w:pPr>
      <w:r w:rsidRPr="00AB4695">
        <w:rPr>
          <w:rFonts w:ascii="Arial" w:hAnsi="Arial"/>
          <w:b/>
          <w:bCs/>
          <w:lang w:val="en-US"/>
        </w:rPr>
        <w:t>Supplementary Fig</w:t>
      </w:r>
      <w:r w:rsidR="00485D30" w:rsidRPr="00AB4695">
        <w:rPr>
          <w:rFonts w:ascii="Arial" w:hAnsi="Arial"/>
          <w:b/>
          <w:bCs/>
          <w:lang w:val="en-US"/>
        </w:rPr>
        <w:t>. </w:t>
      </w:r>
      <w:r w:rsidR="00195809" w:rsidRPr="00AB4695">
        <w:rPr>
          <w:rFonts w:ascii="Arial" w:hAnsi="Arial"/>
          <w:b/>
          <w:bCs/>
          <w:lang w:val="en-US"/>
        </w:rPr>
        <w:t>S4</w:t>
      </w:r>
      <w:r w:rsidR="0077314B" w:rsidRPr="00AB4695">
        <w:rPr>
          <w:rFonts w:ascii="Arial" w:hAnsi="Arial"/>
          <w:b/>
          <w:bCs/>
          <w:lang w:val="en-US"/>
        </w:rPr>
        <w:t>.</w:t>
      </w:r>
      <w:r w:rsidRPr="00AB4695">
        <w:rPr>
          <w:rFonts w:ascii="Arial" w:hAnsi="Arial"/>
          <w:b/>
          <w:bCs/>
          <w:lang w:val="en-US"/>
        </w:rPr>
        <w:t xml:space="preserve"> </w:t>
      </w:r>
      <w:r w:rsidRPr="00AB4695">
        <w:rPr>
          <w:rFonts w:ascii="Arial" w:hAnsi="Arial"/>
          <w:bCs/>
          <w:lang w:val="en-US"/>
        </w:rPr>
        <w:t xml:space="preserve">COX-deficient cells and lipofuscin positive deposits in consecutive slides of aged mouse adrenal (130 weeks). </w:t>
      </w:r>
      <w:r w:rsidR="0051461E" w:rsidRPr="00AB4695">
        <w:rPr>
          <w:rFonts w:ascii="Arial" w:hAnsi="Arial"/>
          <w:bCs/>
          <w:lang w:val="en-US"/>
        </w:rPr>
        <w:t xml:space="preserve">(A) </w:t>
      </w:r>
      <w:r w:rsidR="00CD1132" w:rsidRPr="00AB4695">
        <w:rPr>
          <w:rFonts w:ascii="Arial" w:hAnsi="Arial"/>
          <w:lang w:val="en-US"/>
        </w:rPr>
        <w:t>Cytochrome c oxidase/succinate dehydrogenase activity staining (COX/SDH) stains for mitochondrial function; blue cells (COX</w:t>
      </w:r>
      <w:r w:rsidR="00CD1132" w:rsidRPr="00AB4695">
        <w:rPr>
          <w:rFonts w:ascii="Arial" w:hAnsi="Arial"/>
          <w:vertAlign w:val="superscript"/>
          <w:lang w:val="en-US"/>
        </w:rPr>
        <w:t>-</w:t>
      </w:r>
      <w:r w:rsidR="00CD1132" w:rsidRPr="00AB4695">
        <w:rPr>
          <w:rFonts w:ascii="Arial" w:hAnsi="Arial"/>
          <w:lang w:val="en-US"/>
        </w:rPr>
        <w:t>) indicate respiratory dysfunction.</w:t>
      </w:r>
      <w:r w:rsidRPr="00AB4695">
        <w:rPr>
          <w:rFonts w:ascii="Arial" w:hAnsi="Arial"/>
          <w:lang w:val="en-US"/>
        </w:rPr>
        <w:t xml:space="preserve"> </w:t>
      </w:r>
      <w:r w:rsidR="0051461E" w:rsidRPr="00AB4695">
        <w:rPr>
          <w:rFonts w:ascii="Arial" w:hAnsi="Arial"/>
          <w:lang w:val="en-US"/>
        </w:rPr>
        <w:t>(B)</w:t>
      </w:r>
      <w:r w:rsidRPr="00AB4695">
        <w:rPr>
          <w:rFonts w:ascii="Arial" w:hAnsi="Arial"/>
          <w:lang w:val="en-US"/>
        </w:rPr>
        <w:t xml:space="preserve"> </w:t>
      </w:r>
      <w:r w:rsidR="00BC66C4" w:rsidRPr="00AB4695">
        <w:rPr>
          <w:rFonts w:ascii="Arial" w:hAnsi="Arial"/>
          <w:lang w:val="en-US"/>
        </w:rPr>
        <w:t xml:space="preserve"> </w:t>
      </w:r>
      <w:r w:rsidR="00CD1132" w:rsidRPr="00AB4695">
        <w:rPr>
          <w:rFonts w:ascii="Arial" w:hAnsi="Arial"/>
          <w:lang w:val="en-US"/>
        </w:rPr>
        <w:t xml:space="preserve">Sudan black B staining reveals lipid and lipofuscin deposits. </w:t>
      </w:r>
      <w:r w:rsidR="00BC66C4" w:rsidRPr="00AB4695">
        <w:rPr>
          <w:rFonts w:ascii="Arial" w:hAnsi="Arial"/>
          <w:lang w:val="en-US"/>
        </w:rPr>
        <w:t xml:space="preserve">The dashed line indicates the border between adrenal medulla </w:t>
      </w:r>
      <w:r w:rsidR="00DD0C87" w:rsidRPr="00AB4695">
        <w:rPr>
          <w:rFonts w:ascii="Arial" w:hAnsi="Arial"/>
          <w:lang w:val="en-US"/>
        </w:rPr>
        <w:t xml:space="preserve">(AM) </w:t>
      </w:r>
      <w:r w:rsidR="00BC66C4" w:rsidRPr="00AB4695">
        <w:rPr>
          <w:rFonts w:ascii="Arial" w:hAnsi="Arial"/>
          <w:lang w:val="en-US"/>
        </w:rPr>
        <w:t>and cortex</w:t>
      </w:r>
      <w:r w:rsidR="00DD0C87" w:rsidRPr="00AB4695">
        <w:rPr>
          <w:rFonts w:ascii="Arial" w:hAnsi="Arial"/>
          <w:lang w:val="en-US"/>
        </w:rPr>
        <w:t xml:space="preserve"> (AC)</w:t>
      </w:r>
      <w:r w:rsidR="00BC66C4" w:rsidRPr="00AB4695">
        <w:rPr>
          <w:rFonts w:ascii="Arial" w:hAnsi="Arial"/>
          <w:lang w:val="en-US"/>
        </w:rPr>
        <w:t xml:space="preserve">, scale bars: </w:t>
      </w:r>
      <w:r w:rsidR="00DD0C87" w:rsidRPr="00AB4695">
        <w:rPr>
          <w:rFonts w:ascii="Arial" w:hAnsi="Arial"/>
          <w:lang w:val="en-US"/>
        </w:rPr>
        <w:t>100 µm</w:t>
      </w:r>
      <w:r w:rsidR="0051461E" w:rsidRPr="00AB4695">
        <w:rPr>
          <w:rFonts w:ascii="Arial" w:hAnsi="Arial"/>
          <w:lang w:val="en-US"/>
        </w:rPr>
        <w:t>.</w:t>
      </w:r>
      <w:r w:rsidR="00BC66C4" w:rsidRPr="00AB4695">
        <w:rPr>
          <w:rFonts w:ascii="Arial" w:hAnsi="Arial"/>
          <w:lang w:val="en-US"/>
        </w:rPr>
        <w:t xml:space="preserve"> </w:t>
      </w:r>
    </w:p>
    <w:p w:rsidR="002C5EEA" w:rsidRPr="00AB4695" w:rsidRDefault="002C5EEA" w:rsidP="002C5EEA">
      <w:pPr>
        <w:spacing w:after="200" w:line="276" w:lineRule="auto"/>
        <w:jc w:val="center"/>
        <w:rPr>
          <w:rFonts w:ascii="Arial" w:hAnsi="Arial"/>
          <w:lang w:val="en-US"/>
        </w:rPr>
      </w:pPr>
    </w:p>
    <w:p w:rsidR="002C5EEA" w:rsidRPr="00AB4695" w:rsidRDefault="00221A38" w:rsidP="002E44D5">
      <w:pPr>
        <w:spacing w:after="200" w:line="276" w:lineRule="auto"/>
        <w:rPr>
          <w:rFonts w:ascii="Arial" w:hAnsi="Arial"/>
          <w:lang w:val="en-US"/>
        </w:rPr>
      </w:pPr>
      <w:r w:rsidRPr="00AB4695">
        <w:rPr>
          <w:rFonts w:ascii="Arial" w:hAnsi="Arial"/>
          <w:noProof/>
          <w:lang w:val="en-US" w:eastAsia="en-US"/>
        </w:rPr>
        <w:drawing>
          <wp:inline distT="0" distB="0" distL="0" distR="0" wp14:anchorId="428E8890" wp14:editId="7119DFE4">
            <wp:extent cx="5760720" cy="21189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son COX-SDH NDUFV2_100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20" w:rsidRPr="00AB4695" w:rsidRDefault="002C5EEA" w:rsidP="006161DE">
      <w:pPr>
        <w:spacing w:after="200" w:line="360" w:lineRule="auto"/>
        <w:jc w:val="both"/>
        <w:rPr>
          <w:rFonts w:ascii="Arial" w:hAnsi="Arial"/>
          <w:lang w:val="en-US"/>
        </w:rPr>
      </w:pPr>
      <w:r w:rsidRPr="00AB4695">
        <w:rPr>
          <w:rFonts w:ascii="Arial" w:hAnsi="Arial"/>
          <w:b/>
          <w:bCs/>
          <w:lang w:val="en-US"/>
        </w:rPr>
        <w:t xml:space="preserve">Supplementary Fig. S5. </w:t>
      </w:r>
      <w:r w:rsidR="0099615B" w:rsidRPr="00AB4695">
        <w:rPr>
          <w:rFonts w:ascii="Arial" w:hAnsi="Arial"/>
          <w:bCs/>
          <w:lang w:val="en-US"/>
        </w:rPr>
        <w:t>COX-SDH and NDUFV2 staining in consecutive sections of aged mouse adrenal (100 weeks). A</w:t>
      </w:r>
      <w:r w:rsidR="00C74C72" w:rsidRPr="00AB4695">
        <w:rPr>
          <w:rFonts w:ascii="Arial" w:hAnsi="Arial"/>
          <w:bCs/>
          <w:lang w:val="en-US"/>
        </w:rPr>
        <w:t>n antibody against</w:t>
      </w:r>
      <w:r w:rsidR="0099615B" w:rsidRPr="00AB4695">
        <w:rPr>
          <w:rFonts w:ascii="Arial" w:hAnsi="Arial"/>
          <w:bCs/>
          <w:lang w:val="en-US"/>
        </w:rPr>
        <w:t xml:space="preserve"> NDUFV2</w:t>
      </w:r>
      <w:r w:rsidR="002E44D5" w:rsidRPr="00AB4695">
        <w:rPr>
          <w:rFonts w:ascii="Arial" w:hAnsi="Arial"/>
          <w:bCs/>
          <w:lang w:val="en-US"/>
        </w:rPr>
        <w:t xml:space="preserve"> </w:t>
      </w:r>
      <w:r w:rsidR="0099615B" w:rsidRPr="00AB4695">
        <w:rPr>
          <w:rFonts w:ascii="Arial" w:hAnsi="Arial"/>
          <w:bCs/>
          <w:lang w:val="en-US"/>
        </w:rPr>
        <w:t xml:space="preserve">was used to stain </w:t>
      </w:r>
      <w:r w:rsidR="002E44D5" w:rsidRPr="00AB4695">
        <w:rPr>
          <w:rFonts w:ascii="Arial" w:hAnsi="Arial"/>
          <w:bCs/>
          <w:lang w:val="en-US"/>
        </w:rPr>
        <w:t xml:space="preserve">complex I of the mitochondrial respiratory chain in </w:t>
      </w:r>
      <w:r w:rsidR="0099615B" w:rsidRPr="00AB4695">
        <w:rPr>
          <w:rFonts w:ascii="Arial" w:hAnsi="Arial"/>
          <w:bCs/>
          <w:lang w:val="en-US"/>
        </w:rPr>
        <w:t xml:space="preserve">consecutive sections </w:t>
      </w:r>
      <w:r w:rsidR="002E44D5" w:rsidRPr="00AB4695">
        <w:rPr>
          <w:rFonts w:ascii="Arial" w:hAnsi="Arial"/>
          <w:bCs/>
          <w:lang w:val="en-US"/>
        </w:rPr>
        <w:t>of</w:t>
      </w:r>
      <w:r w:rsidR="0099615B" w:rsidRPr="00AB4695">
        <w:rPr>
          <w:rFonts w:ascii="Arial" w:hAnsi="Arial"/>
          <w:bCs/>
          <w:lang w:val="en-US"/>
        </w:rPr>
        <w:t xml:space="preserve"> </w:t>
      </w:r>
      <w:r w:rsidR="00221A38" w:rsidRPr="00AB4695">
        <w:rPr>
          <w:rFonts w:ascii="Arial" w:hAnsi="Arial"/>
          <w:bCs/>
          <w:lang w:val="en-US"/>
        </w:rPr>
        <w:t>100 week</w:t>
      </w:r>
      <w:r w:rsidR="0099615B" w:rsidRPr="00AB4695">
        <w:rPr>
          <w:rFonts w:ascii="Arial" w:hAnsi="Arial"/>
          <w:bCs/>
          <w:lang w:val="en-US"/>
        </w:rPr>
        <w:t>-old mouse adrenals</w:t>
      </w:r>
      <w:r w:rsidR="002E44D5" w:rsidRPr="00AB4695">
        <w:rPr>
          <w:rFonts w:ascii="Arial" w:hAnsi="Arial"/>
          <w:bCs/>
          <w:lang w:val="en-US"/>
        </w:rPr>
        <w:t xml:space="preserve"> after COX-SDH staining</w:t>
      </w:r>
      <w:r w:rsidR="00C91D23" w:rsidRPr="00AB4695">
        <w:rPr>
          <w:rFonts w:ascii="Arial" w:hAnsi="Arial"/>
          <w:bCs/>
          <w:lang w:val="en-US"/>
        </w:rPr>
        <w:t xml:space="preserve"> (left panel)</w:t>
      </w:r>
      <w:r w:rsidR="00C74C72" w:rsidRPr="00AB4695">
        <w:rPr>
          <w:rFonts w:ascii="Arial" w:hAnsi="Arial"/>
          <w:bCs/>
          <w:lang w:val="en-US"/>
        </w:rPr>
        <w:t>.</w:t>
      </w:r>
      <w:r w:rsidR="00AC6B4E" w:rsidRPr="00AB4695">
        <w:rPr>
          <w:rFonts w:ascii="Arial" w:hAnsi="Arial"/>
          <w:bCs/>
          <w:lang w:val="en-US"/>
        </w:rPr>
        <w:t xml:space="preserve"> </w:t>
      </w:r>
      <w:r w:rsidR="00D80C75" w:rsidRPr="00AB4695">
        <w:rPr>
          <w:rFonts w:ascii="Arial" w:hAnsi="Arial"/>
          <w:bCs/>
          <w:lang w:val="en-US"/>
        </w:rPr>
        <w:t>At this age, c</w:t>
      </w:r>
      <w:r w:rsidR="00AC6B4E" w:rsidRPr="00AB4695">
        <w:rPr>
          <w:rFonts w:ascii="Arial" w:hAnsi="Arial"/>
          <w:bCs/>
          <w:lang w:val="en-US"/>
        </w:rPr>
        <w:t xml:space="preserve">ells lacking </w:t>
      </w:r>
      <w:r w:rsidR="00D80C75" w:rsidRPr="00AB4695">
        <w:rPr>
          <w:rFonts w:ascii="Arial" w:hAnsi="Arial"/>
          <w:bCs/>
          <w:lang w:val="en-US"/>
        </w:rPr>
        <w:t xml:space="preserve">NDUFV2 </w:t>
      </w:r>
      <w:r w:rsidR="00AC6B4E" w:rsidRPr="00AB4695">
        <w:rPr>
          <w:rFonts w:ascii="Arial" w:hAnsi="Arial"/>
          <w:bCs/>
          <w:lang w:val="en-US"/>
        </w:rPr>
        <w:t>could be observed.</w:t>
      </w:r>
      <w:r w:rsidR="00C74C72" w:rsidRPr="00AB4695">
        <w:rPr>
          <w:rFonts w:ascii="Arial" w:hAnsi="Arial"/>
          <w:bCs/>
          <w:lang w:val="en-US"/>
        </w:rPr>
        <w:t xml:space="preserve"> </w:t>
      </w:r>
      <w:r w:rsidR="00FD0038" w:rsidRPr="00AB4695">
        <w:rPr>
          <w:rFonts w:ascii="Arial" w:hAnsi="Arial"/>
          <w:lang w:val="en-US"/>
        </w:rPr>
        <w:t>S</w:t>
      </w:r>
      <w:r w:rsidR="00307611" w:rsidRPr="00AB4695">
        <w:rPr>
          <w:rFonts w:ascii="Arial" w:hAnsi="Arial"/>
          <w:lang w:val="en-US"/>
        </w:rPr>
        <w:t>cale bars: 100 µm.</w:t>
      </w:r>
    </w:p>
    <w:p w:rsidR="00CB034D" w:rsidRPr="00AB4695" w:rsidRDefault="00D22C20" w:rsidP="00E261D9">
      <w:pPr>
        <w:spacing w:line="360" w:lineRule="auto"/>
        <w:jc w:val="center"/>
        <w:rPr>
          <w:rFonts w:ascii="Arial" w:hAnsi="Arial"/>
          <w:lang w:val="en-US"/>
        </w:rPr>
      </w:pPr>
      <w:r w:rsidRPr="00AB4695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 wp14:anchorId="35DFD161" wp14:editId="66703EC4">
            <wp:extent cx="4645152" cy="3538728"/>
            <wp:effectExtent l="0" t="0" r="3175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EL collectionv2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4D" w:rsidRPr="00AB4695" w:rsidRDefault="00CB034D" w:rsidP="00DA7E0B">
      <w:pPr>
        <w:spacing w:line="360" w:lineRule="auto"/>
        <w:jc w:val="both"/>
        <w:rPr>
          <w:rFonts w:ascii="Arial" w:hAnsi="Arial"/>
          <w:bCs/>
          <w:lang w:val="en-US"/>
        </w:rPr>
      </w:pPr>
      <w:r w:rsidRPr="00AB4695">
        <w:rPr>
          <w:rFonts w:ascii="Arial" w:hAnsi="Arial"/>
          <w:b/>
          <w:bCs/>
          <w:lang w:val="en-US"/>
        </w:rPr>
        <w:t>Supplementary Fig</w:t>
      </w:r>
      <w:r w:rsidR="003D7A69" w:rsidRPr="00AB4695">
        <w:rPr>
          <w:rFonts w:ascii="Arial" w:hAnsi="Arial"/>
          <w:b/>
          <w:bCs/>
          <w:lang w:val="en-US"/>
        </w:rPr>
        <w:t> </w:t>
      </w:r>
      <w:r w:rsidRPr="00AB4695">
        <w:rPr>
          <w:rFonts w:ascii="Arial" w:hAnsi="Arial"/>
          <w:b/>
          <w:bCs/>
          <w:lang w:val="en-US"/>
        </w:rPr>
        <w:t>S</w:t>
      </w:r>
      <w:r w:rsidR="00F974F9" w:rsidRPr="00AB4695">
        <w:rPr>
          <w:rFonts w:ascii="Arial" w:hAnsi="Arial"/>
          <w:b/>
          <w:bCs/>
          <w:lang w:val="en-US"/>
        </w:rPr>
        <w:t>6</w:t>
      </w:r>
      <w:r w:rsidR="0077314B" w:rsidRPr="00AB4695">
        <w:rPr>
          <w:rFonts w:ascii="Arial" w:hAnsi="Arial"/>
          <w:b/>
          <w:bCs/>
          <w:lang w:val="en-US"/>
        </w:rPr>
        <w:t>.</w:t>
      </w:r>
      <w:r w:rsidRPr="00AB4695">
        <w:rPr>
          <w:rFonts w:ascii="Arial" w:hAnsi="Arial"/>
          <w:b/>
          <w:bCs/>
          <w:lang w:val="en-US"/>
        </w:rPr>
        <w:t xml:space="preserve"> </w:t>
      </w:r>
      <w:r w:rsidR="006A450F" w:rsidRPr="00AB4695">
        <w:rPr>
          <w:rFonts w:ascii="Arial" w:hAnsi="Arial"/>
          <w:bCs/>
          <w:lang w:val="en-US"/>
        </w:rPr>
        <w:t>TUNEL staining of mouse adrenals shows increasing numbers of apoptotic cells with increasing age. As a positive control, slices were also treated with DNAse I to increase number of TUNEL positive nuclei</w:t>
      </w:r>
      <w:r w:rsidR="00D80C75" w:rsidRPr="00AB4695">
        <w:rPr>
          <w:rFonts w:ascii="Arial" w:hAnsi="Arial"/>
          <w:bCs/>
          <w:lang w:val="en-US"/>
        </w:rPr>
        <w:t xml:space="preserve"> (lower, right)</w:t>
      </w:r>
      <w:r w:rsidR="006A450F" w:rsidRPr="00AB4695">
        <w:rPr>
          <w:rFonts w:ascii="Arial" w:hAnsi="Arial"/>
          <w:bCs/>
          <w:lang w:val="en-US"/>
        </w:rPr>
        <w:t>. The dashed line indicates the border between adrenal medulla (AM) and cortex (AC), arrows depict nuclei stained by TUNEL (green) and DAPI (blue), scale bars: 50 µm</w:t>
      </w:r>
      <w:r w:rsidR="0051461E" w:rsidRPr="00AB4695">
        <w:rPr>
          <w:rFonts w:ascii="Arial" w:hAnsi="Arial"/>
          <w:bCs/>
          <w:lang w:val="en-US"/>
        </w:rPr>
        <w:t>.</w:t>
      </w:r>
    </w:p>
    <w:p w:rsidR="00CB034D" w:rsidRPr="00AB4695" w:rsidRDefault="00CB034D" w:rsidP="00CB034D">
      <w:pPr>
        <w:spacing w:line="480" w:lineRule="auto"/>
        <w:jc w:val="both"/>
        <w:rPr>
          <w:rFonts w:ascii="Arial" w:hAnsi="Arial"/>
          <w:bCs/>
          <w:lang w:val="en-US"/>
        </w:rPr>
      </w:pPr>
    </w:p>
    <w:p w:rsidR="00D22C20" w:rsidRPr="00AB4695" w:rsidRDefault="00D22C20" w:rsidP="00E261D9">
      <w:pPr>
        <w:spacing w:line="360" w:lineRule="auto"/>
        <w:jc w:val="center"/>
        <w:rPr>
          <w:rFonts w:ascii="Arial" w:hAnsi="Arial"/>
          <w:b/>
          <w:bCs/>
          <w:lang w:val="en-US"/>
        </w:rPr>
      </w:pPr>
      <w:r w:rsidRPr="00AB4695">
        <w:rPr>
          <w:rFonts w:ascii="Arial" w:hAnsi="Arial"/>
          <w:b/>
          <w:bCs/>
          <w:noProof/>
          <w:lang w:val="en-US" w:eastAsia="en-US"/>
        </w:rPr>
        <w:drawing>
          <wp:inline distT="0" distB="0" distL="0" distR="0" wp14:anchorId="486A4A48" wp14:editId="30B07909">
            <wp:extent cx="5760720" cy="16821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0 collection v2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4D" w:rsidRPr="00AB4695" w:rsidRDefault="00CB034D" w:rsidP="00DA7E0B">
      <w:pPr>
        <w:spacing w:line="360" w:lineRule="auto"/>
        <w:jc w:val="both"/>
        <w:rPr>
          <w:rFonts w:ascii="Arial" w:hAnsi="Arial"/>
          <w:bCs/>
          <w:lang w:val="en-US"/>
        </w:rPr>
      </w:pPr>
      <w:r w:rsidRPr="00AB4695">
        <w:rPr>
          <w:rFonts w:ascii="Arial" w:hAnsi="Arial"/>
          <w:b/>
          <w:bCs/>
          <w:lang w:val="en-US"/>
        </w:rPr>
        <w:t>Supplementary Fig</w:t>
      </w:r>
      <w:r w:rsidR="003D7A69" w:rsidRPr="00AB4695">
        <w:rPr>
          <w:rFonts w:ascii="Arial" w:hAnsi="Arial"/>
          <w:b/>
          <w:bCs/>
          <w:lang w:val="en-US"/>
        </w:rPr>
        <w:t> </w:t>
      </w:r>
      <w:r w:rsidRPr="00AB4695">
        <w:rPr>
          <w:rFonts w:ascii="Arial" w:hAnsi="Arial"/>
          <w:b/>
          <w:bCs/>
          <w:lang w:val="en-US"/>
        </w:rPr>
        <w:t>S</w:t>
      </w:r>
      <w:r w:rsidR="00A40498" w:rsidRPr="00AB4695">
        <w:rPr>
          <w:rFonts w:ascii="Arial" w:hAnsi="Arial"/>
          <w:b/>
          <w:bCs/>
          <w:lang w:val="en-US"/>
        </w:rPr>
        <w:t>7</w:t>
      </w:r>
      <w:r w:rsidR="0077314B" w:rsidRPr="00AB4695">
        <w:rPr>
          <w:rFonts w:ascii="Arial" w:hAnsi="Arial"/>
          <w:b/>
          <w:bCs/>
          <w:lang w:val="en-US"/>
        </w:rPr>
        <w:t>.</w:t>
      </w:r>
      <w:r w:rsidRPr="00AB4695">
        <w:rPr>
          <w:rFonts w:ascii="Arial" w:hAnsi="Arial"/>
          <w:b/>
          <w:bCs/>
          <w:lang w:val="en-US"/>
        </w:rPr>
        <w:t xml:space="preserve"> </w:t>
      </w:r>
      <w:r w:rsidR="006A450F" w:rsidRPr="00AB4695">
        <w:rPr>
          <w:rFonts w:ascii="Arial" w:hAnsi="Arial"/>
          <w:bCs/>
          <w:lang w:val="en-US"/>
        </w:rPr>
        <w:t>F4/80 (red) staining of mouse adrenals shows an increase of macrophages in the aging adrenal (blue: DAPI). The dashed line indicates the border between adrenal medulla (AM) and cortex (AC), asterisks denote auto fluorescent lipid deposits, scale bars: 50 µm</w:t>
      </w:r>
      <w:r w:rsidR="0051461E" w:rsidRPr="00AB4695">
        <w:rPr>
          <w:rFonts w:ascii="Arial" w:hAnsi="Arial"/>
          <w:bCs/>
          <w:lang w:val="en-US"/>
        </w:rPr>
        <w:t>.</w:t>
      </w:r>
    </w:p>
    <w:p w:rsidR="00CB034D" w:rsidRPr="00AB4695" w:rsidRDefault="00CB034D" w:rsidP="00CB034D">
      <w:pPr>
        <w:spacing w:line="480" w:lineRule="auto"/>
        <w:jc w:val="both"/>
        <w:rPr>
          <w:rFonts w:ascii="Arial" w:hAnsi="Arial"/>
          <w:bCs/>
          <w:lang w:val="en-US"/>
        </w:rPr>
      </w:pPr>
    </w:p>
    <w:p w:rsidR="00CB034D" w:rsidRPr="00AB4695" w:rsidRDefault="0077314B" w:rsidP="00E261D9">
      <w:pPr>
        <w:spacing w:line="480" w:lineRule="auto"/>
        <w:jc w:val="center"/>
        <w:rPr>
          <w:rFonts w:ascii="Arial" w:hAnsi="Arial"/>
          <w:lang w:val="en-US"/>
        </w:rPr>
      </w:pPr>
      <w:r w:rsidRPr="00AB4695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 wp14:anchorId="007B98AC" wp14:editId="209CAC91">
            <wp:extent cx="4709778" cy="7308669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038" cy="73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4D" w:rsidRPr="00AB4695" w:rsidRDefault="003D7A69" w:rsidP="00DA7E0B">
      <w:pPr>
        <w:spacing w:line="360" w:lineRule="auto"/>
        <w:jc w:val="both"/>
        <w:rPr>
          <w:rFonts w:ascii="Arial" w:hAnsi="Arial"/>
          <w:lang w:val="en-US"/>
        </w:rPr>
      </w:pPr>
      <w:r w:rsidRPr="00AB4695">
        <w:rPr>
          <w:rFonts w:ascii="Arial" w:hAnsi="Arial"/>
          <w:b/>
          <w:bCs/>
          <w:lang w:val="en-US"/>
        </w:rPr>
        <w:t xml:space="preserve">Supplementary </w:t>
      </w:r>
      <w:r w:rsidR="00CB034D" w:rsidRPr="00AB4695">
        <w:rPr>
          <w:rFonts w:ascii="Arial" w:hAnsi="Arial"/>
          <w:b/>
          <w:bCs/>
          <w:lang w:val="en-US"/>
        </w:rPr>
        <w:t>Fig.</w:t>
      </w:r>
      <w:r w:rsidRPr="00AB4695">
        <w:rPr>
          <w:rFonts w:ascii="Arial" w:hAnsi="Arial"/>
          <w:b/>
          <w:bCs/>
          <w:lang w:val="en-US"/>
        </w:rPr>
        <w:t> </w:t>
      </w:r>
      <w:r w:rsidR="00CB034D" w:rsidRPr="00AB4695">
        <w:rPr>
          <w:rFonts w:ascii="Arial" w:hAnsi="Arial"/>
          <w:b/>
          <w:bCs/>
          <w:lang w:val="en-US"/>
        </w:rPr>
        <w:t>S</w:t>
      </w:r>
      <w:r w:rsidR="00A40498" w:rsidRPr="00AB4695">
        <w:rPr>
          <w:rFonts w:ascii="Arial" w:hAnsi="Arial"/>
          <w:b/>
          <w:bCs/>
          <w:lang w:val="en-US"/>
        </w:rPr>
        <w:t>8</w:t>
      </w:r>
      <w:r w:rsidR="0077314B" w:rsidRPr="00AB4695">
        <w:rPr>
          <w:rFonts w:ascii="Arial" w:hAnsi="Arial"/>
          <w:b/>
          <w:bCs/>
          <w:lang w:val="en-US"/>
        </w:rPr>
        <w:t>.</w:t>
      </w:r>
      <w:r w:rsidR="00CB034D" w:rsidRPr="00AB4695">
        <w:rPr>
          <w:rFonts w:ascii="Arial" w:hAnsi="Arial"/>
          <w:lang w:val="en-US"/>
        </w:rPr>
        <w:t xml:space="preserve"> </w:t>
      </w:r>
      <w:r w:rsidR="00703F8A" w:rsidRPr="00AB4695">
        <w:rPr>
          <w:rFonts w:ascii="Arial" w:hAnsi="Arial"/>
          <w:lang w:val="en-US"/>
        </w:rPr>
        <w:t xml:space="preserve">Analyzed human adrenal glands. </w:t>
      </w:r>
      <w:r w:rsidR="0051461E" w:rsidRPr="00AB4695">
        <w:rPr>
          <w:rFonts w:ascii="Arial" w:hAnsi="Arial"/>
          <w:lang w:val="en-US"/>
        </w:rPr>
        <w:t>(A)</w:t>
      </w:r>
      <w:r w:rsidR="00703F8A" w:rsidRPr="00AB4695">
        <w:rPr>
          <w:rFonts w:ascii="Arial" w:hAnsi="Arial"/>
          <w:lang w:val="en-US"/>
        </w:rPr>
        <w:t xml:space="preserve"> </w:t>
      </w:r>
      <w:r w:rsidR="00434776" w:rsidRPr="00AB4695">
        <w:rPr>
          <w:rFonts w:ascii="Arial" w:hAnsi="Arial"/>
          <w:lang w:val="en-US"/>
        </w:rPr>
        <w:t xml:space="preserve">HE </w:t>
      </w:r>
      <w:r w:rsidR="00703F8A" w:rsidRPr="00AB4695">
        <w:rPr>
          <w:rFonts w:ascii="Arial" w:hAnsi="Arial"/>
          <w:lang w:val="en-US"/>
        </w:rPr>
        <w:t>o</w:t>
      </w:r>
      <w:r w:rsidR="00CB034D" w:rsidRPr="00AB4695">
        <w:rPr>
          <w:rFonts w:ascii="Arial" w:hAnsi="Arial"/>
          <w:lang w:val="en-US"/>
        </w:rPr>
        <w:t xml:space="preserve">verview of human adrenals </w:t>
      </w:r>
      <w:r w:rsidR="00434776" w:rsidRPr="00AB4695">
        <w:rPr>
          <w:rFonts w:ascii="Arial" w:hAnsi="Arial"/>
          <w:lang w:val="en-US"/>
        </w:rPr>
        <w:t>assessed</w:t>
      </w:r>
      <w:r w:rsidR="00CB034D" w:rsidRPr="00AB4695">
        <w:rPr>
          <w:rFonts w:ascii="Arial" w:hAnsi="Arial"/>
          <w:lang w:val="en-US"/>
        </w:rPr>
        <w:t xml:space="preserve"> in this study. </w:t>
      </w:r>
      <w:r w:rsidR="00703F8A" w:rsidRPr="00AB4695">
        <w:rPr>
          <w:rFonts w:ascii="Arial" w:hAnsi="Arial"/>
          <w:lang w:val="en-US"/>
        </w:rPr>
        <w:t xml:space="preserve">Numbers indicate the age of the </w:t>
      </w:r>
      <w:r w:rsidR="005004E1" w:rsidRPr="00AB4695">
        <w:rPr>
          <w:rFonts w:ascii="Arial" w:hAnsi="Arial"/>
          <w:lang w:val="en-US"/>
        </w:rPr>
        <w:t xml:space="preserve">individuals, scale bars: 2,5 mm. </w:t>
      </w:r>
      <w:r w:rsidR="0051461E" w:rsidRPr="00AB4695">
        <w:rPr>
          <w:rFonts w:ascii="Arial" w:hAnsi="Arial"/>
          <w:lang w:val="en-US"/>
        </w:rPr>
        <w:t xml:space="preserve">(B) </w:t>
      </w:r>
      <w:r w:rsidR="00434776" w:rsidRPr="00AB4695">
        <w:rPr>
          <w:rFonts w:ascii="Arial" w:hAnsi="Arial"/>
          <w:lang w:val="en-US"/>
        </w:rPr>
        <w:t>exemplified</w:t>
      </w:r>
      <w:r w:rsidR="005004E1" w:rsidRPr="00AB4695">
        <w:rPr>
          <w:rFonts w:ascii="Arial" w:hAnsi="Arial"/>
          <w:lang w:val="en-US"/>
        </w:rPr>
        <w:t xml:space="preserve"> adrenal gland s</w:t>
      </w:r>
      <w:r w:rsidR="00434776" w:rsidRPr="00AB4695">
        <w:rPr>
          <w:rFonts w:ascii="Arial" w:hAnsi="Arial"/>
          <w:lang w:val="en-US"/>
        </w:rPr>
        <w:t>tructure</w:t>
      </w:r>
      <w:r w:rsidR="005004E1" w:rsidRPr="00AB4695">
        <w:rPr>
          <w:rFonts w:ascii="Arial" w:hAnsi="Arial"/>
          <w:lang w:val="en-US"/>
        </w:rPr>
        <w:t>. AC: adrenal cortex; AM: adrenal medulla; zf: zona fasciculata; zg: zona glomerulosa; zr: zona reticula</w:t>
      </w:r>
      <w:r w:rsidR="00404C4A" w:rsidRPr="00AB4695">
        <w:rPr>
          <w:rFonts w:ascii="Arial" w:hAnsi="Arial"/>
          <w:lang w:val="en-US"/>
        </w:rPr>
        <w:t>ris</w:t>
      </w:r>
      <w:r w:rsidR="005004E1" w:rsidRPr="00AB4695">
        <w:rPr>
          <w:rFonts w:ascii="Arial" w:hAnsi="Arial"/>
          <w:lang w:val="en-US"/>
        </w:rPr>
        <w:t>; V: blood vessel,</w:t>
      </w:r>
      <w:r w:rsidR="00EC5AED" w:rsidRPr="00AB4695">
        <w:rPr>
          <w:rFonts w:ascii="Arial" w:hAnsi="Arial"/>
          <w:lang w:val="en-US"/>
        </w:rPr>
        <w:t xml:space="preserve"> </w:t>
      </w:r>
      <w:r w:rsidR="005004E1" w:rsidRPr="00AB4695">
        <w:rPr>
          <w:rFonts w:ascii="Arial" w:hAnsi="Arial"/>
          <w:lang w:val="en-US"/>
        </w:rPr>
        <w:t>scale bar: 500 µm</w:t>
      </w:r>
    </w:p>
    <w:p w:rsidR="00237F4A" w:rsidRPr="00AB4695" w:rsidRDefault="00237F4A">
      <w:pPr>
        <w:spacing w:after="200" w:line="276" w:lineRule="auto"/>
        <w:rPr>
          <w:rFonts w:ascii="Arial" w:hAnsi="Arial"/>
          <w:lang w:val="en-US"/>
        </w:rPr>
      </w:pPr>
    </w:p>
    <w:p w:rsidR="00D22C20" w:rsidRPr="00AB4695" w:rsidRDefault="0077314B" w:rsidP="00E261D9">
      <w:pPr>
        <w:spacing w:line="360" w:lineRule="auto"/>
        <w:jc w:val="center"/>
        <w:rPr>
          <w:rFonts w:ascii="Arial" w:hAnsi="Arial"/>
          <w:lang w:val="en-US"/>
        </w:rPr>
      </w:pPr>
      <w:r w:rsidRPr="00AB4695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 wp14:anchorId="45922906" wp14:editId="133CACAA">
            <wp:extent cx="4440326" cy="556686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" b="3973"/>
                    <a:stretch/>
                  </pic:blipFill>
                  <pic:spPr bwMode="auto">
                    <a:xfrm>
                      <a:off x="0" y="0"/>
                      <a:ext cx="4441580" cy="556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312" w:rsidRPr="00AB4695" w:rsidRDefault="00D22C20" w:rsidP="00546220">
      <w:pPr>
        <w:spacing w:line="360" w:lineRule="auto"/>
        <w:jc w:val="both"/>
        <w:rPr>
          <w:rFonts w:ascii="Arial" w:hAnsi="Arial"/>
          <w:bCs/>
          <w:lang w:val="en-GB"/>
        </w:rPr>
      </w:pPr>
      <w:r w:rsidRPr="00AB4695">
        <w:rPr>
          <w:rFonts w:ascii="Arial" w:hAnsi="Arial"/>
          <w:b/>
          <w:bCs/>
          <w:lang w:val="en-US"/>
        </w:rPr>
        <w:t>Supplementary Fig S</w:t>
      </w:r>
      <w:r w:rsidR="00A40498" w:rsidRPr="00AB4695">
        <w:rPr>
          <w:rFonts w:ascii="Arial" w:hAnsi="Arial"/>
          <w:b/>
          <w:bCs/>
          <w:lang w:val="en-US"/>
        </w:rPr>
        <w:t>9</w:t>
      </w:r>
      <w:r w:rsidR="0077314B" w:rsidRPr="00AB4695">
        <w:rPr>
          <w:rFonts w:ascii="Arial" w:hAnsi="Arial"/>
          <w:b/>
          <w:bCs/>
          <w:lang w:val="en-US"/>
        </w:rPr>
        <w:t>.</w:t>
      </w:r>
      <w:r w:rsidRPr="00AB4695">
        <w:rPr>
          <w:rFonts w:ascii="Arial" w:hAnsi="Arial"/>
          <w:b/>
          <w:bCs/>
          <w:lang w:val="en-US"/>
        </w:rPr>
        <w:t xml:space="preserve"> </w:t>
      </w:r>
      <w:r w:rsidR="006A450F" w:rsidRPr="00AB4695">
        <w:rPr>
          <w:rFonts w:ascii="Arial" w:hAnsi="Arial"/>
          <w:bCs/>
          <w:lang w:val="en-GB"/>
        </w:rPr>
        <w:t xml:space="preserve">Localization of mtDNA deletions detected with the nested PCR assay. </w:t>
      </w:r>
      <w:r w:rsidR="0051461E" w:rsidRPr="00AB4695">
        <w:rPr>
          <w:rFonts w:ascii="Arial" w:hAnsi="Arial"/>
          <w:bCs/>
          <w:lang w:val="en-GB"/>
        </w:rPr>
        <w:t>(A)</w:t>
      </w:r>
      <w:r w:rsidR="006A450F" w:rsidRPr="00AB4695">
        <w:rPr>
          <w:rFonts w:ascii="Arial" w:hAnsi="Arial"/>
          <w:bCs/>
          <w:lang w:val="en-GB"/>
        </w:rPr>
        <w:t xml:space="preserve"> mtDNA displays a human mtDNA molecule; rRNAs and protein encoding genes are specified in colours. Black bars show each deletion region and the non-deleted D-Loop fragment (ctrl) amplified with the corresponding primers. </w:t>
      </w:r>
      <w:r w:rsidR="0051461E" w:rsidRPr="00AB4695">
        <w:rPr>
          <w:rFonts w:ascii="Arial" w:hAnsi="Arial"/>
          <w:bCs/>
          <w:lang w:val="en-GB"/>
        </w:rPr>
        <w:t>(B)</w:t>
      </w:r>
      <w:r w:rsidR="006A450F" w:rsidRPr="00AB4695">
        <w:rPr>
          <w:rFonts w:ascii="Arial" w:hAnsi="Arial"/>
          <w:bCs/>
          <w:lang w:val="en-GB"/>
        </w:rPr>
        <w:t xml:space="preserve"> No correlation between post mortem interval and increase of number of mtDNA deletion species. Linear regression analysis: adrenal cortex: r2 = 0.08710; slope ≠0: p = 0.4078; adrenal medulla: r2 = 0.04622; slope ≠0: p = 0.5509</w:t>
      </w:r>
    </w:p>
    <w:p w:rsidR="00EE268C" w:rsidRPr="00AB4695" w:rsidRDefault="00EE268C" w:rsidP="00EE268C">
      <w:pPr>
        <w:spacing w:after="200" w:line="276" w:lineRule="auto"/>
        <w:rPr>
          <w:rFonts w:ascii="Arial" w:hAnsi="Arial"/>
          <w:lang w:val="en-US"/>
        </w:rPr>
      </w:pPr>
      <w:r w:rsidRPr="00AB4695">
        <w:rPr>
          <w:rFonts w:ascii="Arial" w:hAnsi="Arial"/>
          <w:bCs/>
          <w:lang w:val="en-GB"/>
        </w:rPr>
        <w:br w:type="page"/>
      </w:r>
      <w:r w:rsidRPr="00AB4695">
        <w:rPr>
          <w:rFonts w:ascii="Arial" w:hAnsi="Arial"/>
          <w:b/>
          <w:lang w:val="en-US"/>
        </w:rPr>
        <w:lastRenderedPageBreak/>
        <w:t>Supplementary Table S</w:t>
      </w:r>
      <w:r w:rsidR="00515AAA" w:rsidRPr="00AB4695">
        <w:rPr>
          <w:rFonts w:ascii="Arial" w:hAnsi="Arial"/>
          <w:b/>
          <w:lang w:val="en-US"/>
        </w:rPr>
        <w:t>1</w:t>
      </w:r>
      <w:r w:rsidRPr="00AB4695">
        <w:rPr>
          <w:rFonts w:ascii="Arial" w:hAnsi="Arial"/>
          <w:lang w:val="en-US"/>
        </w:rPr>
        <w:t xml:space="preserve"> </w:t>
      </w:r>
      <w:r w:rsidR="00515AAA" w:rsidRPr="00AB4695">
        <w:rPr>
          <w:rFonts w:ascii="Arial" w:hAnsi="Arial" w:cs="Arial"/>
          <w:lang w:val="en-US"/>
        </w:rPr>
        <w:t>Sequence of primers used for nested PCR mtDNA deletion screening</w:t>
      </w:r>
      <w:r w:rsidRPr="00AB4695">
        <w:rPr>
          <w:rFonts w:ascii="Arial" w:hAnsi="Arial" w:cs="Arial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3430"/>
      </w:tblGrid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515AAA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AB4695">
              <w:rPr>
                <w:rFonts w:ascii="Arial" w:hAnsi="Arial" w:cs="Arial"/>
                <w:b/>
                <w:sz w:val="14"/>
                <w:szCs w:val="14"/>
              </w:rPr>
              <w:t>H</w:t>
            </w:r>
            <w:r w:rsidR="00EE268C" w:rsidRPr="00AB4695">
              <w:rPr>
                <w:rFonts w:ascii="Arial" w:hAnsi="Arial" w:cs="Arial"/>
                <w:b/>
                <w:sz w:val="14"/>
                <w:szCs w:val="14"/>
              </w:rPr>
              <w:t>uman</w:t>
            </w:r>
          </w:p>
        </w:tc>
        <w:tc>
          <w:tcPr>
            <w:tcW w:w="343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cs="Courier New"/>
                <w:sz w:val="16"/>
                <w:szCs w:val="16"/>
                <w:lang w:val="en-GB"/>
              </w:rPr>
            </w:pP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695">
              <w:rPr>
                <w:rFonts w:ascii="Arial" w:hAnsi="Arial" w:cs="Arial"/>
                <w:b/>
                <w:sz w:val="14"/>
                <w:szCs w:val="14"/>
                <w:lang w:val="en-GB"/>
              </w:rPr>
              <w:t xml:space="preserve">nested mtDNA deletion screen (outer primers) </w:t>
            </w:r>
          </w:p>
        </w:tc>
        <w:tc>
          <w:tcPr>
            <w:tcW w:w="343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cs="Courier New"/>
                <w:sz w:val="16"/>
                <w:szCs w:val="16"/>
                <w:lang w:val="en-GB"/>
              </w:rPr>
            </w:pP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fr-FR"/>
              </w:rPr>
              <w:t>AAC AAA GAA CCC TAA CAC CAG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AGT CAT GTT AGC TTG TTT CAG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CCC ACT CCC ATA CTA CTA ATC TC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AGA TGG TAG AGT AGA TGA CGG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FAC CCA TCC CTG AGA ATC 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CTG GTG AGT AGT GCA TGG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ACA TAA GCT TCT GAC TCT TAC 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TTC TAG TCA GGT TAG GTC TAG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TTA CAC TAT TCC TCA TCA CCC 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GTA TGAT ATG TTT GCG GTT TCG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TCG CTT CAT TCA TTG CCC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CGT ACA ATA TTC ATG GTG GCT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CAG CCC TCC TAA TGA CCT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ATG CTA GGG TAG AAT CCG 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CCC TAC TAT GCC TAG AAG GA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AAT AGT CCT GTG GTG ATT TGG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CCC ACA GCC TAA TTA TTA GCA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TGT AGT AAG GGT GGA AGG TG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AAA CCC TCA TTC ACA CGA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TGT CTT TGG ATA TAC TAC AGC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hdelctrlfor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GAG CAC CCT ATG TCG CAG TA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hdelctrlrev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CGG TGT GTG TGT GCT GGG TA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695">
              <w:rPr>
                <w:rFonts w:ascii="Arial" w:hAnsi="Arial" w:cs="Arial"/>
                <w:b/>
                <w:sz w:val="14"/>
                <w:szCs w:val="14"/>
                <w:lang w:val="en-GB"/>
              </w:rPr>
              <w:t xml:space="preserve">nested mtDNA deletion screen (inner primers) 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TTT ATC TTT AGG CGG TAT GCA 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GCT TGT TTC AGG TGC GAG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CCA TCC TAC CCA GCA CAC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GGG ATT AAT TAG TAC GGG AAG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AAA TTC TCC GTG CCA CCT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AGT CCT GTG GTG ATT TGG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GCT CGC ATC TGC TAT AGT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AGG TCT AGG AGG AGT AGG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AAC ACA AAC TAC CAC CTA 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CGA TGA TGT GGT CTT TGG AG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CCT CCA AAT ATC TCA TCA ACA ACC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CAG TAA TGT ACG AAA TAC ATA GCG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</w:rPr>
              <w:t>CTA GCC ATG TGA TTT CAC TTC CA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AGT TTG TTG GTT AGG TAG TTG AGG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CTA CTC TCA TAA CCC TCA ACA 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GTGG TGA TTT GGA GGA TCA 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CAA CAA CCT ATT TAG CTG TTC 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TTT ATC GGA ATG GGA GGT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en-GB"/>
              </w:rPr>
              <w:t>CTC ATG TTC ATA CAC CTA TCC 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INhdel10rev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GCG ATG GCT ATT GAG GAG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515AAA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b/>
                <w:sz w:val="14"/>
                <w:szCs w:val="14"/>
              </w:rPr>
              <w:t>R</w:t>
            </w:r>
            <w:r w:rsidR="00EE268C" w:rsidRPr="00AB4695">
              <w:rPr>
                <w:rFonts w:ascii="Arial" w:hAnsi="Arial" w:cs="Arial"/>
                <w:b/>
                <w:sz w:val="14"/>
                <w:szCs w:val="14"/>
              </w:rPr>
              <w:t>at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695">
              <w:rPr>
                <w:rFonts w:ascii="Arial" w:hAnsi="Arial" w:cs="Arial"/>
                <w:b/>
                <w:sz w:val="14"/>
                <w:szCs w:val="14"/>
                <w:lang w:val="en-GB"/>
              </w:rPr>
              <w:t>nested mtDNA deletion screen (outer primers)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GAC TAA GCT AGT ACC TCT CAG 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AAG TAT TTG TAG GGA GAA GGA GC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ATA ATG CAC GAT AGC TAA GAC 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GCT TTG AAG GCT CTT GAA CTG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GCC TAA TCA CGA CAC TTA GCA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GGT CAC AAC AAT TGG TAG ACC T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CAA TGA AGC GGA AAG AAA TGG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AGG TGT CTG ATA TTG GGT TAT AGC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ACC TAT TCT GAT TCT TCG GCC 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TCT AGG CAG AGG AGA GTG GA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AAT AAG AAA GGA AGG AAT CGA CCC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CAT GGT GAC GAA GTA GAT GAT 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TAC AAT CAT CTC CTC AAT AGC CAC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CAT GGT GAC GAA GTA GAT GAT 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TCT CCG AAG TAT TCT TCT TTG 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TGA GAA TGA TGA TAG TTT GGT GGG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ACG GAG TCC ATC TAT GAT TAC CA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TAA AGG ATT TGG GTG ATT GGG 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GCT AAT TCA TGC ACC CAT ACC T</w:t>
            </w:r>
          </w:p>
        </w:tc>
      </w:tr>
      <w:tr w:rsidR="00EE268C" w:rsidRPr="00AB4695" w:rsidTr="00173B6E">
        <w:trPr>
          <w:trHeight w:hRule="exact" w:val="285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lastRenderedPageBreak/>
              <w:t>rat10rev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ACT GAT GGA GGC TAG TTG ACC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ratctrlfor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CCT TCC TCA ACA TAG CCG TC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ratctrlrev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GTG GTC TAC TAG AAT GGA GAA GC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695">
              <w:rPr>
                <w:rFonts w:ascii="Arial" w:hAnsi="Arial" w:cs="Arial"/>
                <w:b/>
                <w:sz w:val="14"/>
                <w:szCs w:val="14"/>
                <w:lang w:val="en-GB"/>
              </w:rPr>
              <w:t>nested mtDNA deletion screen (inner primers)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GGT TGG TAA ATT TCG TGC CAG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TGA CTT CGT AAG AGA TGG TTT 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AAA CTC AAA GGA CTT GGC 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GTG ATT AGT TGG GAG GAA AGC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TTT CTA ACC CAA GCT ACA GCC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GAG GTG CAG GAA AGG TTT 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TGA ATA GAG CAA TGA AGT ACG CAC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TAG CTC CTA AGA TAG AAG ACA CCC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AGC ACA TCA CAT ATT CAC AGT AGG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GCA GAG GAG AGT GGA TAT TAG GT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GCT TAC AAG ACG CTA CAT CAC 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CGA AGT AGA TGA TCC GTA TGC TG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TTC TTC CCA AAC CTT TCC TGC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CGA AGT AGA TGA TCC GTA TGC TG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TAC ATC AGT CCT CTT AGC ATC AGG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CTA ATG CTA GGC GTT TGA TTG 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TAG CCT ACC CAT TCA TCA TCC TC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TTA GCG GGT GTA TAA TTG TCT GG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AAA TTC TCA TTC CTC CTT AGC CTC</w:t>
            </w:r>
          </w:p>
        </w:tc>
      </w:tr>
      <w:tr w:rsidR="00EE268C" w:rsidRPr="00AB4695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695">
              <w:rPr>
                <w:rFonts w:ascii="Arial" w:hAnsi="Arial" w:cs="Arial"/>
                <w:sz w:val="14"/>
                <w:szCs w:val="14"/>
              </w:rPr>
              <w:t>INrat10rev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695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695">
              <w:rPr>
                <w:rFonts w:ascii="Courier New" w:hAnsi="Courier New" w:cs="Courier New"/>
                <w:sz w:val="16"/>
                <w:szCs w:val="16"/>
                <w:lang w:val="sv-SE"/>
              </w:rPr>
              <w:t>ATA AAT GGG TGT TCT ACT GGT TGG</w:t>
            </w:r>
          </w:p>
        </w:tc>
      </w:tr>
    </w:tbl>
    <w:p w:rsidR="00EE268C" w:rsidRPr="00AB4695" w:rsidRDefault="00EE268C" w:rsidP="00546220">
      <w:pPr>
        <w:spacing w:line="360" w:lineRule="auto"/>
        <w:jc w:val="both"/>
        <w:rPr>
          <w:rFonts w:ascii="Arial" w:hAnsi="Arial"/>
          <w:b/>
          <w:lang w:val="en-US"/>
        </w:rPr>
      </w:pPr>
    </w:p>
    <w:p w:rsidR="00EE268C" w:rsidRPr="00AB4695" w:rsidRDefault="00EE268C">
      <w:pPr>
        <w:spacing w:after="200" w:line="276" w:lineRule="auto"/>
        <w:rPr>
          <w:rFonts w:ascii="Arial" w:hAnsi="Arial"/>
          <w:b/>
          <w:lang w:val="en-US"/>
        </w:rPr>
      </w:pPr>
      <w:r w:rsidRPr="00AB4695">
        <w:rPr>
          <w:rFonts w:ascii="Arial" w:hAnsi="Arial"/>
          <w:b/>
          <w:lang w:val="en-US"/>
        </w:rPr>
        <w:br w:type="page"/>
      </w:r>
    </w:p>
    <w:p w:rsidR="00CB034D" w:rsidRPr="00AB4695" w:rsidRDefault="00311E03" w:rsidP="00546220">
      <w:pPr>
        <w:spacing w:line="360" w:lineRule="auto"/>
        <w:jc w:val="both"/>
        <w:rPr>
          <w:rFonts w:ascii="Arial" w:hAnsi="Arial"/>
          <w:lang w:val="en-US"/>
        </w:rPr>
      </w:pPr>
      <w:r w:rsidRPr="00AB4695">
        <w:rPr>
          <w:rFonts w:ascii="Arial" w:hAnsi="Arial"/>
          <w:b/>
          <w:lang w:val="en-US"/>
        </w:rPr>
        <w:lastRenderedPageBreak/>
        <w:t>Supplementary Tab</w:t>
      </w:r>
      <w:r w:rsidR="0077314B" w:rsidRPr="00AB4695">
        <w:rPr>
          <w:rFonts w:ascii="Arial" w:hAnsi="Arial"/>
          <w:b/>
          <w:lang w:val="en-US"/>
        </w:rPr>
        <w:t>le</w:t>
      </w:r>
      <w:r w:rsidRPr="00AB4695">
        <w:rPr>
          <w:rFonts w:ascii="Arial" w:hAnsi="Arial"/>
          <w:b/>
          <w:lang w:val="en-US"/>
        </w:rPr>
        <w:t> </w:t>
      </w:r>
      <w:r w:rsidR="00CB034D" w:rsidRPr="00AB4695">
        <w:rPr>
          <w:rFonts w:ascii="Arial" w:hAnsi="Arial"/>
          <w:b/>
          <w:lang w:val="en-US"/>
        </w:rPr>
        <w:t>S</w:t>
      </w:r>
      <w:r w:rsidR="00EE268C" w:rsidRPr="00AB4695">
        <w:rPr>
          <w:rFonts w:ascii="Arial" w:hAnsi="Arial"/>
          <w:b/>
          <w:lang w:val="en-US"/>
        </w:rPr>
        <w:t>2</w:t>
      </w:r>
      <w:r w:rsidR="00CB034D" w:rsidRPr="00AB4695">
        <w:rPr>
          <w:rFonts w:ascii="Arial" w:hAnsi="Arial"/>
          <w:lang w:val="en-US"/>
        </w:rPr>
        <w:t xml:space="preserve"> </w:t>
      </w:r>
      <w:r w:rsidR="00CB034D" w:rsidRPr="00AB4695">
        <w:rPr>
          <w:rFonts w:ascii="Arial" w:hAnsi="Arial" w:cs="Arial"/>
          <w:lang w:val="en-US"/>
        </w:rPr>
        <w:t>Age, gender and post mortem interval of human individuals</w:t>
      </w:r>
      <w:r w:rsidR="00ED455B" w:rsidRPr="00AB4695">
        <w:rPr>
          <w:rFonts w:ascii="Arial" w:hAnsi="Arial" w:cs="Arial"/>
          <w:lang w:val="en-US"/>
        </w:rPr>
        <w:t>, which were included in this study.</w:t>
      </w:r>
      <w:r w:rsidR="005C2196" w:rsidRPr="00AB4695">
        <w:rPr>
          <w:rFonts w:ascii="Arial" w:hAnsi="Arial" w:cs="Arial"/>
          <w:lang w:val="en-US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22"/>
        <w:gridCol w:w="1345"/>
        <w:gridCol w:w="955"/>
        <w:gridCol w:w="2578"/>
      </w:tblGrid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970E13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695">
              <w:rPr>
                <w:rFonts w:ascii="Arial" w:hAnsi="Arial"/>
                <w:b/>
                <w:sz w:val="20"/>
                <w:szCs w:val="20"/>
              </w:rPr>
              <w:t>individual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695">
              <w:rPr>
                <w:rFonts w:ascii="Arial" w:hAnsi="Arial"/>
                <w:b/>
                <w:sz w:val="20"/>
                <w:szCs w:val="20"/>
              </w:rPr>
              <w:t>age [years]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695">
              <w:rPr>
                <w:rFonts w:ascii="Arial" w:hAnsi="Arial"/>
                <w:b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695">
              <w:rPr>
                <w:rFonts w:ascii="Arial" w:hAnsi="Arial"/>
                <w:b/>
                <w:sz w:val="20"/>
                <w:szCs w:val="20"/>
              </w:rPr>
              <w:t>post mortem interval</w:t>
            </w:r>
            <w:r w:rsidR="00311E03" w:rsidRPr="00AB4695">
              <w:rPr>
                <w:rFonts w:ascii="Arial" w:hAnsi="Arial"/>
                <w:b/>
                <w:sz w:val="20"/>
                <w:szCs w:val="20"/>
              </w:rPr>
              <w:t xml:space="preserve"> [h]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0</w:t>
            </w:r>
            <w:r w:rsidR="00ED455B" w:rsidRPr="00AB4695">
              <w:rPr>
                <w:rFonts w:ascii="Arial" w:hAnsi="Arial"/>
                <w:sz w:val="20"/>
                <w:szCs w:val="20"/>
              </w:rPr>
              <w:t>.</w:t>
            </w:r>
            <w:r w:rsidRPr="00AB4695">
              <w:rPr>
                <w:rFonts w:ascii="Arial" w:hAnsi="Arial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12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0</w:t>
            </w:r>
            <w:r w:rsidR="00ED455B" w:rsidRPr="00AB4695">
              <w:rPr>
                <w:rFonts w:ascii="Arial" w:hAnsi="Arial"/>
                <w:sz w:val="20"/>
                <w:szCs w:val="20"/>
              </w:rPr>
              <w:t>.</w:t>
            </w:r>
            <w:r w:rsidRPr="00AB4695">
              <w:rPr>
                <w:rFonts w:ascii="Arial" w:hAnsi="Arial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26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&gt;48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&lt;8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&gt;48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24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68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43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224,5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bCs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72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&lt;24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80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bCs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12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48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60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100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75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75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&gt;72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17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20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38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ca. 61</w:t>
            </w:r>
          </w:p>
        </w:tc>
      </w:tr>
      <w:tr w:rsidR="00CB034D" w:rsidRPr="00AB4695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&gt;72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695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695">
              <w:rPr>
                <w:rFonts w:ascii="Arial" w:hAnsi="Arial"/>
                <w:sz w:val="20"/>
                <w:szCs w:val="20"/>
              </w:rPr>
              <w:t>&gt;100</w:t>
            </w:r>
          </w:p>
        </w:tc>
      </w:tr>
    </w:tbl>
    <w:p w:rsidR="00CB034D" w:rsidRPr="00CB034D" w:rsidRDefault="00CB034D">
      <w:pPr>
        <w:rPr>
          <w:lang w:val="en-US"/>
        </w:rPr>
      </w:pPr>
    </w:p>
    <w:sectPr w:rsidR="00CB034D" w:rsidRPr="00CB034D" w:rsidSect="009D052D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FAE" w:rsidRDefault="00C46FAE" w:rsidP="00CB034D">
      <w:r>
        <w:separator/>
      </w:r>
    </w:p>
  </w:endnote>
  <w:endnote w:type="continuationSeparator" w:id="0">
    <w:p w:rsidR="00C46FAE" w:rsidRDefault="00C46FAE" w:rsidP="00CB0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518767"/>
      <w:docPartObj>
        <w:docPartGallery w:val="Page Numbers (Bottom of Page)"/>
        <w:docPartUnique/>
      </w:docPartObj>
    </w:sdtPr>
    <w:sdtEndPr/>
    <w:sdtContent>
      <w:p w:rsidR="0009655B" w:rsidRDefault="00CB4106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6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655B" w:rsidRDefault="000965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FAE" w:rsidRDefault="00C46FAE" w:rsidP="00CB034D">
      <w:r>
        <w:separator/>
      </w:r>
    </w:p>
  </w:footnote>
  <w:footnote w:type="continuationSeparator" w:id="0">
    <w:p w:rsidR="00C46FAE" w:rsidRDefault="00C46FAE" w:rsidP="00CB0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55B" w:rsidRPr="004C1358" w:rsidRDefault="0009655B" w:rsidP="00CB034D">
    <w:pPr>
      <w:pStyle w:val="Header"/>
      <w:jc w:val="right"/>
      <w:rPr>
        <w:rFonts w:ascii="Arial" w:hAnsi="Arial" w:cs="Arial"/>
        <w:lang w:val="en-US"/>
      </w:rPr>
    </w:pPr>
    <w:r w:rsidRPr="004C1358">
      <w:rPr>
        <w:rFonts w:ascii="Arial" w:hAnsi="Arial" w:cs="Arial"/>
        <w:lang w:val="en-US"/>
      </w:rPr>
      <w:t xml:space="preserve">Neuhaus </w:t>
    </w:r>
    <w:r w:rsidRPr="004C1358">
      <w:rPr>
        <w:rFonts w:ascii="Arial" w:hAnsi="Arial" w:cs="Arial"/>
        <w:i/>
        <w:lang w:val="en-US"/>
      </w:rPr>
      <w:t>et al</w:t>
    </w:r>
    <w:r w:rsidRPr="004C1358">
      <w:rPr>
        <w:rFonts w:ascii="Arial" w:hAnsi="Arial" w:cs="Arial"/>
        <w:lang w:val="en-US"/>
      </w:rPr>
      <w:t>.</w:t>
    </w:r>
    <w:r w:rsidRPr="004C1358">
      <w:rPr>
        <w:rFonts w:ascii="Arial" w:hAnsi="Arial" w:cs="Arial"/>
        <w:lang w:val="en-US"/>
      </w:rPr>
      <w:tab/>
    </w:r>
    <w:r w:rsidRPr="004C1358">
      <w:rPr>
        <w:rFonts w:ascii="Arial" w:hAnsi="Arial" w:cs="Arial"/>
        <w:lang w:val="en-US"/>
      </w:rPr>
      <w:tab/>
      <w:t>Manuscript_</w:t>
    </w:r>
    <w:r>
      <w:rPr>
        <w:rFonts w:ascii="Arial" w:hAnsi="Arial" w:cs="Arial"/>
        <w:lang w:val="en-US"/>
      </w:rPr>
      <w:t>Neuroendocrinology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4D"/>
    <w:rsid w:val="0000391B"/>
    <w:rsid w:val="000808D4"/>
    <w:rsid w:val="0009655B"/>
    <w:rsid w:val="000C5A39"/>
    <w:rsid w:val="00105CEA"/>
    <w:rsid w:val="001207F6"/>
    <w:rsid w:val="00173B6E"/>
    <w:rsid w:val="00195809"/>
    <w:rsid w:val="00221A38"/>
    <w:rsid w:val="00225D01"/>
    <w:rsid w:val="00237F4A"/>
    <w:rsid w:val="00272F72"/>
    <w:rsid w:val="0028113C"/>
    <w:rsid w:val="00290D6F"/>
    <w:rsid w:val="002C5EEA"/>
    <w:rsid w:val="002E44D5"/>
    <w:rsid w:val="00301663"/>
    <w:rsid w:val="003036E6"/>
    <w:rsid w:val="00307611"/>
    <w:rsid w:val="00311E03"/>
    <w:rsid w:val="003515F5"/>
    <w:rsid w:val="00371135"/>
    <w:rsid w:val="003D7A69"/>
    <w:rsid w:val="003E7C8E"/>
    <w:rsid w:val="003F190E"/>
    <w:rsid w:val="00404C4A"/>
    <w:rsid w:val="00434776"/>
    <w:rsid w:val="004528F0"/>
    <w:rsid w:val="00485D30"/>
    <w:rsid w:val="004B6252"/>
    <w:rsid w:val="004C1358"/>
    <w:rsid w:val="004C1FAE"/>
    <w:rsid w:val="004C68B5"/>
    <w:rsid w:val="004E735F"/>
    <w:rsid w:val="005004E1"/>
    <w:rsid w:val="0051461E"/>
    <w:rsid w:val="00515AAA"/>
    <w:rsid w:val="00546220"/>
    <w:rsid w:val="005677B5"/>
    <w:rsid w:val="00597E93"/>
    <w:rsid w:val="005A32BB"/>
    <w:rsid w:val="005B7EF0"/>
    <w:rsid w:val="005C2196"/>
    <w:rsid w:val="005F5BFD"/>
    <w:rsid w:val="006161DE"/>
    <w:rsid w:val="0062244D"/>
    <w:rsid w:val="00651BEA"/>
    <w:rsid w:val="00692977"/>
    <w:rsid w:val="006A450F"/>
    <w:rsid w:val="006B1D1F"/>
    <w:rsid w:val="006E54A2"/>
    <w:rsid w:val="00703F8A"/>
    <w:rsid w:val="00713CC8"/>
    <w:rsid w:val="00730787"/>
    <w:rsid w:val="007344F3"/>
    <w:rsid w:val="0077314B"/>
    <w:rsid w:val="007D6989"/>
    <w:rsid w:val="00833FC3"/>
    <w:rsid w:val="00841A25"/>
    <w:rsid w:val="008464EB"/>
    <w:rsid w:val="00884D8B"/>
    <w:rsid w:val="008C3384"/>
    <w:rsid w:val="008E309C"/>
    <w:rsid w:val="00935F63"/>
    <w:rsid w:val="0096622C"/>
    <w:rsid w:val="00970E13"/>
    <w:rsid w:val="009810E7"/>
    <w:rsid w:val="00992656"/>
    <w:rsid w:val="009942A0"/>
    <w:rsid w:val="0099615B"/>
    <w:rsid w:val="009C059A"/>
    <w:rsid w:val="009C664E"/>
    <w:rsid w:val="009C6DED"/>
    <w:rsid w:val="009D052D"/>
    <w:rsid w:val="00A40498"/>
    <w:rsid w:val="00A8438C"/>
    <w:rsid w:val="00A948AD"/>
    <w:rsid w:val="00AB4695"/>
    <w:rsid w:val="00AB4AF7"/>
    <w:rsid w:val="00AC038C"/>
    <w:rsid w:val="00AC6B4E"/>
    <w:rsid w:val="00B12DE2"/>
    <w:rsid w:val="00B23312"/>
    <w:rsid w:val="00B510F8"/>
    <w:rsid w:val="00B9062C"/>
    <w:rsid w:val="00BC66C4"/>
    <w:rsid w:val="00C06AE1"/>
    <w:rsid w:val="00C31334"/>
    <w:rsid w:val="00C46FAE"/>
    <w:rsid w:val="00C74C72"/>
    <w:rsid w:val="00C91D23"/>
    <w:rsid w:val="00C9662E"/>
    <w:rsid w:val="00CA20BC"/>
    <w:rsid w:val="00CB034D"/>
    <w:rsid w:val="00CB4106"/>
    <w:rsid w:val="00CD1132"/>
    <w:rsid w:val="00CD7DB2"/>
    <w:rsid w:val="00D070FD"/>
    <w:rsid w:val="00D22C20"/>
    <w:rsid w:val="00D65310"/>
    <w:rsid w:val="00D80C75"/>
    <w:rsid w:val="00D96093"/>
    <w:rsid w:val="00DA7E0B"/>
    <w:rsid w:val="00DD0C87"/>
    <w:rsid w:val="00E05DC2"/>
    <w:rsid w:val="00E05FAF"/>
    <w:rsid w:val="00E23419"/>
    <w:rsid w:val="00E261D9"/>
    <w:rsid w:val="00E809D6"/>
    <w:rsid w:val="00E955A2"/>
    <w:rsid w:val="00EC4998"/>
    <w:rsid w:val="00EC5AED"/>
    <w:rsid w:val="00ED311D"/>
    <w:rsid w:val="00ED455B"/>
    <w:rsid w:val="00EE268C"/>
    <w:rsid w:val="00F14010"/>
    <w:rsid w:val="00F3767E"/>
    <w:rsid w:val="00F75051"/>
    <w:rsid w:val="00F75A31"/>
    <w:rsid w:val="00F974F9"/>
    <w:rsid w:val="00FD0038"/>
    <w:rsid w:val="00FD71AE"/>
    <w:rsid w:val="00FE5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3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4D"/>
    <w:rPr>
      <w:rFonts w:ascii="Tahoma" w:eastAsia="Times New Roman" w:hAnsi="Tahoma" w:cs="Tahoma"/>
      <w:sz w:val="16"/>
      <w:szCs w:val="16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85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D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D3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D3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h3cellpress">
    <w:name w:val="h3_cellpress"/>
    <w:basedOn w:val="DefaultParagraphFont"/>
    <w:rsid w:val="00225D01"/>
  </w:style>
  <w:style w:type="character" w:styleId="Hyperlink">
    <w:name w:val="Hyperlink"/>
    <w:uiPriority w:val="99"/>
    <w:rsid w:val="00F14010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E735F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E735F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CD1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3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4D"/>
    <w:rPr>
      <w:rFonts w:ascii="Tahoma" w:eastAsia="Times New Roman" w:hAnsi="Tahoma" w:cs="Tahoma"/>
      <w:sz w:val="16"/>
      <w:szCs w:val="16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85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D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D3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D3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h3cellpress">
    <w:name w:val="h3_cellpress"/>
    <w:basedOn w:val="DefaultParagraphFont"/>
    <w:rsid w:val="00225D01"/>
  </w:style>
  <w:style w:type="character" w:styleId="Hyperlink">
    <w:name w:val="Hyperlink"/>
    <w:uiPriority w:val="99"/>
    <w:rsid w:val="00F14010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E735F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E735F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CD1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1585</Words>
  <Characters>9035</Characters>
  <Application>Microsoft Office Word</Application>
  <DocSecurity>0</DocSecurity>
  <Lines>75</Lines>
  <Paragraphs>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UK-Koeln</Company>
  <LinksUpToDate>false</LinksUpToDate>
  <CharactersWithSpaces>10599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Neu</dc:creator>
  <cp:lastModifiedBy>Olivier Baris</cp:lastModifiedBy>
  <cp:revision>2</cp:revision>
  <cp:lastPrinted>2015-10-27T09:37:00Z</cp:lastPrinted>
  <dcterms:created xsi:type="dcterms:W3CDTF">2016-02-07T17:45:00Z</dcterms:created>
  <dcterms:modified xsi:type="dcterms:W3CDTF">2016-02-07T17:45:00Z</dcterms:modified>
</cp:coreProperties>
</file>