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46"/>
        <w:tblW w:w="0" w:type="auto"/>
        <w:tblLook w:val="04A0" w:firstRow="1" w:lastRow="0" w:firstColumn="1" w:lastColumn="0" w:noHBand="0" w:noVBand="1"/>
      </w:tblPr>
      <w:tblGrid>
        <w:gridCol w:w="2284"/>
        <w:gridCol w:w="3978"/>
      </w:tblGrid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Band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Frequency range (Hz)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1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25-50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2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12.5-25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3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6.25-12.5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4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BF00CE">
              <w:rPr>
                <w:highlight w:val="yellow"/>
              </w:rPr>
              <w:t>2.81-5.63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5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1.56-3.125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6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0.78-1.56</w:t>
            </w:r>
          </w:p>
        </w:tc>
      </w:tr>
      <w:tr w:rsidR="004C1E64" w:rsidRPr="00F61B49" w:rsidTr="004C1E64">
        <w:trPr>
          <w:trHeight w:val="404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7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0.39-0.78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8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0.20-0.39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9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0.10-0.20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10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0.05-0.10</w:t>
            </w:r>
          </w:p>
        </w:tc>
      </w:tr>
      <w:tr w:rsidR="004C1E64" w:rsidRPr="00F61B49" w:rsidTr="004C1E64">
        <w:trPr>
          <w:trHeight w:val="382"/>
        </w:trPr>
        <w:tc>
          <w:tcPr>
            <w:tcW w:w="2284" w:type="dxa"/>
          </w:tcPr>
          <w:p w:rsidR="004C1E64" w:rsidRPr="008213ED" w:rsidRDefault="004C1E64" w:rsidP="004C1E64">
            <w:r w:rsidRPr="008213ED">
              <w:t>11</w:t>
            </w:r>
          </w:p>
        </w:tc>
        <w:tc>
          <w:tcPr>
            <w:tcW w:w="3978" w:type="dxa"/>
          </w:tcPr>
          <w:p w:rsidR="004C1E64" w:rsidRPr="008213ED" w:rsidRDefault="004C1E64" w:rsidP="004C1E64">
            <w:r w:rsidRPr="008213ED">
              <w:t>0-0.05</w:t>
            </w:r>
          </w:p>
        </w:tc>
      </w:tr>
    </w:tbl>
    <w:p w:rsidR="00C45A7D" w:rsidRPr="00C45A7D" w:rsidRDefault="00C45A7D" w:rsidP="00C45A7D">
      <w:pPr>
        <w:suppressLineNumbers/>
        <w:spacing w:line="480" w:lineRule="auto"/>
        <w:jc w:val="both"/>
        <w:rPr>
          <w:rFonts w:eastAsia="Calibri"/>
          <w:kern w:val="0"/>
          <w:lang w:val="en-GB" w:eastAsia="en-GB"/>
        </w:rPr>
      </w:pPr>
      <w:r>
        <w:rPr>
          <w:rFonts w:eastAsia="Calibri"/>
          <w:b/>
          <w:kern w:val="0"/>
          <w:lang w:val="en-GB" w:eastAsia="en-GB"/>
        </w:rPr>
        <w:t>Supplement</w:t>
      </w:r>
      <w:r w:rsidRPr="00C45A7D">
        <w:rPr>
          <w:rFonts w:eastAsia="Calibri"/>
          <w:b/>
          <w:kern w:val="0"/>
          <w:lang w:val="en-GB" w:eastAsia="en-GB"/>
        </w:rPr>
        <w:t>a</w:t>
      </w:r>
      <w:r>
        <w:rPr>
          <w:rFonts w:eastAsia="Calibri"/>
          <w:b/>
          <w:kern w:val="0"/>
          <w:lang w:val="en-GB" w:eastAsia="en-GB"/>
        </w:rPr>
        <w:t>r</w:t>
      </w:r>
      <w:r w:rsidRPr="00C45A7D">
        <w:rPr>
          <w:rFonts w:eastAsia="Calibri"/>
          <w:b/>
          <w:kern w:val="0"/>
          <w:lang w:val="en-GB" w:eastAsia="en-GB"/>
        </w:rPr>
        <w:t>y table</w:t>
      </w:r>
      <w:r w:rsidRPr="00C45A7D">
        <w:rPr>
          <w:rFonts w:eastAsia="Calibri"/>
          <w:kern w:val="0"/>
          <w:lang w:val="en-GB" w:eastAsia="en-GB"/>
        </w:rPr>
        <w:t>: frequency bands in WT analysis</w:t>
      </w:r>
      <w:r>
        <w:rPr>
          <w:rFonts w:eastAsia="Calibri"/>
          <w:kern w:val="0"/>
          <w:lang w:val="en-GB" w:eastAsia="en-GB"/>
        </w:rPr>
        <w:t>.</w:t>
      </w:r>
      <w:bookmarkStart w:id="0" w:name="_GoBack"/>
      <w:bookmarkEnd w:id="0"/>
    </w:p>
    <w:p w:rsidR="00942769" w:rsidRDefault="00942769"/>
    <w:sectPr w:rsidR="0094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4"/>
    <w:rsid w:val="004C1E64"/>
    <w:rsid w:val="00942769"/>
    <w:rsid w:val="00C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6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6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2</cp:revision>
  <dcterms:created xsi:type="dcterms:W3CDTF">2012-10-07T14:04:00Z</dcterms:created>
  <dcterms:modified xsi:type="dcterms:W3CDTF">2012-10-07T14:06:00Z</dcterms:modified>
</cp:coreProperties>
</file>