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F9" w:rsidRDefault="004F29F9">
      <w:pPr>
        <w:rPr>
          <w:lang w:val="en-US"/>
        </w:rPr>
      </w:pPr>
      <w:r w:rsidRPr="004F29F9">
        <w:rPr>
          <w:noProof/>
          <w:lang w:val="de-CH" w:eastAsia="de-CH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29F9" w:rsidRDefault="004F29F9">
      <w:pPr>
        <w:rPr>
          <w:lang w:val="en-US"/>
        </w:rPr>
      </w:pPr>
    </w:p>
    <w:p w:rsidR="004F29F9" w:rsidRDefault="004F29F9" w:rsidP="004F29F9"/>
    <w:p w:rsidR="004F29F9" w:rsidRPr="004F29F9" w:rsidRDefault="00CA2539" w:rsidP="004F29F9">
      <w:pPr>
        <w:rPr>
          <w:rFonts w:ascii="Arial" w:hAnsi="Arial"/>
          <w:color w:val="auto"/>
          <w:sz w:val="22"/>
          <w:szCs w:val="22"/>
          <w:lang w:val="en-US"/>
        </w:rPr>
      </w:pPr>
      <w:r>
        <w:rPr>
          <w:rFonts w:ascii="Arial" w:hAnsi="Arial"/>
          <w:b/>
          <w:color w:val="auto"/>
          <w:sz w:val="22"/>
          <w:szCs w:val="22"/>
          <w:lang w:val="en-US"/>
        </w:rPr>
        <w:t>Supplementary Figure 1</w:t>
      </w:r>
      <w:bookmarkStart w:id="0" w:name="_GoBack"/>
      <w:bookmarkEnd w:id="0"/>
      <w:r w:rsidR="004F29F9" w:rsidRPr="004F29F9">
        <w:rPr>
          <w:rFonts w:ascii="Arial" w:hAnsi="Arial"/>
          <w:b/>
          <w:color w:val="auto"/>
          <w:sz w:val="22"/>
          <w:szCs w:val="22"/>
          <w:lang w:val="en-US"/>
        </w:rPr>
        <w:t>.</w:t>
      </w:r>
      <w:r w:rsidR="004F29F9" w:rsidRPr="004F29F9">
        <w:rPr>
          <w:rFonts w:ascii="Arial" w:hAnsi="Arial"/>
          <w:color w:val="auto"/>
          <w:sz w:val="22"/>
          <w:szCs w:val="22"/>
          <w:lang w:val="en-US"/>
        </w:rPr>
        <w:t xml:space="preserve"> Online data supplement. </w:t>
      </w:r>
    </w:p>
    <w:p w:rsidR="004F29F9" w:rsidRPr="0097496B" w:rsidRDefault="002121F0" w:rsidP="004F29F9">
      <w:pPr>
        <w:rPr>
          <w:color w:val="auto"/>
          <w:sz w:val="18"/>
          <w:szCs w:val="18"/>
          <w:lang w:val="en-US"/>
        </w:rPr>
      </w:pPr>
      <w:r>
        <w:rPr>
          <w:rFonts w:ascii="Arial" w:hAnsi="Arial"/>
          <w:color w:val="auto"/>
          <w:sz w:val="22"/>
          <w:szCs w:val="22"/>
          <w:lang w:val="en-US"/>
        </w:rPr>
        <w:t>Detailed modified</w:t>
      </w:r>
      <w:r w:rsidR="004F29F9" w:rsidRPr="004F29F9">
        <w:rPr>
          <w:rFonts w:ascii="Arial" w:hAnsi="Arial"/>
          <w:color w:val="auto"/>
          <w:sz w:val="22"/>
          <w:szCs w:val="22"/>
          <w:lang w:val="en-US"/>
        </w:rPr>
        <w:t xml:space="preserve"> Rankin Score (</w:t>
      </w:r>
      <w:proofErr w:type="spellStart"/>
      <w:r w:rsidR="004F29F9" w:rsidRPr="004F29F9">
        <w:rPr>
          <w:rFonts w:ascii="Arial" w:hAnsi="Arial"/>
          <w:color w:val="auto"/>
          <w:sz w:val="22"/>
          <w:szCs w:val="22"/>
          <w:lang w:val="en-US"/>
        </w:rPr>
        <w:t>mRS</w:t>
      </w:r>
      <w:proofErr w:type="spellEnd"/>
      <w:r w:rsidR="004F29F9" w:rsidRPr="004F29F9">
        <w:rPr>
          <w:rFonts w:ascii="Arial" w:hAnsi="Arial"/>
          <w:color w:val="auto"/>
          <w:sz w:val="22"/>
          <w:szCs w:val="22"/>
          <w:lang w:val="en-US"/>
        </w:rPr>
        <w:t>) Outcomes</w:t>
      </w:r>
      <w:r>
        <w:rPr>
          <w:rFonts w:ascii="Arial" w:hAnsi="Arial"/>
          <w:color w:val="auto"/>
          <w:sz w:val="22"/>
          <w:szCs w:val="22"/>
          <w:lang w:val="en-US"/>
        </w:rPr>
        <w:t xml:space="preserve"> (0-6)</w:t>
      </w:r>
      <w:r w:rsidR="004F29F9" w:rsidRPr="004F29F9">
        <w:rPr>
          <w:rFonts w:ascii="Arial" w:hAnsi="Arial"/>
          <w:color w:val="auto"/>
          <w:sz w:val="22"/>
          <w:szCs w:val="22"/>
          <w:lang w:val="en-US"/>
        </w:rPr>
        <w:t xml:space="preserve"> </w:t>
      </w:r>
      <w:r w:rsidR="002007F1">
        <w:rPr>
          <w:rFonts w:ascii="Arial" w:hAnsi="Arial"/>
          <w:color w:val="auto"/>
          <w:sz w:val="22"/>
          <w:szCs w:val="22"/>
          <w:lang w:val="en-US"/>
        </w:rPr>
        <w:t xml:space="preserve">at 3 months </w:t>
      </w:r>
      <w:r w:rsidR="004F29F9" w:rsidRPr="004F29F9">
        <w:rPr>
          <w:rFonts w:ascii="Arial" w:hAnsi="Arial"/>
          <w:color w:val="auto"/>
          <w:sz w:val="22"/>
          <w:szCs w:val="22"/>
          <w:lang w:val="en-US"/>
        </w:rPr>
        <w:t xml:space="preserve">for the two subgroups: MRI and CT. Presented are percentages. For absolute numbers see table 6 (online data supplement). </w:t>
      </w: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Default="004F29F9">
      <w:pPr>
        <w:rPr>
          <w:lang w:val="en-US"/>
        </w:rPr>
      </w:pPr>
    </w:p>
    <w:p w:rsidR="004F29F9" w:rsidRPr="004F29F9" w:rsidRDefault="004F29F9" w:rsidP="004F29F9">
      <w:pPr>
        <w:pageBreakBefore/>
        <w:rPr>
          <w:rFonts w:ascii="Arial" w:hAnsi="Arial"/>
          <w:lang w:val="en-US"/>
        </w:rPr>
      </w:pPr>
      <w:proofErr w:type="gramStart"/>
      <w:r>
        <w:rPr>
          <w:rFonts w:ascii="Arial" w:hAnsi="Arial"/>
          <w:b/>
          <w:lang w:val="en-US"/>
        </w:rPr>
        <w:lastRenderedPageBreak/>
        <w:t>Supplementary t</w:t>
      </w:r>
      <w:r w:rsidR="00CA2539">
        <w:rPr>
          <w:rFonts w:ascii="Arial" w:hAnsi="Arial"/>
          <w:b/>
          <w:lang w:val="en-US"/>
        </w:rPr>
        <w:t>able 1</w:t>
      </w:r>
      <w:r w:rsidRPr="004F29F9">
        <w:rPr>
          <w:rFonts w:ascii="Arial" w:hAnsi="Arial"/>
          <w:b/>
          <w:lang w:val="en-US"/>
        </w:rPr>
        <w:t>.</w:t>
      </w:r>
      <w:proofErr w:type="gramEnd"/>
      <w:r w:rsidRPr="004F29F9">
        <w:rPr>
          <w:rFonts w:ascii="Arial" w:hAnsi="Arial"/>
          <w:lang w:val="en-US"/>
        </w:rPr>
        <w:t xml:space="preserve"> Online data supplement.</w:t>
      </w:r>
    </w:p>
    <w:p w:rsidR="004F29F9" w:rsidRPr="004F29F9" w:rsidRDefault="004F29F9" w:rsidP="004F29F9">
      <w:pPr>
        <w:rPr>
          <w:rFonts w:ascii="Arial" w:hAnsi="Arial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29F9" w:rsidRPr="002B3F15" w:rsidTr="0099712B"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:rsidR="004F29F9" w:rsidRPr="004F29F9" w:rsidRDefault="004F29F9" w:rsidP="00A30C44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Table 6.</w:t>
            </w:r>
            <w:r w:rsidR="00A30C44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Detailed modified</w:t>
            </w: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Rankin Score Outcomes</w:t>
            </w:r>
            <w:r w:rsidR="002007F1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A30C44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(0-6) </w:t>
            </w:r>
            <w:r w:rsidR="002007F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at 3 months</w:t>
            </w:r>
          </w:p>
        </w:tc>
      </w:tr>
      <w:tr w:rsidR="004F29F9" w:rsidRPr="004F29F9" w:rsidTr="0099712B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CT</w:t>
            </w:r>
          </w:p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(N= 204)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MRI</w:t>
            </w:r>
          </w:p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(N= 141)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single" w:sz="12" w:space="0" w:color="auto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mRS</w:t>
            </w:r>
            <w:proofErr w:type="spellEnd"/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(points)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 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34 (17%)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29 (21%)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 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32 (16%)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24 (17%)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 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17 (8%)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13 (9%)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 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2</w:t>
            </w:r>
            <w:r w:rsidRPr="004F29F9">
              <w:rPr>
                <w:rFonts w:ascii="Arial" w:hAnsi="Arial"/>
                <w:color w:val="auto"/>
                <w:sz w:val="18"/>
                <w:szCs w:val="18"/>
              </w:rPr>
              <w:t>3 (11%)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19 (13%)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 xml:space="preserve">   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23 (11%)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18 (13%)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 xml:space="preserve">   5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22 (11%)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13 (9%)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 xml:space="preserve">   6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46 (23%)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22 (16%)</w:t>
            </w:r>
          </w:p>
        </w:tc>
      </w:tr>
      <w:tr w:rsidR="004F29F9" w:rsidRPr="004F29F9" w:rsidTr="0099712B">
        <w:tc>
          <w:tcPr>
            <w:tcW w:w="3070" w:type="dxa"/>
            <w:tcBorders>
              <w:top w:val="nil"/>
              <w:right w:val="nil"/>
            </w:tcBorders>
          </w:tcPr>
          <w:p w:rsidR="004F29F9" w:rsidRPr="004F29F9" w:rsidRDefault="004F29F9" w:rsidP="0099712B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 xml:space="preserve">Lost- </w:t>
            </w:r>
            <w:proofErr w:type="spellStart"/>
            <w:r w:rsidRPr="004F29F9">
              <w:rPr>
                <w:rFonts w:ascii="Arial" w:hAnsi="Arial"/>
                <w:color w:val="auto"/>
                <w:sz w:val="18"/>
                <w:szCs w:val="18"/>
              </w:rPr>
              <w:t>to</w:t>
            </w:r>
            <w:proofErr w:type="spellEnd"/>
            <w:r w:rsidRPr="004F29F9">
              <w:rPr>
                <w:rFonts w:ascii="Arial" w:hAnsi="Arial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4F29F9">
              <w:rPr>
                <w:rFonts w:ascii="Arial" w:hAnsi="Arial"/>
                <w:color w:val="auto"/>
                <w:sz w:val="18"/>
                <w:szCs w:val="18"/>
              </w:rPr>
              <w:t>follow-up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7 (3%)</w:t>
            </w:r>
          </w:p>
        </w:tc>
        <w:tc>
          <w:tcPr>
            <w:tcW w:w="3071" w:type="dxa"/>
            <w:tcBorders>
              <w:top w:val="nil"/>
              <w:left w:val="nil"/>
            </w:tcBorders>
            <w:vAlign w:val="center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</w:rPr>
              <w:t>3 (2%)</w:t>
            </w:r>
          </w:p>
        </w:tc>
      </w:tr>
      <w:tr w:rsidR="004F29F9" w:rsidRPr="002B3F15" w:rsidTr="0099712B">
        <w:tc>
          <w:tcPr>
            <w:tcW w:w="9212" w:type="dxa"/>
            <w:gridSpan w:val="3"/>
          </w:tcPr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Data are number (%). </w:t>
            </w:r>
          </w:p>
          <w:p w:rsidR="004F29F9" w:rsidRPr="004F29F9" w:rsidRDefault="004F29F9" w:rsidP="0099712B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Abbreviations: CT= computed tomography; MRI= magnetic resonance imaging; </w:t>
            </w:r>
            <w:proofErr w:type="spellStart"/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mRS</w:t>
            </w:r>
            <w:proofErr w:type="spellEnd"/>
            <w:r w:rsidRPr="004F29F9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=modified Rankin Score</w:t>
            </w:r>
          </w:p>
        </w:tc>
      </w:tr>
    </w:tbl>
    <w:p w:rsidR="004F29F9" w:rsidRPr="004F29F9" w:rsidRDefault="004F29F9">
      <w:pPr>
        <w:rPr>
          <w:rFonts w:ascii="Arial" w:hAnsi="Arial"/>
          <w:lang w:val="en-US"/>
        </w:rPr>
      </w:pPr>
    </w:p>
    <w:sectPr w:rsidR="004F29F9" w:rsidRPr="004F29F9" w:rsidSect="003E3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9F9"/>
    <w:rsid w:val="000A6741"/>
    <w:rsid w:val="002007F1"/>
    <w:rsid w:val="002121F0"/>
    <w:rsid w:val="002126E9"/>
    <w:rsid w:val="00275C51"/>
    <w:rsid w:val="002B3F15"/>
    <w:rsid w:val="00376802"/>
    <w:rsid w:val="003E39DD"/>
    <w:rsid w:val="00462DAC"/>
    <w:rsid w:val="004F29F9"/>
    <w:rsid w:val="006047A8"/>
    <w:rsid w:val="0082110A"/>
    <w:rsid w:val="00A30C44"/>
    <w:rsid w:val="00A67EB8"/>
    <w:rsid w:val="00AD7515"/>
    <w:rsid w:val="00CA2539"/>
    <w:rsid w:val="00DC315C"/>
    <w:rsid w:val="00DF0B71"/>
    <w:rsid w:val="00F9652E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222222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9F9"/>
    <w:rPr>
      <w:rFonts w:ascii="Times New Roman" w:eastAsia="Calibri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2110A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4"/>
      <w:jc w:val="both"/>
      <w:outlineLvl w:val="0"/>
    </w:pPr>
    <w:rPr>
      <w:rFonts w:ascii="Arial" w:eastAsia="Times New Roman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110A"/>
    <w:rPr>
      <w:sz w:val="28"/>
      <w:szCs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82110A"/>
    <w:pPr>
      <w:spacing w:after="100" w:line="276" w:lineRule="auto"/>
    </w:pPr>
    <w:rPr>
      <w:rFonts w:ascii="Arial" w:eastAsia="Times New Roman" w:hAnsi="Arial"/>
      <w:sz w:val="22"/>
      <w:szCs w:val="22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2110A"/>
    <w:pPr>
      <w:spacing w:after="100" w:line="276" w:lineRule="auto"/>
      <w:ind w:left="220"/>
    </w:pPr>
    <w:rPr>
      <w:rFonts w:ascii="Arial" w:eastAsia="Times New Roman" w:hAnsi="Arial"/>
      <w:sz w:val="22"/>
      <w:szCs w:val="22"/>
      <w:lang w:val="en-US" w:eastAsia="en-US" w:bidi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2110A"/>
    <w:pPr>
      <w:spacing w:after="100" w:line="276" w:lineRule="auto"/>
      <w:ind w:left="440"/>
    </w:pPr>
    <w:rPr>
      <w:rFonts w:ascii="Arial" w:eastAsia="Times New Roman" w:hAnsi="Arial"/>
      <w:sz w:val="22"/>
      <w:szCs w:val="22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82110A"/>
    <w:pPr>
      <w:spacing w:after="200"/>
    </w:pPr>
    <w:rPr>
      <w:rFonts w:ascii="Arial" w:eastAsia="Times New Roman" w:hAnsi="Arial"/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1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2110A"/>
    <w:pPr>
      <w:keepNext w:val="0"/>
      <w:tabs>
        <w:tab w:val="clear" w:pos="288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</w:tabs>
      <w:spacing w:before="480" w:line="276" w:lineRule="auto"/>
      <w:ind w:left="0"/>
      <w:contextualSpacing/>
      <w:jc w:val="left"/>
      <w:outlineLvl w:val="9"/>
    </w:pPr>
    <w:rPr>
      <w:b/>
      <w:bCs/>
      <w:szCs w:val="28"/>
      <w:lang w:val="en-US" w:eastAsia="en-US" w:bidi="en-US"/>
    </w:rPr>
  </w:style>
  <w:style w:type="paragraph" w:styleId="Textkrper">
    <w:name w:val="Body Text"/>
    <w:basedOn w:val="Standard"/>
    <w:link w:val="TextkrperZchn"/>
    <w:rsid w:val="004F29F9"/>
    <w:pPr>
      <w:spacing w:line="360" w:lineRule="auto"/>
      <w:jc w:val="both"/>
    </w:pPr>
    <w:rPr>
      <w:rFonts w:ascii="Arial" w:eastAsia="Times New Roman" w:hAnsi="Arial" w:cs="Times New Roman"/>
      <w:color w:val="auto"/>
      <w:lang w:val="en-GB"/>
    </w:rPr>
  </w:style>
  <w:style w:type="character" w:customStyle="1" w:styleId="TextkrperZchn">
    <w:name w:val="Textkörper Zchn"/>
    <w:basedOn w:val="Absatz-Standardschriftart"/>
    <w:link w:val="Textkrper"/>
    <w:rsid w:val="004F29F9"/>
    <w:rPr>
      <w:rFonts w:cs="Times New Roman"/>
      <w:color w:val="auto"/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4F29F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F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C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mRS = 0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Tabelle1!$B$2:$B$3</c:f>
              <c:numCache>
                <c:formatCode>0%</c:formatCode>
                <c:ptCount val="2"/>
                <c:pt idx="0">
                  <c:v>0.17</c:v>
                </c:pt>
                <c:pt idx="1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mRS = 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Tabelle1!$C$2:$C$3</c:f>
              <c:numCache>
                <c:formatCode>0%</c:formatCode>
                <c:ptCount val="2"/>
                <c:pt idx="0">
                  <c:v>0.16000000000000009</c:v>
                </c:pt>
                <c:pt idx="1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mRS = 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Tabelle1!$D$2:$D$3</c:f>
              <c:numCache>
                <c:formatCode>0%</c:formatCode>
                <c:ptCount val="2"/>
                <c:pt idx="0">
                  <c:v>8.0000000000000085E-2</c:v>
                </c:pt>
                <c:pt idx="1">
                  <c:v>9.0000000000000066E-2</c:v>
                </c:pt>
              </c:numCache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mRS = 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Tabelle1!$E$2:$E$3</c:f>
              <c:numCache>
                <c:formatCode>0%</c:formatCode>
                <c:ptCount val="2"/>
                <c:pt idx="0">
                  <c:v>0.11000000000000004</c:v>
                </c:pt>
                <c:pt idx="1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mRS = 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Tabelle1!$F$2:$F$3</c:f>
              <c:numCache>
                <c:formatCode>0%</c:formatCode>
                <c:ptCount val="2"/>
                <c:pt idx="0">
                  <c:v>0.11000000000000004</c:v>
                </c:pt>
                <c:pt idx="1">
                  <c:v>0.13</c:v>
                </c:pt>
              </c:numCache>
            </c:numRef>
          </c:val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mRS = 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Tabelle1!$G$2:$G$3</c:f>
              <c:numCache>
                <c:formatCode>0%</c:formatCode>
                <c:ptCount val="2"/>
                <c:pt idx="0">
                  <c:v>0.11000000000000004</c:v>
                </c:pt>
                <c:pt idx="1">
                  <c:v>9.0000000000000066E-2</c:v>
                </c:pt>
              </c:numCache>
            </c:numRef>
          </c:val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mRS = 6 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Tabelle1!$H$2:$H$3</c:f>
              <c:numCache>
                <c:formatCode>0%</c:formatCode>
                <c:ptCount val="2"/>
                <c:pt idx="0">
                  <c:v>0.23</c:v>
                </c:pt>
                <c:pt idx="1">
                  <c:v>0.16000000000000009</c:v>
                </c:pt>
              </c:numCache>
            </c:numRef>
          </c:val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lost to follow-up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</c:f>
              <c:strCache>
                <c:ptCount val="2"/>
                <c:pt idx="0">
                  <c:v>CT</c:v>
                </c:pt>
                <c:pt idx="1">
                  <c:v>MRI</c:v>
                </c:pt>
              </c:strCache>
            </c:strRef>
          </c:cat>
          <c:val>
            <c:numRef>
              <c:f>Tabelle1!$I$2:$I$3</c:f>
              <c:numCache>
                <c:formatCode>0%</c:formatCode>
                <c:ptCount val="2"/>
                <c:pt idx="0">
                  <c:v>3.0000000000000044E-2</c:v>
                </c:pt>
                <c:pt idx="1">
                  <c:v>2.0000000000000021E-2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759232"/>
        <c:axId val="37777408"/>
      </c:barChart>
      <c:catAx>
        <c:axId val="37759232"/>
        <c:scaling>
          <c:orientation val="minMax"/>
        </c:scaling>
        <c:delete val="0"/>
        <c:axPos val="l"/>
        <c:majorTickMark val="out"/>
        <c:minorTickMark val="none"/>
        <c:tickLblPos val="nextTo"/>
        <c:crossAx val="37777408"/>
        <c:crosses val="autoZero"/>
        <c:auto val="1"/>
        <c:lblAlgn val="ctr"/>
        <c:lblOffset val="100"/>
        <c:noMultiLvlLbl val="0"/>
      </c:catAx>
      <c:valAx>
        <c:axId val="377774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7759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Gerischer</dc:creator>
  <cp:lastModifiedBy>gasserc</cp:lastModifiedBy>
  <cp:revision>10</cp:revision>
  <dcterms:created xsi:type="dcterms:W3CDTF">2012-11-24T18:17:00Z</dcterms:created>
  <dcterms:modified xsi:type="dcterms:W3CDTF">2013-02-04T09:01:00Z</dcterms:modified>
</cp:coreProperties>
</file>