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D" w:rsidRPr="005C78F7" w:rsidRDefault="003161ED" w:rsidP="003161E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8F7">
        <w:rPr>
          <w:rFonts w:ascii="Times New Roman" w:hAnsi="Times New Roman" w:cs="Times New Roman"/>
          <w:b/>
          <w:sz w:val="24"/>
          <w:szCs w:val="24"/>
        </w:rPr>
        <w:t>Supplemental Table 1.</w:t>
      </w:r>
      <w:proofErr w:type="gramEnd"/>
      <w:r w:rsidRPr="005C78F7">
        <w:rPr>
          <w:rFonts w:ascii="Times New Roman" w:hAnsi="Times New Roman" w:cs="Times New Roman" w:hint="eastAsia"/>
          <w:b/>
          <w:sz w:val="24"/>
          <w:szCs w:val="24"/>
        </w:rPr>
        <w:t xml:space="preserve"> Comparisons left ventricular ejection fraction using the linear mixed model during follow-up period.</w:t>
      </w:r>
    </w:p>
    <w:tbl>
      <w:tblPr>
        <w:tblW w:w="7277" w:type="dxa"/>
        <w:tblInd w:w="8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959"/>
        <w:gridCol w:w="1337"/>
        <w:gridCol w:w="1052"/>
        <w:gridCol w:w="1015"/>
        <w:gridCol w:w="1163"/>
        <w:gridCol w:w="991"/>
      </w:tblGrid>
      <w:tr w:rsidR="003161ED" w:rsidRPr="005C78F7" w:rsidTr="00236720">
        <w:trPr>
          <w:trHeight w:val="68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566382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="돋움" w:hAnsi="Times New Roman" w:cs="Times New Roman" w:hint="eastAsia"/>
                <w:bCs/>
                <w:kern w:val="0"/>
                <w:sz w:val="24"/>
                <w:szCs w:val="24"/>
              </w:rPr>
              <w:t xml:space="preserve">ollow-up </w:t>
            </w:r>
            <w:bookmarkStart w:id="0" w:name="_GoBack"/>
            <w:bookmarkEnd w:id="0"/>
            <w:r w:rsidR="003161ED"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Estimate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Standard Error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566382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="003161ED"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value</w:t>
            </w:r>
            <w:r w:rsidR="003161ED" w:rsidRPr="005C78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Lower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Upper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1.4527</w:t>
            </w: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0.5677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0.0117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0.3291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2.5763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2.2613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0.591</w:t>
            </w:r>
          </w:p>
        </w:tc>
        <w:tc>
          <w:tcPr>
            <w:tcW w:w="104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0.0002</w:t>
            </w:r>
            <w:r w:rsidRPr="005C78F7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1.0916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3.4309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1.3654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0.5674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0.0176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0.2423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2.4885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1.4085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0.7461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0.0614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-0.06819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2.8852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0.8086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0.5255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0.1265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-0.2316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1.8488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-0.08732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0.5948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0.8835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-1.2645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1.0899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-0.0442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0.7302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0.9518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-1.4895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1.4011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-0.8959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0.5739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0.1211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-2.0319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0.2401</w:t>
            </w:r>
          </w:p>
        </w:tc>
      </w:tr>
      <w:tr w:rsidR="003161ED" w:rsidRPr="005C78F7" w:rsidTr="00236720">
        <w:trPr>
          <w:trHeight w:val="343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-0.8528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0.7224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0.2401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-2.2827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0.5771</w:t>
            </w:r>
          </w:p>
        </w:tc>
      </w:tr>
      <w:tr w:rsidR="003161ED" w:rsidRPr="005C78F7" w:rsidTr="00236720">
        <w:trPr>
          <w:trHeight w:val="364"/>
        </w:trPr>
        <w:tc>
          <w:tcPr>
            <w:tcW w:w="81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0.04312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0.6566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0.9478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-1.2566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1.3428</w:t>
            </w:r>
          </w:p>
        </w:tc>
      </w:tr>
    </w:tbl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78F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56638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566382">
        <w:rPr>
          <w:rFonts w:ascii="Times New Roman" w:hAnsi="Times New Roman" w:cs="Times New Roman"/>
          <w:sz w:val="24"/>
          <w:szCs w:val="24"/>
        </w:rPr>
        <w:t>P</w:t>
      </w:r>
      <w:r w:rsidRPr="005C78F7">
        <w:rPr>
          <w:rFonts w:ascii="Times New Roman" w:hAnsi="Times New Roman" w:cs="Times New Roman"/>
          <w:sz w:val="24"/>
          <w:szCs w:val="24"/>
        </w:rPr>
        <w:t xml:space="preserve"> calculated </w:t>
      </w:r>
      <w:r w:rsidRPr="005C78F7">
        <w:rPr>
          <w:rFonts w:ascii="Times New Roman" w:hAnsi="Times New Roman" w:cs="Times New Roman" w:hint="eastAsia"/>
          <w:sz w:val="24"/>
          <w:szCs w:val="24"/>
        </w:rPr>
        <w:t>by</w:t>
      </w:r>
      <w:r w:rsidRPr="005C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F7">
        <w:rPr>
          <w:rFonts w:ascii="Times New Roman" w:hAnsi="Times New Roman" w:cs="Times New Roman"/>
          <w:sz w:val="24"/>
          <w:szCs w:val="24"/>
        </w:rPr>
        <w:t>Bonferroni’s</w:t>
      </w:r>
      <w:proofErr w:type="spellEnd"/>
      <w:r w:rsidRPr="005C78F7">
        <w:rPr>
          <w:rFonts w:ascii="Times New Roman" w:hAnsi="Times New Roman" w:cs="Times New Roman"/>
          <w:sz w:val="24"/>
          <w:szCs w:val="24"/>
        </w:rPr>
        <w:t xml:space="preserve"> test in linear mixed model</w:t>
      </w: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78F7">
        <w:rPr>
          <w:rFonts w:ascii="Times New Roman" w:hAnsi="Times New Roman" w:cs="Times New Roman" w:hint="eastAsia"/>
          <w:sz w:val="24"/>
          <w:szCs w:val="24"/>
          <w:vertAlign w:val="superscript"/>
        </w:rPr>
        <w:t>b</w:t>
      </w:r>
      <w:proofErr w:type="gramEnd"/>
      <w:r w:rsidR="00566382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="00566382">
        <w:rPr>
          <w:rFonts w:ascii="Times New Roman" w:hAnsi="Times New Roman" w:cs="Times New Roman" w:hint="eastAsia"/>
          <w:sz w:val="24"/>
          <w:szCs w:val="24"/>
        </w:rPr>
        <w:t xml:space="preserve">P </w:t>
      </w:r>
      <w:r w:rsidRPr="005C78F7">
        <w:rPr>
          <w:rFonts w:ascii="Times New Roman" w:hAnsi="Times New Roman" w:cs="Times New Roman" w:hint="eastAsia"/>
          <w:sz w:val="24"/>
          <w:szCs w:val="24"/>
        </w:rPr>
        <w:t>less than</w:t>
      </w:r>
      <w:r w:rsidRPr="005C78F7">
        <w:rPr>
          <w:rFonts w:ascii="Times New Roman" w:hAnsi="Times New Roman" w:cs="Times New Roman"/>
          <w:sz w:val="24"/>
          <w:szCs w:val="24"/>
        </w:rPr>
        <w:t xml:space="preserve"> 0.0</w:t>
      </w:r>
      <w:r w:rsidRPr="005C78F7">
        <w:rPr>
          <w:rFonts w:ascii="Times New Roman" w:hAnsi="Times New Roman" w:cs="Times New Roman" w:hint="eastAsia"/>
          <w:sz w:val="24"/>
          <w:szCs w:val="24"/>
        </w:rPr>
        <w:t>0</w:t>
      </w:r>
      <w:r w:rsidRPr="005C78F7">
        <w:rPr>
          <w:rFonts w:ascii="Times New Roman" w:hAnsi="Times New Roman" w:cs="Times New Roman"/>
          <w:sz w:val="24"/>
          <w:szCs w:val="24"/>
        </w:rPr>
        <w:t>5 was</w:t>
      </w:r>
      <w:r w:rsidRPr="005C78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C78F7">
        <w:rPr>
          <w:rFonts w:ascii="Times New Roman" w:hAnsi="Times New Roman" w:cs="Times New Roman"/>
          <w:sz w:val="24"/>
          <w:szCs w:val="24"/>
        </w:rPr>
        <w:t>considered statistically significant</w:t>
      </w:r>
      <w:r w:rsidRPr="005C78F7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Pr="005C78F7">
        <w:rPr>
          <w:rFonts w:ascii="Times New Roman" w:hAnsi="Times New Roman" w:cs="Times New Roman"/>
          <w:sz w:val="24"/>
          <w:szCs w:val="24"/>
        </w:rPr>
        <w:t xml:space="preserve">10 multiple </w:t>
      </w: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C78F7">
        <w:rPr>
          <w:rFonts w:ascii="Times New Roman" w:hAnsi="Times New Roman" w:cs="Times New Roman"/>
          <w:sz w:val="24"/>
          <w:szCs w:val="24"/>
        </w:rPr>
        <w:t>comparisons</w:t>
      </w:r>
      <w:proofErr w:type="gramEnd"/>
      <w:r w:rsidRPr="005C78F7">
        <w:rPr>
          <w:rFonts w:ascii="Times New Roman" w:hAnsi="Times New Roman" w:cs="Times New Roman"/>
          <w:sz w:val="24"/>
          <w:szCs w:val="24"/>
        </w:rPr>
        <w:t xml:space="preserve"> were conducted among follow-up intervals.</w:t>
      </w: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3161ED" w:rsidRPr="005C78F7" w:rsidRDefault="003161ED" w:rsidP="003161E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8F7">
        <w:rPr>
          <w:rFonts w:ascii="Times New Roman" w:hAnsi="Times New Roman" w:cs="Times New Roman"/>
          <w:b/>
          <w:sz w:val="24"/>
          <w:szCs w:val="24"/>
        </w:rPr>
        <w:lastRenderedPageBreak/>
        <w:t>Supplemental Table 2.</w:t>
      </w:r>
      <w:proofErr w:type="gramEnd"/>
      <w:r w:rsidRPr="005C7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78F7">
        <w:rPr>
          <w:rFonts w:ascii="Times New Roman" w:hAnsi="Times New Roman" w:cs="Times New Roman"/>
          <w:b/>
          <w:sz w:val="24"/>
          <w:szCs w:val="24"/>
        </w:rPr>
        <w:t>Detailed values of left ventricular ejection fraction during a follow-up period.</w:t>
      </w:r>
      <w:proofErr w:type="gramEnd"/>
    </w:p>
    <w:tbl>
      <w:tblPr>
        <w:tblW w:w="6580" w:type="dxa"/>
        <w:tblInd w:w="9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9"/>
        <w:gridCol w:w="1500"/>
        <w:gridCol w:w="1391"/>
        <w:gridCol w:w="1225"/>
        <w:gridCol w:w="1265"/>
      </w:tblGrid>
      <w:tr w:rsidR="003161ED" w:rsidRPr="005C78F7" w:rsidTr="00236720">
        <w:trPr>
          <w:trHeight w:val="270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  <w:t>Mean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 w:hint="eastAsia"/>
                <w:b/>
                <w:bCs/>
                <w:kern w:val="0"/>
                <w:sz w:val="24"/>
                <w:szCs w:val="24"/>
              </w:rPr>
              <w:t>Standard deviation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  <w:t>Minimum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/>
                <w:bCs/>
                <w:kern w:val="0"/>
                <w:sz w:val="24"/>
                <w:szCs w:val="24"/>
              </w:rPr>
              <w:t>Maximum</w:t>
            </w:r>
          </w:p>
        </w:tc>
      </w:tr>
      <w:tr w:rsidR="003161ED" w:rsidRPr="005C78F7" w:rsidTr="00236720">
        <w:trPr>
          <w:trHeight w:val="270"/>
        </w:trPr>
        <w:tc>
          <w:tcPr>
            <w:tcW w:w="12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64.8548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5.3048</w:t>
            </w:r>
          </w:p>
        </w:tc>
        <w:tc>
          <w:tcPr>
            <w:tcW w:w="12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79</w:t>
            </w:r>
          </w:p>
        </w:tc>
      </w:tr>
      <w:tr w:rsidR="003161ED" w:rsidRPr="005C78F7" w:rsidTr="00236720">
        <w:trPr>
          <w:trHeight w:val="270"/>
        </w:trPr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63.3277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6.8496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78</w:t>
            </w:r>
          </w:p>
        </w:tc>
      </w:tr>
      <w:tr w:rsidR="003161ED" w:rsidRPr="005C78F7" w:rsidTr="00236720">
        <w:trPr>
          <w:trHeight w:val="270"/>
        </w:trPr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62.6973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6.3778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77</w:t>
            </w:r>
          </w:p>
        </w:tc>
      </w:tr>
      <w:tr w:rsidR="003161ED" w:rsidRPr="005C78F7" w:rsidTr="00236720">
        <w:trPr>
          <w:trHeight w:val="270"/>
        </w:trPr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63.4330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6.4838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75</w:t>
            </w:r>
          </w:p>
        </w:tc>
      </w:tr>
      <w:tr w:rsidR="003161ED" w:rsidRPr="0038449A" w:rsidTr="00236720">
        <w:trPr>
          <w:trHeight w:val="270"/>
        </w:trPr>
        <w:tc>
          <w:tcPr>
            <w:tcW w:w="1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63.3214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6.6636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5C78F7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61ED" w:rsidRPr="0038449A" w:rsidRDefault="003161ED" w:rsidP="00236720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  <w:r w:rsidRPr="005C78F7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76</w:t>
            </w:r>
          </w:p>
        </w:tc>
      </w:tr>
    </w:tbl>
    <w:p w:rsidR="003161ED" w:rsidRPr="0038449A" w:rsidRDefault="003161ED" w:rsidP="003161E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3161ED" w:rsidRPr="0038449A" w:rsidRDefault="003161ED" w:rsidP="003161ED">
      <w:pPr>
        <w:rPr>
          <w:rFonts w:ascii="Times New Roman" w:hAnsi="Times New Roman" w:cs="Times New Roman"/>
          <w:sz w:val="24"/>
          <w:szCs w:val="24"/>
        </w:rPr>
      </w:pPr>
    </w:p>
    <w:p w:rsidR="00DA33A6" w:rsidRDefault="00DA33A6"/>
    <w:sectPr w:rsidR="00DA33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82" w:rsidRDefault="00566382" w:rsidP="00566382">
      <w:pPr>
        <w:spacing w:after="0" w:line="240" w:lineRule="auto"/>
      </w:pPr>
      <w:r>
        <w:separator/>
      </w:r>
    </w:p>
  </w:endnote>
  <w:endnote w:type="continuationSeparator" w:id="0">
    <w:p w:rsidR="00566382" w:rsidRDefault="00566382" w:rsidP="0056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82" w:rsidRDefault="00566382" w:rsidP="00566382">
      <w:pPr>
        <w:spacing w:after="0" w:line="240" w:lineRule="auto"/>
      </w:pPr>
      <w:r>
        <w:separator/>
      </w:r>
    </w:p>
  </w:footnote>
  <w:footnote w:type="continuationSeparator" w:id="0">
    <w:p w:rsidR="00566382" w:rsidRDefault="00566382" w:rsidP="00566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ED"/>
    <w:rsid w:val="003161ED"/>
    <w:rsid w:val="00566382"/>
    <w:rsid w:val="007E51AD"/>
    <w:rsid w:val="00D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3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66382"/>
  </w:style>
  <w:style w:type="paragraph" w:styleId="a4">
    <w:name w:val="footer"/>
    <w:basedOn w:val="a"/>
    <w:link w:val="Char0"/>
    <w:uiPriority w:val="99"/>
    <w:unhideWhenUsed/>
    <w:rsid w:val="005663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6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3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66382"/>
  </w:style>
  <w:style w:type="paragraph" w:styleId="a4">
    <w:name w:val="footer"/>
    <w:basedOn w:val="a"/>
    <w:link w:val="Char0"/>
    <w:uiPriority w:val="99"/>
    <w:unhideWhenUsed/>
    <w:rsid w:val="005663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6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안성귀</dc:creator>
  <cp:lastModifiedBy>안성귀</cp:lastModifiedBy>
  <cp:revision>2</cp:revision>
  <dcterms:created xsi:type="dcterms:W3CDTF">2013-06-18T11:44:00Z</dcterms:created>
  <dcterms:modified xsi:type="dcterms:W3CDTF">2013-06-22T02:38:00Z</dcterms:modified>
</cp:coreProperties>
</file>