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A" w:rsidRDefault="009773BA" w:rsidP="009773BA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Supplementary Table 1: CSF biomarker indices for patients in the PCA group based on clinical diagnosis at last documented clinic visit</w:t>
      </w:r>
    </w:p>
    <w:p w:rsidR="009773BA" w:rsidRDefault="009773BA" w:rsidP="009773BA">
      <w:pPr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Style w:val="Tabellenraster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7" w:firstRow="1" w:lastRow="0" w:firstColumn="1" w:lastColumn="0" w:noHBand="0" w:noVBand="0"/>
      </w:tblPr>
      <w:tblGrid>
        <w:gridCol w:w="1728"/>
        <w:gridCol w:w="1943"/>
        <w:gridCol w:w="1823"/>
        <w:gridCol w:w="1116"/>
      </w:tblGrid>
      <w:tr w:rsidR="009773BA" w:rsidTr="00F60B79">
        <w:tc>
          <w:tcPr>
            <w:tcW w:w="17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9773BA" w:rsidRPr="005C5720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Diagnosis at last clinic visit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9773BA" w:rsidRPr="00FC6046" w:rsidRDefault="009773BA" w:rsidP="00F60B79">
            <w:pPr>
              <w:jc w:val="center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9773BA" w:rsidTr="00F60B79">
        <w:tc>
          <w:tcPr>
            <w:tcW w:w="1728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</w:tcPr>
          <w:p w:rsidR="009773BA" w:rsidRPr="005C5720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943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PCA</w:t>
            </w:r>
          </w:p>
        </w:tc>
        <w:tc>
          <w:tcPr>
            <w:tcW w:w="1823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Other</w:t>
            </w:r>
          </w:p>
        </w:tc>
        <w:tc>
          <w:tcPr>
            <w:tcW w:w="1116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t</w:t>
            </w:r>
            <w:r>
              <w:rPr>
                <w:rFonts w:ascii="Times New Roman" w:hAnsi="Times New Roman"/>
                <w:color w:val="auto"/>
                <w:szCs w:val="20"/>
              </w:rPr>
              <w:t>(10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</w:tr>
      <w:tr w:rsidR="009773BA" w:rsidTr="00F60B79">
        <w:tc>
          <w:tcPr>
            <w:tcW w:w="1728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9773BA" w:rsidRPr="00FC6046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N</w:t>
            </w:r>
          </w:p>
        </w:tc>
        <w:tc>
          <w:tcPr>
            <w:tcW w:w="1943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9773BA" w:rsidRPr="00FC6046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8</w:t>
            </w:r>
          </w:p>
        </w:tc>
        <w:tc>
          <w:tcPr>
            <w:tcW w:w="1823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9773BA" w:rsidRPr="00FC6046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9773BA" w:rsidTr="00F60B79">
        <w:tc>
          <w:tcPr>
            <w:tcW w:w="1728" w:type="dxa"/>
            <w:tcBorders>
              <w:top w:val="nil"/>
            </w:tcBorders>
            <w:shd w:val="clear" w:color="auto" w:fill="auto"/>
          </w:tcPr>
          <w:p w:rsidR="009773BA" w:rsidRPr="005C5720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  <w:r w:rsidRPr="00FC6046">
              <w:rPr>
                <w:rFonts w:ascii="Times New Roman" w:hAnsi="Times New Roman"/>
                <w:color w:val="auto"/>
                <w:szCs w:val="20"/>
              </w:rPr>
              <w:t>A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sym w:font="Symbol" w:char="F062"/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42 (</w:t>
            </w:r>
            <w:proofErr w:type="spellStart"/>
            <w:r w:rsidRPr="00FC6046">
              <w:rPr>
                <w:rFonts w:ascii="Times New Roman" w:hAnsi="Times New Roman"/>
                <w:color w:val="auto"/>
                <w:szCs w:val="20"/>
              </w:rPr>
              <w:t>pg</w:t>
            </w:r>
            <w:proofErr w:type="spellEnd"/>
            <w:r w:rsidRPr="00FC6046">
              <w:rPr>
                <w:rFonts w:ascii="Times New Roman" w:hAnsi="Times New Roman"/>
                <w:color w:val="auto"/>
                <w:szCs w:val="20"/>
              </w:rPr>
              <w:t>/ml)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257.42 (55.88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261.05 (44.33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0.11</w:t>
            </w:r>
          </w:p>
        </w:tc>
      </w:tr>
      <w:tr w:rsidR="009773BA" w:rsidTr="00F60B79">
        <w:tc>
          <w:tcPr>
            <w:tcW w:w="1728" w:type="dxa"/>
            <w:shd w:val="clear" w:color="auto" w:fill="auto"/>
          </w:tcPr>
          <w:p w:rsidR="009773BA" w:rsidRPr="005C5720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  <w:r w:rsidRPr="00FC6046">
              <w:rPr>
                <w:rFonts w:ascii="Times New Roman" w:hAnsi="Times New Roman"/>
                <w:color w:val="auto"/>
                <w:szCs w:val="20"/>
              </w:rPr>
              <w:t>t-tau (</w:t>
            </w:r>
            <w:proofErr w:type="spellStart"/>
            <w:r w:rsidRPr="00FC6046">
              <w:rPr>
                <w:rFonts w:ascii="Times New Roman" w:hAnsi="Times New Roman"/>
                <w:color w:val="auto"/>
                <w:szCs w:val="20"/>
              </w:rPr>
              <w:t>pg</w:t>
            </w:r>
            <w:proofErr w:type="spellEnd"/>
            <w:r w:rsidRPr="00FC6046">
              <w:rPr>
                <w:rFonts w:ascii="Times New Roman" w:hAnsi="Times New Roman"/>
                <w:color w:val="auto"/>
                <w:szCs w:val="20"/>
              </w:rPr>
              <w:t>/ml)</w:t>
            </w:r>
          </w:p>
        </w:tc>
        <w:tc>
          <w:tcPr>
            <w:tcW w:w="1943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331.18 (52.04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394.75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0"/>
              </w:rPr>
              <w:t>(100.10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1.48</w:t>
            </w:r>
          </w:p>
        </w:tc>
      </w:tr>
      <w:tr w:rsidR="009773BA" w:rsidTr="00F60B79">
        <w:tc>
          <w:tcPr>
            <w:tcW w:w="1728" w:type="dxa"/>
            <w:shd w:val="clear" w:color="auto" w:fill="auto"/>
          </w:tcPr>
          <w:p w:rsidR="009773BA" w:rsidRPr="005C5720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  <w:r w:rsidRPr="00FC6046">
              <w:rPr>
                <w:rFonts w:ascii="Times New Roman" w:hAnsi="Times New Roman"/>
                <w:color w:val="auto"/>
                <w:szCs w:val="20"/>
              </w:rPr>
              <w:t>p-tau (</w:t>
            </w:r>
            <w:proofErr w:type="spellStart"/>
            <w:r w:rsidRPr="00FC6046">
              <w:rPr>
                <w:rFonts w:ascii="Times New Roman" w:hAnsi="Times New Roman"/>
                <w:color w:val="auto"/>
                <w:szCs w:val="20"/>
              </w:rPr>
              <w:t>pg</w:t>
            </w:r>
            <w:proofErr w:type="spellEnd"/>
            <w:r w:rsidRPr="00FC6046">
              <w:rPr>
                <w:rFonts w:ascii="Times New Roman" w:hAnsi="Times New Roman"/>
                <w:color w:val="auto"/>
                <w:szCs w:val="20"/>
              </w:rPr>
              <w:t>/ml)</w:t>
            </w:r>
          </w:p>
        </w:tc>
        <w:tc>
          <w:tcPr>
            <w:tcW w:w="1943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51.95 (9.85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52.49 (9.90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0.09‡</w:t>
            </w:r>
          </w:p>
        </w:tc>
      </w:tr>
      <w:tr w:rsidR="009773BA" w:rsidTr="00F60B79">
        <w:tc>
          <w:tcPr>
            <w:tcW w:w="1728" w:type="dxa"/>
            <w:shd w:val="clear" w:color="auto" w:fill="auto"/>
          </w:tcPr>
          <w:p w:rsidR="009773BA" w:rsidRPr="005C5720" w:rsidRDefault="009773BA" w:rsidP="00F60B79">
            <w:pPr>
              <w:rPr>
                <w:rFonts w:ascii="Times New Roman" w:hAnsi="Times New Roman"/>
                <w:color w:val="auto"/>
                <w:szCs w:val="20"/>
              </w:rPr>
            </w:pPr>
            <w:r w:rsidRPr="00FC6046">
              <w:rPr>
                <w:rFonts w:ascii="Times New Roman" w:hAnsi="Times New Roman"/>
                <w:color w:val="auto"/>
                <w:szCs w:val="20"/>
              </w:rPr>
              <w:t>ATI</w:t>
            </w:r>
          </w:p>
        </w:tc>
        <w:tc>
          <w:tcPr>
            <w:tcW w:w="1943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0.41 (0.09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0.37 (0.06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-0</w:t>
            </w:r>
            <w:r w:rsidRPr="00FC6046">
              <w:rPr>
                <w:rFonts w:ascii="Times New Roman" w:hAnsi="Times New Roman"/>
                <w:color w:val="auto"/>
                <w:szCs w:val="20"/>
              </w:rPr>
              <w:t>.</w:t>
            </w:r>
            <w:r>
              <w:rPr>
                <w:rFonts w:ascii="Times New Roman" w:hAnsi="Times New Roman"/>
                <w:color w:val="auto"/>
                <w:szCs w:val="20"/>
              </w:rPr>
              <w:t>70</w:t>
            </w:r>
          </w:p>
        </w:tc>
      </w:tr>
    </w:tbl>
    <w:p w:rsidR="009773BA" w:rsidRDefault="009773BA" w:rsidP="009773BA">
      <w:pPr>
        <w:spacing w:line="240" w:lineRule="auto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 xml:space="preserve">Parentheses denote standard deviations. </w:t>
      </w:r>
      <w:r>
        <w:rPr>
          <w:rFonts w:ascii="Times New Roman" w:hAnsi="Times New Roman"/>
          <w:color w:val="auto"/>
          <w:sz w:val="24"/>
          <w:szCs w:val="20"/>
        </w:rPr>
        <w:t>‡</w:t>
      </w:r>
      <w:proofErr w:type="gramStart"/>
      <w:r w:rsidRPr="00C72AF2">
        <w:rPr>
          <w:rFonts w:ascii="Times New Roman" w:hAnsi="Times New Roman"/>
          <w:i/>
          <w:color w:val="auto"/>
          <w:sz w:val="24"/>
          <w:szCs w:val="20"/>
        </w:rPr>
        <w:t>t</w:t>
      </w:r>
      <w:r>
        <w:rPr>
          <w:rFonts w:ascii="Times New Roman" w:hAnsi="Times New Roman"/>
          <w:color w:val="auto"/>
          <w:sz w:val="24"/>
          <w:szCs w:val="20"/>
        </w:rPr>
        <w:t>(</w:t>
      </w:r>
      <w:proofErr w:type="gramEnd"/>
      <w:r>
        <w:rPr>
          <w:rFonts w:ascii="Times New Roman" w:hAnsi="Times New Roman"/>
          <w:color w:val="auto"/>
          <w:sz w:val="24"/>
          <w:szCs w:val="20"/>
        </w:rPr>
        <w:t>9) due to missing data from one patient with a diagnosis of PCA at their last clinic visit.</w:t>
      </w:r>
    </w:p>
    <w:p w:rsidR="009773BA" w:rsidRPr="001E1F20" w:rsidRDefault="009773BA" w:rsidP="009773BA">
      <w:pPr>
        <w:tabs>
          <w:tab w:val="left" w:pos="1079"/>
          <w:tab w:val="left" w:pos="2058"/>
          <w:tab w:val="left" w:pos="2942"/>
        </w:tabs>
        <w:spacing w:line="240" w:lineRule="auto"/>
        <w:ind w:left="100"/>
        <w:rPr>
          <w:rFonts w:ascii="Times New Roman" w:eastAsia="Times New Roman" w:hAnsi="Times New Roman"/>
          <w:sz w:val="24"/>
        </w:rPr>
      </w:pPr>
      <w:r w:rsidRPr="001E1F20">
        <w:rPr>
          <w:rFonts w:ascii="Times New Roman" w:eastAsia="Times New Roman" w:hAnsi="Times New Roman"/>
          <w:sz w:val="24"/>
        </w:rPr>
        <w:tab/>
      </w:r>
      <w:r w:rsidRPr="001E1F20">
        <w:rPr>
          <w:rFonts w:ascii="Times New Roman" w:eastAsia="Times New Roman" w:hAnsi="Times New Roman"/>
          <w:sz w:val="24"/>
        </w:rPr>
        <w:tab/>
      </w:r>
      <w:r w:rsidRPr="001E1F20">
        <w:rPr>
          <w:rFonts w:ascii="Times New Roman" w:eastAsia="Times New Roman" w:hAnsi="Times New Roman"/>
          <w:sz w:val="24"/>
        </w:rPr>
        <w:tab/>
      </w:r>
      <w:r w:rsidRPr="001E1F20">
        <w:rPr>
          <w:rFonts w:ascii="Times New Roman" w:eastAsia="Times New Roman" w:hAnsi="Times New Roman"/>
          <w:sz w:val="24"/>
        </w:rPr>
        <w:tab/>
      </w:r>
      <w:r w:rsidRPr="001E1F20">
        <w:rPr>
          <w:rFonts w:ascii="Times New Roman" w:eastAsia="Times New Roman" w:hAnsi="Times New Roman"/>
          <w:sz w:val="24"/>
        </w:rPr>
        <w:tab/>
      </w:r>
    </w:p>
    <w:p w:rsidR="009773BA" w:rsidRPr="001E1F20" w:rsidRDefault="009773BA" w:rsidP="009773BA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1E1F20">
        <w:rPr>
          <w:rFonts w:ascii="Times New Roman" w:eastAsia="Times New Roman" w:hAnsi="Times New Roman" w:cs="Calibri"/>
          <w:b/>
          <w:noProof/>
          <w:sz w:val="24"/>
          <w:szCs w:val="20"/>
        </w:rPr>
        <w:t xml:space="preserve"> </w:t>
      </w:r>
    </w:p>
    <w:p w:rsidR="009773BA" w:rsidRDefault="009773BA" w:rsidP="009773BA">
      <w:pPr>
        <w:spacing w:line="480" w:lineRule="auto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br w:type="page"/>
        <w:t xml:space="preserve">Supplementary Table 2: Semi-quantitative imaging analyses of regional FDG PET </w:t>
      </w:r>
      <w:proofErr w:type="spellStart"/>
      <w:r>
        <w:rPr>
          <w:rFonts w:ascii="Times New Roman" w:eastAsia="Times New Roman" w:hAnsi="Times New Roman" w:cs="Calibri"/>
          <w:sz w:val="24"/>
          <w:szCs w:val="20"/>
        </w:rPr>
        <w:t>hypometabolism</w:t>
      </w:r>
      <w:proofErr w:type="spellEnd"/>
      <w:r>
        <w:rPr>
          <w:rFonts w:ascii="Times New Roman" w:eastAsia="Times New Roman" w:hAnsi="Times New Roman" w:cs="Calibri"/>
          <w:sz w:val="24"/>
          <w:szCs w:val="20"/>
        </w:rPr>
        <w:t xml:space="preserve"> in PCA patients with and without CSF biomarker data</w:t>
      </w:r>
    </w:p>
    <w:p w:rsidR="009773BA" w:rsidRDefault="009773BA" w:rsidP="009773BA">
      <w:pPr>
        <w:spacing w:line="240" w:lineRule="auto"/>
        <w:rPr>
          <w:rFonts w:ascii="Times New Roman" w:eastAsia="Times New Roman" w:hAnsi="Times New Roman" w:cs="Calibri"/>
          <w:sz w:val="24"/>
          <w:szCs w:val="20"/>
        </w:rPr>
      </w:pPr>
    </w:p>
    <w:tbl>
      <w:tblPr>
        <w:tblStyle w:val="Tabellenraster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7" w:firstRow="1" w:lastRow="0" w:firstColumn="1" w:lastColumn="0" w:noHBand="0" w:noVBand="0"/>
      </w:tblPr>
      <w:tblGrid>
        <w:gridCol w:w="1150"/>
        <w:gridCol w:w="2017"/>
        <w:gridCol w:w="1710"/>
        <w:gridCol w:w="716"/>
      </w:tblGrid>
      <w:tr w:rsidR="009773BA" w:rsidRPr="00A90D38" w:rsidTr="00F60B79"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773BA" w:rsidRPr="00A90D38" w:rsidRDefault="009773BA" w:rsidP="00F60B79">
            <w:pPr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PCA W</w:t>
            </w:r>
            <w:r w:rsidRPr="00CE6902">
              <w:rPr>
                <w:rFonts w:ascii="Times New Roman" w:eastAsia="Times New Roman" w:hAnsi="Times New Roman" w:cs="Calibri"/>
                <w:color w:val="auto"/>
                <w:szCs w:val="20"/>
              </w:rPr>
              <w:t>ithout CSF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PCA W</w:t>
            </w:r>
            <w:r w:rsidRPr="00CE6902">
              <w:rPr>
                <w:rFonts w:ascii="Times New Roman" w:eastAsia="Times New Roman" w:hAnsi="Times New Roman" w:cs="Calibri"/>
                <w:color w:val="auto"/>
                <w:szCs w:val="20"/>
              </w:rPr>
              <w:t>ith CSF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 w:rsidRPr="0025642D"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  <w:t>t</w:t>
            </w: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(12)</w:t>
            </w:r>
          </w:p>
        </w:tc>
      </w:tr>
      <w:tr w:rsidR="009773BA" w:rsidRPr="00A90D38" w:rsidTr="00F60B79"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9773BA" w:rsidRPr="00A90D38" w:rsidRDefault="009773BA" w:rsidP="00F60B79">
            <w:pPr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 w:rsidRPr="00CE6902">
              <w:rPr>
                <w:rFonts w:ascii="Times New Roman" w:eastAsia="Times New Roman" w:hAnsi="Times New Roman" w:cs="Calibri"/>
                <w:color w:val="auto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 w:rsidRPr="00CE6902">
              <w:rPr>
                <w:rFonts w:ascii="Times New Roman" w:eastAsia="Times New Roman" w:hAnsi="Times New Roman" w:cs="Calibri"/>
                <w:color w:val="auto"/>
                <w:szCs w:val="20"/>
              </w:rPr>
              <w:t>--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Pr="00A8641E" w:rsidRDefault="009773BA" w:rsidP="00F60B79">
            <w:pPr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</w:pPr>
            <w:r w:rsidRPr="00D36C95"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  <w:t>Frontal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0.12 (0.35)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0.17 (0.41)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-0.20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0.12 (0.35)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0.17 (0.41)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-0.20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Pr="00A8641E" w:rsidRDefault="009773BA" w:rsidP="00F60B79">
            <w:pPr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</w:pPr>
            <w:r w:rsidRPr="00D36C95"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  <w:t>Temporal</w:t>
            </w: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Pr="00CE6902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0.88 (0.84)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1.67 (1.03)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-1.59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0.88 (0.84)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1.50 (1.23)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-1.14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Pr="00A8641E" w:rsidRDefault="009773BA" w:rsidP="00F60B79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</w:pPr>
            <w:r w:rsidRPr="00D36C95"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  <w:t>Parietal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1.12 (0.84)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1.67 (0.52)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-1.39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1.25 (1.04)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1.33 (1.03)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-0.15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Pr="00A8641E" w:rsidRDefault="009773BA" w:rsidP="00F60B79">
            <w:pPr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</w:pPr>
            <w:r w:rsidRPr="00D36C95">
              <w:rPr>
                <w:rFonts w:ascii="Times New Roman" w:eastAsia="Times New Roman" w:hAnsi="Times New Roman" w:cs="Calibri"/>
                <w:i/>
                <w:color w:val="auto"/>
                <w:szCs w:val="20"/>
              </w:rPr>
              <w:t>Occipital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0.25 (0.46)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0.33 (0.52)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-0.32</w:t>
            </w:r>
          </w:p>
        </w:tc>
      </w:tr>
      <w:tr w:rsidR="009773BA" w:rsidRPr="00A90D38" w:rsidTr="00F60B79"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right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0.25 (0.46)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0.67 (0.52)</w:t>
            </w:r>
          </w:p>
        </w:tc>
        <w:tc>
          <w:tcPr>
            <w:tcW w:w="0" w:type="auto"/>
            <w:shd w:val="clear" w:color="auto" w:fill="auto"/>
          </w:tcPr>
          <w:p w:rsidR="009773BA" w:rsidRDefault="009773BA" w:rsidP="00F60B79">
            <w:pPr>
              <w:jc w:val="center"/>
              <w:rPr>
                <w:rFonts w:ascii="Times New Roman" w:eastAsia="Times New Roman" w:hAnsi="Times New Roman" w:cs="Calibri"/>
                <w:color w:val="auto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auto"/>
                <w:szCs w:val="20"/>
              </w:rPr>
              <w:t>-1.59</w:t>
            </w:r>
          </w:p>
        </w:tc>
      </w:tr>
    </w:tbl>
    <w:p w:rsidR="009773BA" w:rsidRDefault="009773BA" w:rsidP="009773BA">
      <w:pPr>
        <w:spacing w:line="240" w:lineRule="auto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Parentheses denote standard deviations.</w:t>
      </w:r>
    </w:p>
    <w:p w:rsidR="009773BA" w:rsidRDefault="009773BA" w:rsidP="009773BA">
      <w:pPr>
        <w:spacing w:line="240" w:lineRule="auto"/>
        <w:rPr>
          <w:rFonts w:ascii="Times New Roman" w:eastAsia="Times New Roman" w:hAnsi="Times New Roman" w:cs="Calibri"/>
          <w:sz w:val="24"/>
          <w:szCs w:val="20"/>
        </w:rPr>
      </w:pPr>
    </w:p>
    <w:p w:rsidR="009773BA" w:rsidRPr="00B37B7A" w:rsidRDefault="009773BA" w:rsidP="009773BA">
      <w:pPr>
        <w:spacing w:line="48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</w:p>
    <w:p w:rsidR="009773BA" w:rsidRDefault="009773BA" w:rsidP="009773BA">
      <w:pPr>
        <w:spacing w:line="240" w:lineRule="auto"/>
        <w:ind w:left="720" w:hanging="720"/>
        <w:rPr>
          <w:rFonts w:ascii="Times New Roman" w:hAnsi="Times New Roman"/>
          <w:bCs/>
          <w:noProof/>
          <w:sz w:val="24"/>
          <w:szCs w:val="24"/>
        </w:rPr>
      </w:pPr>
    </w:p>
    <w:p w:rsidR="009773BA" w:rsidRPr="00F824B4" w:rsidRDefault="009773BA" w:rsidP="009773B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end"/>
      </w:r>
    </w:p>
    <w:p w:rsidR="00E44699" w:rsidRDefault="00E44699">
      <w:bookmarkStart w:id="0" w:name="_GoBack"/>
      <w:bookmarkEnd w:id="0"/>
    </w:p>
    <w:sectPr w:rsidR="00E44699" w:rsidSect="000D78C0">
      <w:headerReference w:type="default" r:id="rId5"/>
      <w:footerReference w:type="default" r:id="rId6"/>
      <w:headerReference w:type="first" r:id="rId7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8" w:rsidRDefault="009773BA">
    <w:pPr>
      <w:pStyle w:val="Fuzeile"/>
      <w:jc w:val="center"/>
      <w:rPr>
        <w:rFonts w:ascii="Times New Roman" w:hAnsi="Times New Roman"/>
        <w:sz w:val="24"/>
      </w:rPr>
    </w:pPr>
    <w:r w:rsidRPr="00CE6902">
      <w:rPr>
        <w:rStyle w:val="Seitenzahl"/>
        <w:rFonts w:ascii="Times New Roman" w:hAnsi="Times New Roman"/>
        <w:sz w:val="24"/>
      </w:rPr>
      <w:fldChar w:fldCharType="begin"/>
    </w:r>
    <w:r w:rsidRPr="00CE6902">
      <w:rPr>
        <w:rStyle w:val="Seitenzahl"/>
        <w:rFonts w:ascii="Times New Roman" w:hAnsi="Times New Roman"/>
        <w:sz w:val="24"/>
      </w:rPr>
      <w:instrText xml:space="preserve"> PAGE </w:instrText>
    </w:r>
    <w:r w:rsidRPr="00CE6902">
      <w:rPr>
        <w:rStyle w:val="Seitenzahl"/>
        <w:rFonts w:ascii="Times New Roman" w:hAnsi="Times New Roman"/>
        <w:sz w:val="24"/>
      </w:rPr>
      <w:fldChar w:fldCharType="separate"/>
    </w:r>
    <w:r>
      <w:rPr>
        <w:rStyle w:val="Seitenzahl"/>
        <w:rFonts w:ascii="Times New Roman" w:hAnsi="Times New Roman"/>
        <w:noProof/>
        <w:sz w:val="24"/>
      </w:rPr>
      <w:t>2</w:t>
    </w:r>
    <w:r w:rsidRPr="00CE6902">
      <w:rPr>
        <w:rStyle w:val="Seitenzahl"/>
        <w:rFonts w:ascii="Times New Roman" w:hAnsi="Times New Roman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8" w:rsidRPr="00DF2CA4" w:rsidRDefault="009773BA" w:rsidP="006B284A">
    <w:pPr>
      <w:pStyle w:val="Kopfzeile"/>
      <w:jc w:val="right"/>
      <w:rPr>
        <w:rFonts w:ascii="Times New Roman" w:hAnsi="Times New Roman"/>
        <w:sz w:val="24"/>
      </w:rPr>
    </w:pPr>
    <w:r w:rsidRPr="00574121">
      <w:rPr>
        <w:rFonts w:ascii="Times New Roman" w:hAnsi="Times New Roman"/>
        <w:sz w:val="24"/>
      </w:rPr>
      <w:t xml:space="preserve">CSF </w:t>
    </w:r>
    <w:r>
      <w:rPr>
        <w:rFonts w:ascii="Times New Roman" w:hAnsi="Times New Roman"/>
        <w:sz w:val="24"/>
      </w:rPr>
      <w:t xml:space="preserve">Biomarkers </w:t>
    </w:r>
    <w:r w:rsidRPr="00574121">
      <w:rPr>
        <w:rFonts w:ascii="Times New Roman" w:hAnsi="Times New Roman"/>
        <w:sz w:val="24"/>
      </w:rPr>
      <w:t>in EOAD</w:t>
    </w:r>
    <w:r>
      <w:rPr>
        <w:rFonts w:ascii="Times New Roman" w:hAnsi="Times New Roman"/>
        <w:sz w:val="24"/>
      </w:rPr>
      <w:t xml:space="preserve"> (revised)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8" w:rsidRPr="00E36D3D" w:rsidRDefault="009773BA">
    <w:pPr>
      <w:pStyle w:val="Kopfzeile"/>
      <w:jc w:val="right"/>
      <w:rPr>
        <w:rFonts w:ascii="Times New Roman" w:hAnsi="Times New Roman"/>
        <w:sz w:val="24"/>
      </w:rPr>
    </w:pPr>
    <w:r w:rsidRPr="00E36D3D">
      <w:rPr>
        <w:rFonts w:ascii="Times New Roman" w:hAnsi="Times New Roman"/>
        <w:sz w:val="24"/>
      </w:rPr>
      <w:t>CSF Biomarkers in EOAD</w:t>
    </w:r>
    <w:r>
      <w:rPr>
        <w:rFonts w:ascii="Times New Roman" w:hAnsi="Times New Roman"/>
        <w:sz w:val="24"/>
      </w:rPr>
      <w:t xml:space="preserve"> (revised)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CA"/>
    <w:rsid w:val="009773BA"/>
    <w:rsid w:val="00BF44CA"/>
    <w:rsid w:val="00E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3BA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9773BA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773BA"/>
    <w:rPr>
      <w:rFonts w:ascii="Arial" w:eastAsia="Arial" w:hAnsi="Arial" w:cs="Arial"/>
      <w:color w:val="000000"/>
      <w:lang w:val="en-US"/>
    </w:rPr>
  </w:style>
  <w:style w:type="paragraph" w:styleId="Fuzeile">
    <w:name w:val="footer"/>
    <w:basedOn w:val="Standard"/>
    <w:link w:val="FuzeileZchn"/>
    <w:rsid w:val="009773BA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773BA"/>
    <w:rPr>
      <w:rFonts w:ascii="Arial" w:eastAsia="Arial" w:hAnsi="Arial" w:cs="Arial"/>
      <w:color w:val="000000"/>
      <w:lang w:val="en-US"/>
    </w:rPr>
  </w:style>
  <w:style w:type="character" w:styleId="Seitenzahl">
    <w:name w:val="page number"/>
    <w:basedOn w:val="Absatz-Standardschriftart"/>
    <w:rsid w:val="0097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3BA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9773BA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773BA"/>
    <w:rPr>
      <w:rFonts w:ascii="Arial" w:eastAsia="Arial" w:hAnsi="Arial" w:cs="Arial"/>
      <w:color w:val="000000"/>
      <w:lang w:val="en-US"/>
    </w:rPr>
  </w:style>
  <w:style w:type="paragraph" w:styleId="Fuzeile">
    <w:name w:val="footer"/>
    <w:basedOn w:val="Standard"/>
    <w:link w:val="FuzeileZchn"/>
    <w:rsid w:val="009773BA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773BA"/>
    <w:rPr>
      <w:rFonts w:ascii="Arial" w:eastAsia="Arial" w:hAnsi="Arial" w:cs="Arial"/>
      <w:color w:val="000000"/>
      <w:lang w:val="en-US"/>
    </w:rPr>
  </w:style>
  <w:style w:type="character" w:styleId="Seitenzahl">
    <w:name w:val="page number"/>
    <w:basedOn w:val="Absatz-Standardschriftart"/>
    <w:rsid w:val="0097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S.Karger AG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Reber</dc:creator>
  <cp:keywords/>
  <dc:description/>
  <cp:lastModifiedBy>Christoph Reber</cp:lastModifiedBy>
  <cp:revision>2</cp:revision>
  <dcterms:created xsi:type="dcterms:W3CDTF">2013-09-12T13:21:00Z</dcterms:created>
  <dcterms:modified xsi:type="dcterms:W3CDTF">2013-09-12T13:21:00Z</dcterms:modified>
</cp:coreProperties>
</file>