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BB" w:rsidRPr="00C43B7C" w:rsidRDefault="00C43B7C" w:rsidP="00C43B7C">
      <w:pPr>
        <w:jc w:val="center"/>
        <w:rPr>
          <w:b/>
          <w:sz w:val="28"/>
          <w:u w:val="single"/>
        </w:rPr>
      </w:pPr>
      <w:r w:rsidRPr="00C43B7C">
        <w:rPr>
          <w:b/>
          <w:sz w:val="28"/>
          <w:u w:val="single"/>
        </w:rPr>
        <w:t>Supplementary Data</w:t>
      </w:r>
    </w:p>
    <w:p w:rsidR="003976BB" w:rsidRDefault="003976BB"/>
    <w:p w:rsidR="00C43B7C" w:rsidRDefault="00C43B7C" w:rsidP="00C43B7C">
      <w:pPr>
        <w:shd w:val="clear" w:color="auto" w:fill="FFFFFF"/>
        <w:jc w:val="center"/>
      </w:pPr>
    </w:p>
    <w:p w:rsidR="00C43B7C" w:rsidRPr="00C43B7C" w:rsidRDefault="00C43B7C" w:rsidP="00C43B7C">
      <w:pPr>
        <w:shd w:val="clear" w:color="auto" w:fill="FFFFFF"/>
        <w:rPr>
          <w:b/>
          <w:bCs/>
          <w:sz w:val="28"/>
          <w:szCs w:val="28"/>
        </w:rPr>
      </w:pPr>
      <w:r w:rsidRPr="00C43B7C">
        <w:rPr>
          <w:b/>
          <w:bCs/>
          <w:sz w:val="28"/>
          <w:szCs w:val="28"/>
        </w:rPr>
        <w:t xml:space="preserve">Excluded </w:t>
      </w:r>
      <w:r>
        <w:rPr>
          <w:b/>
          <w:bCs/>
          <w:sz w:val="28"/>
          <w:szCs w:val="28"/>
        </w:rPr>
        <w:t>studies</w:t>
      </w:r>
    </w:p>
    <w:p w:rsidR="00C43B7C" w:rsidRPr="006052B4" w:rsidRDefault="00C43B7C" w:rsidP="00C43B7C">
      <w:pPr>
        <w:pStyle w:val="desc2"/>
        <w:numPr>
          <w:ilvl w:val="0"/>
          <w:numId w:val="1"/>
        </w:numPr>
        <w:shd w:val="clear" w:color="auto" w:fill="FFFFFF"/>
        <w:rPr>
          <w:rFonts w:asciiTheme="minorHAnsi" w:hAnsiTheme="minorHAnsi" w:cstheme="minorBidi"/>
          <w:sz w:val="22"/>
          <w:szCs w:val="22"/>
        </w:rPr>
      </w:pPr>
      <w:r w:rsidRPr="006052B4">
        <w:rPr>
          <w:rFonts w:asciiTheme="minorHAnsi" w:hAnsiTheme="minorHAnsi" w:cstheme="minorBidi"/>
          <w:sz w:val="22"/>
          <w:szCs w:val="22"/>
        </w:rPr>
        <w:t xml:space="preserve">Paterson C, Robertson AG, </w:t>
      </w:r>
      <w:proofErr w:type="spellStart"/>
      <w:r w:rsidRPr="006052B4">
        <w:rPr>
          <w:rFonts w:asciiTheme="minorHAnsi" w:hAnsiTheme="minorHAnsi" w:cstheme="minorBidi"/>
          <w:sz w:val="22"/>
          <w:szCs w:val="22"/>
        </w:rPr>
        <w:t>Grose</w:t>
      </w:r>
      <w:proofErr w:type="spellEnd"/>
      <w:r w:rsidRPr="006052B4">
        <w:rPr>
          <w:rFonts w:asciiTheme="minorHAnsi" w:hAnsiTheme="minorHAnsi" w:cstheme="minorBidi"/>
          <w:sz w:val="22"/>
          <w:szCs w:val="22"/>
        </w:rPr>
        <w:t xml:space="preserve"> D, Correa PD et al. "</w:t>
      </w:r>
      <w:proofErr w:type="spellStart"/>
      <w:r w:rsidRPr="006052B4">
        <w:rPr>
          <w:rFonts w:asciiTheme="minorHAnsi" w:hAnsiTheme="minorHAnsi" w:cstheme="minorBidi"/>
          <w:sz w:val="22"/>
          <w:szCs w:val="22"/>
        </w:rPr>
        <w:t>Neoadjuvant</w:t>
      </w:r>
      <w:proofErr w:type="spellEnd"/>
      <w:r w:rsidRPr="006052B4">
        <w:rPr>
          <w:rFonts w:asciiTheme="minorHAnsi" w:hAnsiTheme="minorHAnsi" w:cstheme="minorBidi"/>
          <w:sz w:val="22"/>
          <w:szCs w:val="22"/>
        </w:rPr>
        <w:t xml:space="preserve"> chemotherapy prior to surgery in head and neck cancer." </w:t>
      </w:r>
      <w:proofErr w:type="spellStart"/>
      <w:r w:rsidRPr="006052B4">
        <w:rPr>
          <w:rFonts w:asciiTheme="minorHAnsi" w:hAnsiTheme="minorHAnsi" w:cstheme="minorBidi"/>
          <w:sz w:val="22"/>
          <w:szCs w:val="22"/>
        </w:rPr>
        <w:t>Clin</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Oncol</w:t>
      </w:r>
      <w:proofErr w:type="spellEnd"/>
      <w:r w:rsidRPr="006052B4">
        <w:rPr>
          <w:rFonts w:asciiTheme="minorHAnsi" w:hAnsiTheme="minorHAnsi" w:cstheme="minorBidi"/>
          <w:sz w:val="22"/>
          <w:szCs w:val="22"/>
        </w:rPr>
        <w:t xml:space="preserve"> (R </w:t>
      </w:r>
      <w:proofErr w:type="spellStart"/>
      <w:r w:rsidRPr="006052B4">
        <w:rPr>
          <w:rFonts w:asciiTheme="minorHAnsi" w:hAnsiTheme="minorHAnsi" w:cstheme="minorBidi"/>
          <w:sz w:val="22"/>
          <w:szCs w:val="22"/>
        </w:rPr>
        <w:t>Coll</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Radiol</w:t>
      </w:r>
      <w:proofErr w:type="spellEnd"/>
      <w:r w:rsidRPr="006052B4">
        <w:rPr>
          <w:rFonts w:asciiTheme="minorHAnsi" w:hAnsiTheme="minorHAnsi" w:cstheme="minorBidi"/>
          <w:sz w:val="22"/>
          <w:szCs w:val="22"/>
        </w:rPr>
        <w:t>). 2012 Feb;24(1):79-80</w:t>
      </w:r>
    </w:p>
    <w:p w:rsidR="00C43B7C" w:rsidRPr="006052B4" w:rsidRDefault="00C43B7C" w:rsidP="00C43B7C">
      <w:pPr>
        <w:pStyle w:val="desc2"/>
        <w:numPr>
          <w:ilvl w:val="0"/>
          <w:numId w:val="1"/>
        </w:numPr>
        <w:shd w:val="clear" w:color="auto" w:fill="FFFFFF"/>
        <w:rPr>
          <w:rFonts w:asciiTheme="minorHAnsi" w:hAnsiTheme="minorHAnsi" w:cstheme="minorBidi"/>
          <w:sz w:val="22"/>
          <w:szCs w:val="22"/>
        </w:rPr>
      </w:pPr>
      <w:r w:rsidRPr="006052B4">
        <w:rPr>
          <w:rFonts w:asciiTheme="minorHAnsi" w:hAnsiTheme="minorHAnsi" w:cstheme="minorBidi"/>
          <w:sz w:val="22"/>
          <w:szCs w:val="22"/>
        </w:rPr>
        <w:t xml:space="preserve">Lin JT, Lai GM, Chang TH et al. "Chemotherapy with modified </w:t>
      </w:r>
      <w:proofErr w:type="spellStart"/>
      <w:r w:rsidRPr="006052B4">
        <w:rPr>
          <w:rFonts w:asciiTheme="minorHAnsi" w:hAnsiTheme="minorHAnsi" w:cstheme="minorBidi"/>
          <w:sz w:val="22"/>
          <w:szCs w:val="22"/>
        </w:rPr>
        <w:t>docetaxel</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cisplatin</w:t>
      </w:r>
      <w:proofErr w:type="spellEnd"/>
      <w:r w:rsidRPr="006052B4">
        <w:rPr>
          <w:rFonts w:asciiTheme="minorHAnsi" w:hAnsiTheme="minorHAnsi" w:cstheme="minorBidi"/>
          <w:sz w:val="22"/>
          <w:szCs w:val="22"/>
        </w:rPr>
        <w:t xml:space="preserve">, and 5-fluorouracil in patients with metastatic head and neck cancer." Adv </w:t>
      </w:r>
      <w:proofErr w:type="spellStart"/>
      <w:r w:rsidRPr="006052B4">
        <w:rPr>
          <w:rFonts w:asciiTheme="minorHAnsi" w:hAnsiTheme="minorHAnsi" w:cstheme="minorBidi"/>
          <w:sz w:val="22"/>
          <w:szCs w:val="22"/>
        </w:rPr>
        <w:t>Ther</w:t>
      </w:r>
      <w:proofErr w:type="spellEnd"/>
      <w:r w:rsidRPr="006052B4">
        <w:rPr>
          <w:rFonts w:asciiTheme="minorHAnsi" w:hAnsiTheme="minorHAnsi" w:cstheme="minorBidi"/>
          <w:sz w:val="22"/>
          <w:szCs w:val="22"/>
        </w:rPr>
        <w:t>. 2012 Jan;29(1):71-7</w:t>
      </w:r>
    </w:p>
    <w:p w:rsidR="00C43B7C" w:rsidRPr="006052B4" w:rsidRDefault="00C43B7C" w:rsidP="00C43B7C">
      <w:pPr>
        <w:pStyle w:val="desc2"/>
        <w:numPr>
          <w:ilvl w:val="0"/>
          <w:numId w:val="1"/>
        </w:numPr>
        <w:shd w:val="clear" w:color="auto" w:fill="FFFFFF"/>
        <w:rPr>
          <w:rFonts w:asciiTheme="minorHAnsi" w:hAnsiTheme="minorHAnsi" w:cstheme="minorBidi"/>
          <w:sz w:val="22"/>
          <w:szCs w:val="22"/>
        </w:rPr>
      </w:pPr>
      <w:proofErr w:type="spellStart"/>
      <w:r w:rsidRPr="006052B4">
        <w:rPr>
          <w:rFonts w:asciiTheme="minorHAnsi" w:hAnsiTheme="minorHAnsi" w:cstheme="minorBidi"/>
          <w:sz w:val="22"/>
          <w:szCs w:val="22"/>
        </w:rPr>
        <w:t>Kies</w:t>
      </w:r>
      <w:proofErr w:type="spellEnd"/>
      <w:r w:rsidRPr="006052B4">
        <w:rPr>
          <w:rFonts w:asciiTheme="minorHAnsi" w:hAnsiTheme="minorHAnsi" w:cstheme="minorBidi"/>
          <w:sz w:val="22"/>
          <w:szCs w:val="22"/>
        </w:rPr>
        <w:t xml:space="preserve"> MS, </w:t>
      </w:r>
      <w:proofErr w:type="spellStart"/>
      <w:r w:rsidRPr="006052B4">
        <w:rPr>
          <w:rFonts w:asciiTheme="minorHAnsi" w:hAnsiTheme="minorHAnsi" w:cstheme="minorBidi"/>
          <w:sz w:val="22"/>
          <w:szCs w:val="22"/>
        </w:rPr>
        <w:t>Boatright</w:t>
      </w:r>
      <w:proofErr w:type="spellEnd"/>
      <w:r w:rsidRPr="006052B4">
        <w:rPr>
          <w:rFonts w:asciiTheme="minorHAnsi" w:hAnsiTheme="minorHAnsi" w:cstheme="minorBidi"/>
          <w:sz w:val="22"/>
          <w:szCs w:val="22"/>
        </w:rPr>
        <w:t xml:space="preserve"> DH, Li G, </w:t>
      </w:r>
      <w:proofErr w:type="spellStart"/>
      <w:r w:rsidRPr="006052B4">
        <w:rPr>
          <w:rFonts w:asciiTheme="minorHAnsi" w:hAnsiTheme="minorHAnsi" w:cstheme="minorBidi"/>
          <w:sz w:val="22"/>
          <w:szCs w:val="22"/>
        </w:rPr>
        <w:t>Blumenschein</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G,et</w:t>
      </w:r>
      <w:proofErr w:type="spellEnd"/>
      <w:r w:rsidRPr="006052B4">
        <w:rPr>
          <w:rFonts w:asciiTheme="minorHAnsi" w:hAnsiTheme="minorHAnsi" w:cstheme="minorBidi"/>
          <w:sz w:val="22"/>
          <w:szCs w:val="22"/>
        </w:rPr>
        <w:t xml:space="preserve"> al. "Phase II trial of induction chemotherapy followed by surgery for </w:t>
      </w:r>
      <w:proofErr w:type="spellStart"/>
      <w:r w:rsidRPr="006052B4">
        <w:rPr>
          <w:rFonts w:asciiTheme="minorHAnsi" w:hAnsiTheme="minorHAnsi" w:cstheme="minorBidi"/>
          <w:sz w:val="22"/>
          <w:szCs w:val="22"/>
        </w:rPr>
        <w:t>squamous</w:t>
      </w:r>
      <w:proofErr w:type="spellEnd"/>
      <w:r w:rsidRPr="006052B4">
        <w:rPr>
          <w:rFonts w:asciiTheme="minorHAnsi" w:hAnsiTheme="minorHAnsi" w:cstheme="minorBidi"/>
          <w:sz w:val="22"/>
          <w:szCs w:val="22"/>
        </w:rPr>
        <w:t xml:space="preserve"> cell carcinoma of the oral tongue in young adults." Head Neck. 2012 Sep;34(9):1255-62</w:t>
      </w:r>
    </w:p>
    <w:p w:rsidR="00C43B7C" w:rsidRPr="006052B4" w:rsidRDefault="00C43B7C" w:rsidP="00C43B7C">
      <w:pPr>
        <w:pStyle w:val="desc2"/>
        <w:numPr>
          <w:ilvl w:val="0"/>
          <w:numId w:val="1"/>
        </w:numPr>
        <w:shd w:val="clear" w:color="auto" w:fill="FFFFFF"/>
        <w:rPr>
          <w:rFonts w:asciiTheme="minorHAnsi" w:hAnsiTheme="minorHAnsi" w:cstheme="minorBidi"/>
          <w:sz w:val="22"/>
          <w:szCs w:val="22"/>
        </w:rPr>
      </w:pPr>
      <w:proofErr w:type="spellStart"/>
      <w:r w:rsidRPr="006052B4">
        <w:rPr>
          <w:rFonts w:asciiTheme="minorHAnsi" w:hAnsiTheme="minorHAnsi" w:cstheme="minorBidi"/>
          <w:sz w:val="22"/>
          <w:szCs w:val="22"/>
        </w:rPr>
        <w:t>Ansari</w:t>
      </w:r>
      <w:proofErr w:type="spellEnd"/>
      <w:r w:rsidRPr="006052B4">
        <w:rPr>
          <w:rFonts w:asciiTheme="minorHAnsi" w:hAnsiTheme="minorHAnsi" w:cstheme="minorBidi"/>
          <w:sz w:val="22"/>
          <w:szCs w:val="22"/>
        </w:rPr>
        <w:t xml:space="preserve"> M, </w:t>
      </w:r>
      <w:proofErr w:type="spellStart"/>
      <w:r w:rsidRPr="006052B4">
        <w:rPr>
          <w:rFonts w:asciiTheme="minorHAnsi" w:hAnsiTheme="minorHAnsi" w:cstheme="minorBidi"/>
          <w:sz w:val="22"/>
          <w:szCs w:val="22"/>
        </w:rPr>
        <w:t>Omidvari</w:t>
      </w:r>
      <w:proofErr w:type="spellEnd"/>
      <w:r w:rsidRPr="006052B4">
        <w:rPr>
          <w:rFonts w:asciiTheme="minorHAnsi" w:hAnsiTheme="minorHAnsi" w:cstheme="minorBidi"/>
          <w:sz w:val="22"/>
          <w:szCs w:val="22"/>
        </w:rPr>
        <w:t xml:space="preserve"> S, </w:t>
      </w:r>
      <w:proofErr w:type="spellStart"/>
      <w:r w:rsidRPr="006052B4">
        <w:rPr>
          <w:rFonts w:asciiTheme="minorHAnsi" w:hAnsiTheme="minorHAnsi" w:cstheme="minorBidi"/>
          <w:sz w:val="22"/>
          <w:szCs w:val="22"/>
        </w:rPr>
        <w:t>Mosalaei</w:t>
      </w:r>
      <w:proofErr w:type="spellEnd"/>
      <w:r w:rsidRPr="006052B4">
        <w:rPr>
          <w:rFonts w:asciiTheme="minorHAnsi" w:hAnsiTheme="minorHAnsi" w:cstheme="minorBidi"/>
          <w:sz w:val="22"/>
          <w:szCs w:val="22"/>
        </w:rPr>
        <w:t xml:space="preserve"> A, et al. "A Phase II Study of </w:t>
      </w:r>
      <w:proofErr w:type="spellStart"/>
      <w:r w:rsidRPr="006052B4">
        <w:rPr>
          <w:rFonts w:asciiTheme="minorHAnsi" w:hAnsiTheme="minorHAnsi" w:cstheme="minorBidi"/>
          <w:sz w:val="22"/>
          <w:szCs w:val="22"/>
        </w:rPr>
        <w:t>Docetaxel</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Cisplatin</w:t>
      </w:r>
      <w:proofErr w:type="spellEnd"/>
      <w:r w:rsidRPr="006052B4">
        <w:rPr>
          <w:rFonts w:asciiTheme="minorHAnsi" w:hAnsiTheme="minorHAnsi" w:cstheme="minorBidi"/>
          <w:sz w:val="22"/>
          <w:szCs w:val="22"/>
        </w:rPr>
        <w:t xml:space="preserve"> and 5- Fluorouracil (TPF) In Patients with Locally Advanced Head and Neck Carcinomas. Iran Red Crescent Med J. 2011 Mar</w:t>
      </w:r>
      <w:proofErr w:type="gramStart"/>
      <w:r w:rsidRPr="006052B4">
        <w:rPr>
          <w:rFonts w:asciiTheme="minorHAnsi" w:hAnsiTheme="minorHAnsi" w:cstheme="minorBidi"/>
          <w:sz w:val="22"/>
          <w:szCs w:val="22"/>
        </w:rPr>
        <w:t>;13</w:t>
      </w:r>
      <w:proofErr w:type="gramEnd"/>
      <w:r w:rsidRPr="006052B4">
        <w:rPr>
          <w:rFonts w:asciiTheme="minorHAnsi" w:hAnsiTheme="minorHAnsi" w:cstheme="minorBidi"/>
          <w:sz w:val="22"/>
          <w:szCs w:val="22"/>
        </w:rPr>
        <w:t xml:space="preserve">(3):187-91. </w:t>
      </w:r>
    </w:p>
    <w:p w:rsidR="00C43B7C" w:rsidRPr="006052B4" w:rsidRDefault="00C43B7C" w:rsidP="00C43B7C">
      <w:pPr>
        <w:pStyle w:val="desc2"/>
        <w:numPr>
          <w:ilvl w:val="0"/>
          <w:numId w:val="1"/>
        </w:numPr>
        <w:shd w:val="clear" w:color="auto" w:fill="FFFFFF"/>
        <w:rPr>
          <w:rFonts w:asciiTheme="minorHAnsi" w:hAnsiTheme="minorHAnsi" w:cstheme="minorBidi"/>
          <w:sz w:val="22"/>
          <w:szCs w:val="22"/>
        </w:rPr>
      </w:pPr>
      <w:proofErr w:type="spellStart"/>
      <w:r w:rsidRPr="006052B4">
        <w:rPr>
          <w:rFonts w:asciiTheme="minorHAnsi" w:hAnsiTheme="minorHAnsi" w:cstheme="minorBidi"/>
          <w:sz w:val="22"/>
          <w:szCs w:val="22"/>
        </w:rPr>
        <w:t>Wanebo</w:t>
      </w:r>
      <w:proofErr w:type="spellEnd"/>
      <w:r w:rsidRPr="006052B4">
        <w:rPr>
          <w:rFonts w:asciiTheme="minorHAnsi" w:hAnsiTheme="minorHAnsi" w:cstheme="minorBidi"/>
          <w:sz w:val="22"/>
          <w:szCs w:val="22"/>
        </w:rPr>
        <w:t xml:space="preserve"> HJ, </w:t>
      </w:r>
      <w:proofErr w:type="spellStart"/>
      <w:r w:rsidRPr="006052B4">
        <w:rPr>
          <w:rFonts w:asciiTheme="minorHAnsi" w:hAnsiTheme="minorHAnsi" w:cstheme="minorBidi"/>
          <w:sz w:val="22"/>
          <w:szCs w:val="22"/>
        </w:rPr>
        <w:t>Rathore</w:t>
      </w:r>
      <w:proofErr w:type="spellEnd"/>
      <w:r w:rsidRPr="006052B4">
        <w:rPr>
          <w:rFonts w:asciiTheme="minorHAnsi" w:hAnsiTheme="minorHAnsi" w:cstheme="minorBidi"/>
          <w:sz w:val="22"/>
          <w:szCs w:val="22"/>
        </w:rPr>
        <w:t xml:space="preserve"> R, </w:t>
      </w:r>
      <w:proofErr w:type="spellStart"/>
      <w:r w:rsidRPr="006052B4">
        <w:rPr>
          <w:rFonts w:asciiTheme="minorHAnsi" w:hAnsiTheme="minorHAnsi" w:cstheme="minorBidi"/>
          <w:sz w:val="22"/>
          <w:szCs w:val="22"/>
        </w:rPr>
        <w:t>Chougule</w:t>
      </w:r>
      <w:proofErr w:type="spellEnd"/>
      <w:r w:rsidRPr="006052B4">
        <w:rPr>
          <w:rFonts w:asciiTheme="minorHAnsi" w:hAnsiTheme="minorHAnsi" w:cstheme="minorBidi"/>
          <w:sz w:val="22"/>
          <w:szCs w:val="22"/>
        </w:rPr>
        <w:t xml:space="preserve"> P, et al" Selective organ preservation in operable locally advanced head and neck </w:t>
      </w:r>
      <w:proofErr w:type="spellStart"/>
      <w:r w:rsidRPr="006052B4">
        <w:rPr>
          <w:rFonts w:asciiTheme="minorHAnsi" w:hAnsiTheme="minorHAnsi" w:cstheme="minorBidi"/>
          <w:sz w:val="22"/>
          <w:szCs w:val="22"/>
        </w:rPr>
        <w:t>squamous</w:t>
      </w:r>
      <w:proofErr w:type="spellEnd"/>
      <w:r w:rsidRPr="006052B4">
        <w:rPr>
          <w:rFonts w:asciiTheme="minorHAnsi" w:hAnsiTheme="minorHAnsi" w:cstheme="minorBidi"/>
          <w:sz w:val="22"/>
          <w:szCs w:val="22"/>
        </w:rPr>
        <w:t xml:space="preserve"> cell carcinomas guided by primary site restaging biopsy: long-term results of two sequential brown university oncology group </w:t>
      </w:r>
      <w:proofErr w:type="spellStart"/>
      <w:r w:rsidRPr="006052B4">
        <w:rPr>
          <w:rFonts w:asciiTheme="minorHAnsi" w:hAnsiTheme="minorHAnsi" w:cstheme="minorBidi"/>
          <w:sz w:val="22"/>
          <w:szCs w:val="22"/>
        </w:rPr>
        <w:t>chemoradiotherapy</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studies"Ann</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Surg</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Oncol</w:t>
      </w:r>
      <w:proofErr w:type="spellEnd"/>
      <w:r w:rsidRPr="006052B4">
        <w:rPr>
          <w:rFonts w:asciiTheme="minorHAnsi" w:hAnsiTheme="minorHAnsi" w:cstheme="minorBidi"/>
          <w:sz w:val="22"/>
          <w:szCs w:val="22"/>
        </w:rPr>
        <w:t>. 2011 Nov</w:t>
      </w:r>
      <w:proofErr w:type="gramStart"/>
      <w:r w:rsidRPr="006052B4">
        <w:rPr>
          <w:rFonts w:asciiTheme="minorHAnsi" w:hAnsiTheme="minorHAnsi" w:cstheme="minorBidi"/>
          <w:sz w:val="22"/>
          <w:szCs w:val="22"/>
        </w:rPr>
        <w:t>;18</w:t>
      </w:r>
      <w:proofErr w:type="gramEnd"/>
      <w:r w:rsidRPr="006052B4">
        <w:rPr>
          <w:rFonts w:asciiTheme="minorHAnsi" w:hAnsiTheme="minorHAnsi" w:cstheme="minorBidi"/>
          <w:sz w:val="22"/>
          <w:szCs w:val="22"/>
        </w:rPr>
        <w:t>(12):3479-85.</w:t>
      </w:r>
    </w:p>
    <w:p w:rsidR="00C43B7C" w:rsidRPr="006052B4" w:rsidRDefault="00C43B7C" w:rsidP="00C43B7C">
      <w:pPr>
        <w:pStyle w:val="desc2"/>
        <w:numPr>
          <w:ilvl w:val="0"/>
          <w:numId w:val="1"/>
        </w:numPr>
        <w:shd w:val="clear" w:color="auto" w:fill="FFFFFF"/>
        <w:rPr>
          <w:rFonts w:asciiTheme="minorHAnsi" w:hAnsiTheme="minorHAnsi" w:cstheme="minorBidi"/>
          <w:sz w:val="22"/>
          <w:szCs w:val="22"/>
        </w:rPr>
      </w:pPr>
      <w:r w:rsidRPr="006052B4">
        <w:rPr>
          <w:rFonts w:asciiTheme="minorHAnsi" w:hAnsiTheme="minorHAnsi" w:cstheme="minorBidi"/>
          <w:sz w:val="22"/>
          <w:szCs w:val="22"/>
        </w:rPr>
        <w:t xml:space="preserve">Ready NE, </w:t>
      </w:r>
      <w:proofErr w:type="spellStart"/>
      <w:r w:rsidRPr="006052B4">
        <w:rPr>
          <w:rFonts w:asciiTheme="minorHAnsi" w:hAnsiTheme="minorHAnsi" w:cstheme="minorBidi"/>
          <w:sz w:val="22"/>
          <w:szCs w:val="22"/>
        </w:rPr>
        <w:t>Rathore</w:t>
      </w:r>
      <w:proofErr w:type="spellEnd"/>
      <w:r w:rsidRPr="006052B4">
        <w:rPr>
          <w:rFonts w:asciiTheme="minorHAnsi" w:hAnsiTheme="minorHAnsi" w:cstheme="minorBidi"/>
          <w:sz w:val="22"/>
          <w:szCs w:val="22"/>
        </w:rPr>
        <w:t xml:space="preserve"> R, Johnson TT et al. "Weekly </w:t>
      </w:r>
      <w:proofErr w:type="spellStart"/>
      <w:r w:rsidRPr="006052B4">
        <w:rPr>
          <w:rFonts w:asciiTheme="minorHAnsi" w:hAnsiTheme="minorHAnsi" w:cstheme="minorBidi"/>
          <w:sz w:val="22"/>
          <w:szCs w:val="22"/>
        </w:rPr>
        <w:t>paclitaxel</w:t>
      </w:r>
      <w:proofErr w:type="spellEnd"/>
      <w:r w:rsidRPr="006052B4">
        <w:rPr>
          <w:rFonts w:asciiTheme="minorHAnsi" w:hAnsiTheme="minorHAnsi" w:cstheme="minorBidi"/>
          <w:sz w:val="22"/>
          <w:szCs w:val="22"/>
        </w:rPr>
        <w:t xml:space="preserve"> and </w:t>
      </w:r>
      <w:proofErr w:type="spellStart"/>
      <w:r w:rsidRPr="006052B4">
        <w:rPr>
          <w:rFonts w:asciiTheme="minorHAnsi" w:hAnsiTheme="minorHAnsi" w:cstheme="minorBidi"/>
          <w:sz w:val="22"/>
          <w:szCs w:val="22"/>
        </w:rPr>
        <w:t>carboplatin</w:t>
      </w:r>
      <w:proofErr w:type="spellEnd"/>
      <w:r w:rsidRPr="006052B4">
        <w:rPr>
          <w:rFonts w:asciiTheme="minorHAnsi" w:hAnsiTheme="minorHAnsi" w:cstheme="minorBidi"/>
          <w:sz w:val="22"/>
          <w:szCs w:val="22"/>
        </w:rPr>
        <w:t xml:space="preserve"> induction chemotherapy followed by concurrent </w:t>
      </w:r>
      <w:proofErr w:type="spellStart"/>
      <w:r w:rsidRPr="006052B4">
        <w:rPr>
          <w:rFonts w:asciiTheme="minorHAnsi" w:hAnsiTheme="minorHAnsi" w:cstheme="minorBidi"/>
          <w:sz w:val="22"/>
          <w:szCs w:val="22"/>
        </w:rPr>
        <w:t>chemoradiotherapy</w:t>
      </w:r>
      <w:proofErr w:type="spellEnd"/>
      <w:r w:rsidRPr="006052B4">
        <w:rPr>
          <w:rFonts w:asciiTheme="minorHAnsi" w:hAnsiTheme="minorHAnsi" w:cstheme="minorBidi"/>
          <w:sz w:val="22"/>
          <w:szCs w:val="22"/>
        </w:rPr>
        <w:t xml:space="preserve"> in locally advanced </w:t>
      </w:r>
      <w:proofErr w:type="spellStart"/>
      <w:r w:rsidRPr="006052B4">
        <w:rPr>
          <w:rFonts w:asciiTheme="minorHAnsi" w:hAnsiTheme="minorHAnsi" w:cstheme="minorBidi"/>
          <w:sz w:val="22"/>
          <w:szCs w:val="22"/>
        </w:rPr>
        <w:t>squamous</w:t>
      </w:r>
      <w:proofErr w:type="spellEnd"/>
      <w:r w:rsidRPr="006052B4">
        <w:rPr>
          <w:rFonts w:asciiTheme="minorHAnsi" w:hAnsiTheme="minorHAnsi" w:cstheme="minorBidi"/>
          <w:sz w:val="22"/>
          <w:szCs w:val="22"/>
        </w:rPr>
        <w:t xml:space="preserve"> cell carcinoma of the head and neck." Am J </w:t>
      </w:r>
      <w:proofErr w:type="spellStart"/>
      <w:r w:rsidRPr="006052B4">
        <w:rPr>
          <w:rFonts w:asciiTheme="minorHAnsi" w:hAnsiTheme="minorHAnsi" w:cstheme="minorBidi"/>
          <w:sz w:val="22"/>
          <w:szCs w:val="22"/>
        </w:rPr>
        <w:t>Clin</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Oncol</w:t>
      </w:r>
      <w:proofErr w:type="spellEnd"/>
      <w:r w:rsidRPr="006052B4">
        <w:rPr>
          <w:rFonts w:asciiTheme="minorHAnsi" w:hAnsiTheme="minorHAnsi" w:cstheme="minorBidi"/>
          <w:sz w:val="22"/>
          <w:szCs w:val="22"/>
        </w:rPr>
        <w:t>. 2012 Feb;35(1):6-12</w:t>
      </w:r>
    </w:p>
    <w:p w:rsidR="00C43B7C" w:rsidRPr="006052B4" w:rsidRDefault="00C43B7C" w:rsidP="00C43B7C">
      <w:pPr>
        <w:pStyle w:val="desc2"/>
        <w:numPr>
          <w:ilvl w:val="0"/>
          <w:numId w:val="1"/>
        </w:numPr>
        <w:shd w:val="clear" w:color="auto" w:fill="FFFFFF"/>
        <w:rPr>
          <w:rFonts w:asciiTheme="minorHAnsi" w:hAnsiTheme="minorHAnsi" w:cstheme="minorBidi"/>
          <w:sz w:val="22"/>
          <w:szCs w:val="22"/>
        </w:rPr>
      </w:pPr>
      <w:proofErr w:type="spellStart"/>
      <w:r w:rsidRPr="006052B4">
        <w:rPr>
          <w:rFonts w:asciiTheme="minorHAnsi" w:hAnsiTheme="minorHAnsi" w:cstheme="minorBidi"/>
          <w:sz w:val="22"/>
          <w:szCs w:val="22"/>
        </w:rPr>
        <w:t>Choe</w:t>
      </w:r>
      <w:proofErr w:type="spellEnd"/>
      <w:r w:rsidRPr="006052B4">
        <w:rPr>
          <w:rFonts w:asciiTheme="minorHAnsi" w:hAnsiTheme="minorHAnsi" w:cstheme="minorBidi"/>
          <w:sz w:val="22"/>
          <w:szCs w:val="22"/>
        </w:rPr>
        <w:t xml:space="preserve"> KS, </w:t>
      </w:r>
      <w:proofErr w:type="spellStart"/>
      <w:r w:rsidRPr="006052B4">
        <w:rPr>
          <w:rFonts w:asciiTheme="minorHAnsi" w:hAnsiTheme="minorHAnsi" w:cstheme="minorBidi"/>
          <w:sz w:val="22"/>
          <w:szCs w:val="22"/>
        </w:rPr>
        <w:t>Salama</w:t>
      </w:r>
      <w:proofErr w:type="spellEnd"/>
      <w:r w:rsidRPr="006052B4">
        <w:rPr>
          <w:rFonts w:asciiTheme="minorHAnsi" w:hAnsiTheme="minorHAnsi" w:cstheme="minorBidi"/>
          <w:sz w:val="22"/>
          <w:szCs w:val="22"/>
        </w:rPr>
        <w:t xml:space="preserve"> JK, </w:t>
      </w:r>
      <w:proofErr w:type="spellStart"/>
      <w:r w:rsidRPr="006052B4">
        <w:rPr>
          <w:rFonts w:asciiTheme="minorHAnsi" w:hAnsiTheme="minorHAnsi" w:cstheme="minorBidi"/>
          <w:sz w:val="22"/>
          <w:szCs w:val="22"/>
        </w:rPr>
        <w:t>Stenson</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KM</w:t>
      </w:r>
      <w:proofErr w:type="gramStart"/>
      <w:r w:rsidRPr="006052B4">
        <w:rPr>
          <w:rFonts w:asciiTheme="minorHAnsi" w:hAnsiTheme="minorHAnsi" w:cstheme="minorBidi"/>
          <w:sz w:val="22"/>
          <w:szCs w:val="22"/>
        </w:rPr>
        <w:t>,et</w:t>
      </w:r>
      <w:proofErr w:type="spellEnd"/>
      <w:proofErr w:type="gramEnd"/>
      <w:r w:rsidRPr="006052B4">
        <w:rPr>
          <w:rFonts w:asciiTheme="minorHAnsi" w:hAnsiTheme="minorHAnsi" w:cstheme="minorBidi"/>
          <w:sz w:val="22"/>
          <w:szCs w:val="22"/>
        </w:rPr>
        <w:t xml:space="preserve"> al. "Adjuvant chemotherapy prior to postoperative concurrent </w:t>
      </w:r>
      <w:proofErr w:type="spellStart"/>
      <w:r w:rsidRPr="006052B4">
        <w:rPr>
          <w:rFonts w:asciiTheme="minorHAnsi" w:hAnsiTheme="minorHAnsi" w:cstheme="minorBidi"/>
          <w:sz w:val="22"/>
          <w:szCs w:val="22"/>
        </w:rPr>
        <w:t>chemoradiotherapy</w:t>
      </w:r>
      <w:proofErr w:type="spellEnd"/>
      <w:r w:rsidRPr="006052B4">
        <w:rPr>
          <w:rFonts w:asciiTheme="minorHAnsi" w:hAnsiTheme="minorHAnsi" w:cstheme="minorBidi"/>
          <w:sz w:val="22"/>
          <w:szCs w:val="22"/>
        </w:rPr>
        <w:t xml:space="preserve"> for </w:t>
      </w:r>
      <w:proofErr w:type="spellStart"/>
      <w:r w:rsidRPr="006052B4">
        <w:rPr>
          <w:rFonts w:asciiTheme="minorHAnsi" w:hAnsiTheme="minorHAnsi" w:cstheme="minorBidi"/>
          <w:sz w:val="22"/>
          <w:szCs w:val="22"/>
        </w:rPr>
        <w:t>locoregionally</w:t>
      </w:r>
      <w:proofErr w:type="spellEnd"/>
      <w:r w:rsidRPr="006052B4">
        <w:rPr>
          <w:rFonts w:asciiTheme="minorHAnsi" w:hAnsiTheme="minorHAnsi" w:cstheme="minorBidi"/>
          <w:sz w:val="22"/>
          <w:szCs w:val="22"/>
        </w:rPr>
        <w:t xml:space="preserve"> advanced head and neck cancer.. </w:t>
      </w:r>
      <w:proofErr w:type="spellStart"/>
      <w:r w:rsidRPr="006052B4">
        <w:rPr>
          <w:rFonts w:asciiTheme="minorHAnsi" w:hAnsiTheme="minorHAnsi" w:cstheme="minorBidi"/>
          <w:sz w:val="22"/>
          <w:szCs w:val="22"/>
        </w:rPr>
        <w:t>Radiother</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Oncol</w:t>
      </w:r>
      <w:proofErr w:type="spellEnd"/>
      <w:r w:rsidRPr="006052B4">
        <w:rPr>
          <w:rFonts w:asciiTheme="minorHAnsi" w:hAnsiTheme="minorHAnsi" w:cstheme="minorBidi"/>
          <w:sz w:val="22"/>
          <w:szCs w:val="22"/>
        </w:rPr>
        <w:t>. 2010 Nov;97(2):318-21</w:t>
      </w:r>
    </w:p>
    <w:p w:rsidR="00C43B7C" w:rsidRPr="006052B4" w:rsidRDefault="00C43B7C" w:rsidP="00C43B7C">
      <w:pPr>
        <w:pStyle w:val="desc2"/>
        <w:numPr>
          <w:ilvl w:val="0"/>
          <w:numId w:val="1"/>
        </w:numPr>
        <w:shd w:val="clear" w:color="auto" w:fill="FFFFFF"/>
        <w:rPr>
          <w:rFonts w:asciiTheme="minorHAnsi" w:hAnsiTheme="minorHAnsi" w:cstheme="minorBidi"/>
          <w:sz w:val="22"/>
          <w:szCs w:val="22"/>
        </w:rPr>
      </w:pPr>
      <w:r w:rsidRPr="006052B4">
        <w:rPr>
          <w:rFonts w:asciiTheme="minorHAnsi" w:hAnsiTheme="minorHAnsi" w:cstheme="minorBidi"/>
          <w:sz w:val="22"/>
          <w:szCs w:val="22"/>
        </w:rPr>
        <w:t>Schultz JD, Bran G, Anders C, et al. "Induction chemotherapy with TPF (</w:t>
      </w:r>
      <w:proofErr w:type="spellStart"/>
      <w:r w:rsidRPr="006052B4">
        <w:rPr>
          <w:rFonts w:asciiTheme="minorHAnsi" w:hAnsiTheme="minorHAnsi" w:cstheme="minorBidi"/>
          <w:sz w:val="22"/>
          <w:szCs w:val="22"/>
        </w:rPr>
        <w:t>Docetaxel</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Carboplatin</w:t>
      </w:r>
      <w:proofErr w:type="spellEnd"/>
      <w:r w:rsidRPr="006052B4">
        <w:rPr>
          <w:rFonts w:asciiTheme="minorHAnsi" w:hAnsiTheme="minorHAnsi" w:cstheme="minorBidi"/>
          <w:sz w:val="22"/>
          <w:szCs w:val="22"/>
        </w:rPr>
        <w:t xml:space="preserve"> and Fluorouracil) in the treatment of locally advanced </w:t>
      </w:r>
      <w:proofErr w:type="spellStart"/>
      <w:r w:rsidRPr="006052B4">
        <w:rPr>
          <w:rFonts w:asciiTheme="minorHAnsi" w:hAnsiTheme="minorHAnsi" w:cstheme="minorBidi"/>
          <w:sz w:val="22"/>
          <w:szCs w:val="22"/>
        </w:rPr>
        <w:t>squamous</w:t>
      </w:r>
      <w:proofErr w:type="spellEnd"/>
      <w:r w:rsidRPr="006052B4">
        <w:rPr>
          <w:rFonts w:asciiTheme="minorHAnsi" w:hAnsiTheme="minorHAnsi" w:cstheme="minorBidi"/>
          <w:sz w:val="22"/>
          <w:szCs w:val="22"/>
        </w:rPr>
        <w:t xml:space="preserve"> cell carcinoma of the head and neck" </w:t>
      </w:r>
      <w:proofErr w:type="spellStart"/>
      <w:r w:rsidRPr="006052B4">
        <w:rPr>
          <w:rFonts w:asciiTheme="minorHAnsi" w:hAnsiTheme="minorHAnsi" w:cstheme="minorBidi"/>
          <w:sz w:val="22"/>
          <w:szCs w:val="22"/>
        </w:rPr>
        <w:t>Oncol</w:t>
      </w:r>
      <w:proofErr w:type="spellEnd"/>
      <w:r w:rsidRPr="006052B4">
        <w:rPr>
          <w:rFonts w:asciiTheme="minorHAnsi" w:hAnsiTheme="minorHAnsi" w:cstheme="minorBidi"/>
          <w:sz w:val="22"/>
          <w:szCs w:val="22"/>
        </w:rPr>
        <w:t xml:space="preserve"> Rep. 2010 Nov;24(5):1213-6</w:t>
      </w:r>
    </w:p>
    <w:p w:rsidR="00C43B7C" w:rsidRPr="006052B4" w:rsidRDefault="00C43B7C" w:rsidP="00C43B7C">
      <w:pPr>
        <w:pStyle w:val="desc2"/>
        <w:numPr>
          <w:ilvl w:val="0"/>
          <w:numId w:val="1"/>
        </w:numPr>
        <w:shd w:val="clear" w:color="auto" w:fill="FFFFFF"/>
        <w:rPr>
          <w:rFonts w:asciiTheme="minorHAnsi" w:hAnsiTheme="minorHAnsi" w:cstheme="minorBidi"/>
          <w:sz w:val="22"/>
          <w:szCs w:val="22"/>
        </w:rPr>
      </w:pPr>
      <w:r w:rsidRPr="006052B4">
        <w:rPr>
          <w:rFonts w:asciiTheme="minorHAnsi" w:hAnsiTheme="minorHAnsi" w:cstheme="minorBidi"/>
          <w:sz w:val="22"/>
          <w:szCs w:val="22"/>
        </w:rPr>
        <w:t xml:space="preserve">Haddad RI. </w:t>
      </w:r>
      <w:proofErr w:type="gramStart"/>
      <w:r w:rsidRPr="006052B4">
        <w:rPr>
          <w:rFonts w:asciiTheme="minorHAnsi" w:hAnsiTheme="minorHAnsi" w:cstheme="minorBidi"/>
          <w:sz w:val="22"/>
          <w:szCs w:val="22"/>
        </w:rPr>
        <w:t>" Randomized</w:t>
      </w:r>
      <w:proofErr w:type="gramEnd"/>
      <w:r w:rsidRPr="006052B4">
        <w:rPr>
          <w:rFonts w:asciiTheme="minorHAnsi" w:hAnsiTheme="minorHAnsi" w:cstheme="minorBidi"/>
          <w:sz w:val="22"/>
          <w:szCs w:val="22"/>
        </w:rPr>
        <w:t xml:space="preserve"> trial of induction chemotherapy with </w:t>
      </w:r>
      <w:proofErr w:type="spellStart"/>
      <w:r w:rsidRPr="006052B4">
        <w:rPr>
          <w:rFonts w:asciiTheme="minorHAnsi" w:hAnsiTheme="minorHAnsi" w:cstheme="minorBidi"/>
          <w:sz w:val="22"/>
          <w:szCs w:val="22"/>
        </w:rPr>
        <w:t>cisplatin</w:t>
      </w:r>
      <w:proofErr w:type="spellEnd"/>
      <w:r w:rsidRPr="006052B4">
        <w:rPr>
          <w:rFonts w:asciiTheme="minorHAnsi" w:hAnsiTheme="minorHAnsi" w:cstheme="minorBidi"/>
          <w:sz w:val="22"/>
          <w:szCs w:val="22"/>
        </w:rPr>
        <w:t xml:space="preserve"> and 5-fluorouracil with or without </w:t>
      </w:r>
      <w:proofErr w:type="spellStart"/>
      <w:r w:rsidRPr="006052B4">
        <w:rPr>
          <w:rFonts w:asciiTheme="minorHAnsi" w:hAnsiTheme="minorHAnsi" w:cstheme="minorBidi"/>
          <w:sz w:val="22"/>
          <w:szCs w:val="22"/>
        </w:rPr>
        <w:t>docetaxel</w:t>
      </w:r>
      <w:proofErr w:type="spellEnd"/>
      <w:r w:rsidRPr="006052B4">
        <w:rPr>
          <w:rFonts w:asciiTheme="minorHAnsi" w:hAnsiTheme="minorHAnsi" w:cstheme="minorBidi"/>
          <w:sz w:val="22"/>
          <w:szCs w:val="22"/>
        </w:rPr>
        <w:t xml:space="preserve"> for larynx preservation. J </w:t>
      </w:r>
      <w:proofErr w:type="spellStart"/>
      <w:r w:rsidRPr="006052B4">
        <w:rPr>
          <w:rFonts w:asciiTheme="minorHAnsi" w:hAnsiTheme="minorHAnsi" w:cstheme="minorBidi"/>
          <w:sz w:val="22"/>
          <w:szCs w:val="22"/>
        </w:rPr>
        <w:t>Natl</w:t>
      </w:r>
      <w:proofErr w:type="spellEnd"/>
      <w:r w:rsidRPr="006052B4">
        <w:rPr>
          <w:rFonts w:asciiTheme="minorHAnsi" w:hAnsiTheme="minorHAnsi" w:cstheme="minorBidi"/>
          <w:sz w:val="22"/>
          <w:szCs w:val="22"/>
        </w:rPr>
        <w:t xml:space="preserve"> Cancer Inst. 2009 Aug 19;101(16):1157-8</w:t>
      </w:r>
    </w:p>
    <w:p w:rsidR="00C43B7C" w:rsidRPr="006052B4" w:rsidRDefault="00C43B7C" w:rsidP="00C43B7C">
      <w:pPr>
        <w:pStyle w:val="desc2"/>
        <w:numPr>
          <w:ilvl w:val="0"/>
          <w:numId w:val="1"/>
        </w:numPr>
        <w:shd w:val="clear" w:color="auto" w:fill="FFFFFF"/>
        <w:rPr>
          <w:rFonts w:asciiTheme="minorHAnsi" w:hAnsiTheme="minorHAnsi" w:cstheme="minorBidi"/>
          <w:sz w:val="22"/>
          <w:szCs w:val="22"/>
        </w:rPr>
      </w:pPr>
      <w:proofErr w:type="spellStart"/>
      <w:r w:rsidRPr="006052B4">
        <w:rPr>
          <w:rFonts w:asciiTheme="minorHAnsi" w:hAnsiTheme="minorHAnsi" w:cstheme="minorBidi"/>
          <w:sz w:val="22"/>
          <w:szCs w:val="22"/>
        </w:rPr>
        <w:t>Adelstein</w:t>
      </w:r>
      <w:proofErr w:type="spellEnd"/>
      <w:r w:rsidRPr="006052B4">
        <w:rPr>
          <w:rFonts w:asciiTheme="minorHAnsi" w:hAnsiTheme="minorHAnsi" w:cstheme="minorBidi"/>
          <w:sz w:val="22"/>
          <w:szCs w:val="22"/>
        </w:rPr>
        <w:t xml:space="preserve"> DJ, Moon J, Hanna E, et </w:t>
      </w:r>
      <w:proofErr w:type="gramStart"/>
      <w:r w:rsidRPr="006052B4">
        <w:rPr>
          <w:rFonts w:asciiTheme="minorHAnsi" w:hAnsiTheme="minorHAnsi" w:cstheme="minorBidi"/>
          <w:sz w:val="22"/>
          <w:szCs w:val="22"/>
        </w:rPr>
        <w:t>al .</w:t>
      </w:r>
      <w:proofErr w:type="gram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Docetaxel</w:t>
      </w:r>
      <w:proofErr w:type="spellEnd"/>
      <w:r w:rsidRPr="006052B4">
        <w:rPr>
          <w:rFonts w:asciiTheme="minorHAnsi" w:hAnsiTheme="minorHAnsi" w:cstheme="minorBidi"/>
          <w:sz w:val="22"/>
          <w:szCs w:val="22"/>
        </w:rPr>
        <w:t xml:space="preserve">, </w:t>
      </w:r>
      <w:proofErr w:type="spellStart"/>
      <w:r w:rsidRPr="006052B4">
        <w:rPr>
          <w:rFonts w:asciiTheme="minorHAnsi" w:hAnsiTheme="minorHAnsi" w:cstheme="minorBidi"/>
          <w:sz w:val="22"/>
          <w:szCs w:val="22"/>
        </w:rPr>
        <w:t>cisplatin</w:t>
      </w:r>
      <w:proofErr w:type="spellEnd"/>
      <w:r w:rsidRPr="006052B4">
        <w:rPr>
          <w:rFonts w:asciiTheme="minorHAnsi" w:hAnsiTheme="minorHAnsi" w:cstheme="minorBidi"/>
          <w:sz w:val="22"/>
          <w:szCs w:val="22"/>
        </w:rPr>
        <w:t xml:space="preserve">, and fluorouracil induction chemotherapy followed by accelerated fractionation/concomitant boost radiation and concurrent </w:t>
      </w:r>
      <w:proofErr w:type="spellStart"/>
      <w:r w:rsidRPr="006052B4">
        <w:rPr>
          <w:rFonts w:asciiTheme="minorHAnsi" w:hAnsiTheme="minorHAnsi" w:cstheme="minorBidi"/>
          <w:sz w:val="22"/>
          <w:szCs w:val="22"/>
        </w:rPr>
        <w:t>cisplatin</w:t>
      </w:r>
      <w:proofErr w:type="spellEnd"/>
      <w:r w:rsidRPr="006052B4">
        <w:rPr>
          <w:rFonts w:asciiTheme="minorHAnsi" w:hAnsiTheme="minorHAnsi" w:cstheme="minorBidi"/>
          <w:sz w:val="22"/>
          <w:szCs w:val="22"/>
        </w:rPr>
        <w:t xml:space="preserve"> in patients with advanced </w:t>
      </w:r>
      <w:proofErr w:type="spellStart"/>
      <w:r w:rsidRPr="006052B4">
        <w:rPr>
          <w:rFonts w:asciiTheme="minorHAnsi" w:hAnsiTheme="minorHAnsi" w:cstheme="minorBidi"/>
          <w:sz w:val="22"/>
          <w:szCs w:val="22"/>
        </w:rPr>
        <w:t>squamous</w:t>
      </w:r>
      <w:proofErr w:type="spellEnd"/>
      <w:r w:rsidRPr="006052B4">
        <w:rPr>
          <w:rFonts w:asciiTheme="minorHAnsi" w:hAnsiTheme="minorHAnsi" w:cstheme="minorBidi"/>
          <w:sz w:val="22"/>
          <w:szCs w:val="22"/>
        </w:rPr>
        <w:t xml:space="preserve"> cell head and neck cancer: A Southwest Oncology Group phase II trial (S0216)." Head Neck. 2010 Feb;32(2):221-8</w:t>
      </w:r>
    </w:p>
    <w:p w:rsidR="00C43B7C" w:rsidRPr="006052B4" w:rsidRDefault="00C43B7C" w:rsidP="00C43B7C">
      <w:pPr>
        <w:pStyle w:val="desc2"/>
        <w:numPr>
          <w:ilvl w:val="0"/>
          <w:numId w:val="1"/>
        </w:numPr>
        <w:shd w:val="clear" w:color="auto" w:fill="FFFFFF"/>
        <w:rPr>
          <w:rFonts w:asciiTheme="minorHAnsi" w:hAnsiTheme="minorHAnsi" w:cstheme="minorBidi"/>
          <w:sz w:val="22"/>
          <w:szCs w:val="22"/>
        </w:rPr>
      </w:pPr>
      <w:proofErr w:type="spellStart"/>
      <w:r w:rsidRPr="006052B4">
        <w:rPr>
          <w:rFonts w:asciiTheme="minorHAnsi" w:hAnsiTheme="minorHAnsi" w:cstheme="minorBidi"/>
          <w:sz w:val="22"/>
          <w:szCs w:val="22"/>
        </w:rPr>
        <w:t>Fountzilas</w:t>
      </w:r>
      <w:proofErr w:type="spellEnd"/>
      <w:r w:rsidRPr="006052B4">
        <w:rPr>
          <w:rFonts w:asciiTheme="minorHAnsi" w:hAnsiTheme="minorHAnsi" w:cstheme="minorBidi"/>
          <w:sz w:val="22"/>
          <w:szCs w:val="22"/>
        </w:rPr>
        <w:t xml:space="preserve"> G, </w:t>
      </w:r>
      <w:proofErr w:type="spellStart"/>
      <w:r w:rsidRPr="006052B4">
        <w:rPr>
          <w:rFonts w:asciiTheme="minorHAnsi" w:hAnsiTheme="minorHAnsi" w:cstheme="minorBidi"/>
          <w:sz w:val="22"/>
          <w:szCs w:val="22"/>
        </w:rPr>
        <w:t>Bamias</w:t>
      </w:r>
      <w:proofErr w:type="spellEnd"/>
      <w:r w:rsidRPr="006052B4">
        <w:rPr>
          <w:rFonts w:asciiTheme="minorHAnsi" w:hAnsiTheme="minorHAnsi" w:cstheme="minorBidi"/>
          <w:sz w:val="22"/>
          <w:szCs w:val="22"/>
        </w:rPr>
        <w:t xml:space="preserve"> A, </w:t>
      </w:r>
      <w:proofErr w:type="spellStart"/>
      <w:r w:rsidRPr="006052B4">
        <w:rPr>
          <w:rFonts w:asciiTheme="minorHAnsi" w:hAnsiTheme="minorHAnsi" w:cstheme="minorBidi"/>
          <w:sz w:val="22"/>
          <w:szCs w:val="22"/>
        </w:rPr>
        <w:t>Kalogera-Fountzila</w:t>
      </w:r>
      <w:proofErr w:type="spellEnd"/>
      <w:r w:rsidRPr="006052B4">
        <w:rPr>
          <w:rFonts w:asciiTheme="minorHAnsi" w:hAnsiTheme="minorHAnsi" w:cstheme="minorBidi"/>
          <w:sz w:val="22"/>
          <w:szCs w:val="22"/>
        </w:rPr>
        <w:t xml:space="preserve"> A</w:t>
      </w:r>
      <w:r w:rsidRPr="006052B4">
        <w:rPr>
          <w:rStyle w:val="highlight1"/>
          <w:rFonts w:asciiTheme="minorHAnsi" w:hAnsiTheme="minorHAnsi" w:cstheme="minorBidi"/>
          <w:sz w:val="22"/>
          <w:szCs w:val="22"/>
        </w:rPr>
        <w:t xml:space="preserve"> et </w:t>
      </w:r>
      <w:proofErr w:type="gramStart"/>
      <w:r w:rsidRPr="006052B4">
        <w:rPr>
          <w:rStyle w:val="highlight1"/>
          <w:rFonts w:asciiTheme="minorHAnsi" w:hAnsiTheme="minorHAnsi" w:cstheme="minorBidi"/>
          <w:sz w:val="22"/>
          <w:szCs w:val="22"/>
        </w:rPr>
        <w:t>al .</w:t>
      </w:r>
      <w:proofErr w:type="gramEnd"/>
      <w:r w:rsidRPr="006052B4">
        <w:rPr>
          <w:rStyle w:val="highlight1"/>
          <w:rFonts w:asciiTheme="minorHAnsi" w:hAnsiTheme="minorHAnsi" w:cstheme="minorBidi"/>
          <w:sz w:val="22"/>
          <w:szCs w:val="22"/>
        </w:rPr>
        <w:t xml:space="preserve"> "Induction</w:t>
      </w:r>
      <w:r w:rsidRPr="006052B4">
        <w:rPr>
          <w:rFonts w:asciiTheme="minorHAnsi" w:hAnsiTheme="minorHAnsi" w:cstheme="minorBidi"/>
          <w:sz w:val="22"/>
          <w:szCs w:val="22"/>
        </w:rPr>
        <w:t xml:space="preserve"> </w:t>
      </w:r>
      <w:r w:rsidRPr="006052B4">
        <w:rPr>
          <w:rStyle w:val="highlight1"/>
          <w:rFonts w:asciiTheme="minorHAnsi" w:hAnsiTheme="minorHAnsi" w:cstheme="minorBidi"/>
          <w:sz w:val="22"/>
          <w:szCs w:val="22"/>
        </w:rPr>
        <w:t>chemot</w:t>
      </w:r>
      <w:r w:rsidRPr="006052B4">
        <w:rPr>
          <w:rFonts w:asciiTheme="minorHAnsi" w:hAnsiTheme="minorHAnsi" w:cstheme="minorBidi"/>
          <w:sz w:val="22"/>
          <w:szCs w:val="22"/>
        </w:rPr>
        <w:t xml:space="preserve">herapy with </w:t>
      </w:r>
      <w:proofErr w:type="spellStart"/>
      <w:r w:rsidRPr="006052B4">
        <w:rPr>
          <w:rFonts w:asciiTheme="minorHAnsi" w:hAnsiTheme="minorHAnsi" w:cstheme="minorBidi"/>
          <w:sz w:val="22"/>
          <w:szCs w:val="22"/>
        </w:rPr>
        <w:t>docetaxel</w:t>
      </w:r>
      <w:proofErr w:type="spellEnd"/>
      <w:r w:rsidRPr="006052B4">
        <w:rPr>
          <w:rFonts w:asciiTheme="minorHAnsi" w:hAnsiTheme="minorHAnsi" w:cstheme="minorBidi"/>
          <w:sz w:val="22"/>
          <w:szCs w:val="22"/>
        </w:rPr>
        <w:t xml:space="preserve"> and </w:t>
      </w:r>
      <w:proofErr w:type="spellStart"/>
      <w:r w:rsidRPr="006052B4">
        <w:rPr>
          <w:rFonts w:asciiTheme="minorHAnsi" w:hAnsiTheme="minorHAnsi" w:cstheme="minorBidi"/>
          <w:sz w:val="22"/>
          <w:szCs w:val="22"/>
        </w:rPr>
        <w:t>cisplatin</w:t>
      </w:r>
      <w:proofErr w:type="spellEnd"/>
      <w:r w:rsidRPr="006052B4">
        <w:rPr>
          <w:rFonts w:asciiTheme="minorHAnsi" w:hAnsiTheme="minorHAnsi" w:cstheme="minorBidi"/>
          <w:sz w:val="22"/>
          <w:szCs w:val="22"/>
        </w:rPr>
        <w:t xml:space="preserve"> followed by concomitant </w:t>
      </w:r>
      <w:proofErr w:type="spellStart"/>
      <w:r w:rsidRPr="006052B4">
        <w:rPr>
          <w:rFonts w:asciiTheme="minorHAnsi" w:hAnsiTheme="minorHAnsi" w:cstheme="minorBidi"/>
          <w:sz w:val="22"/>
          <w:szCs w:val="22"/>
        </w:rPr>
        <w:t>chemoradiotherapy</w:t>
      </w:r>
      <w:proofErr w:type="spellEnd"/>
      <w:r w:rsidRPr="006052B4">
        <w:rPr>
          <w:rFonts w:asciiTheme="minorHAnsi" w:hAnsiTheme="minorHAnsi" w:cstheme="minorBidi"/>
          <w:sz w:val="22"/>
          <w:szCs w:val="22"/>
        </w:rPr>
        <w:t xml:space="preserve"> in patients with inoperable non-nasopharyngeal carcinoma of the head and neck." Anticancer Res. 2009 Feb;29(2):529-38</w:t>
      </w:r>
    </w:p>
    <w:p w:rsidR="00C43B7C" w:rsidRPr="006052B4" w:rsidRDefault="00C43B7C" w:rsidP="00C43B7C">
      <w:pPr>
        <w:pStyle w:val="desc2"/>
        <w:numPr>
          <w:ilvl w:val="0"/>
          <w:numId w:val="1"/>
        </w:numPr>
        <w:shd w:val="clear" w:color="auto" w:fill="FFFFFF"/>
        <w:rPr>
          <w:rFonts w:asciiTheme="minorHAnsi" w:hAnsiTheme="minorHAnsi" w:cs="Arial"/>
          <w:sz w:val="22"/>
          <w:szCs w:val="22"/>
        </w:rPr>
      </w:pPr>
      <w:proofErr w:type="spellStart"/>
      <w:r w:rsidRPr="006052B4">
        <w:rPr>
          <w:rFonts w:asciiTheme="minorHAnsi" w:hAnsiTheme="minorHAnsi" w:cs="Arial"/>
          <w:sz w:val="22"/>
          <w:szCs w:val="22"/>
        </w:rPr>
        <w:t>Rapidis</w:t>
      </w:r>
      <w:proofErr w:type="spellEnd"/>
      <w:r w:rsidRPr="006052B4">
        <w:rPr>
          <w:rFonts w:asciiTheme="minorHAnsi" w:hAnsiTheme="minorHAnsi" w:cs="Arial"/>
          <w:sz w:val="22"/>
          <w:szCs w:val="22"/>
        </w:rPr>
        <w:t xml:space="preserve"> A, </w:t>
      </w:r>
      <w:proofErr w:type="spellStart"/>
      <w:r w:rsidRPr="006052B4">
        <w:rPr>
          <w:rFonts w:asciiTheme="minorHAnsi" w:hAnsiTheme="minorHAnsi" w:cs="Arial"/>
          <w:sz w:val="22"/>
          <w:szCs w:val="22"/>
        </w:rPr>
        <w:t>Sarlis</w:t>
      </w:r>
      <w:proofErr w:type="spellEnd"/>
      <w:r w:rsidRPr="006052B4">
        <w:rPr>
          <w:rFonts w:asciiTheme="minorHAnsi" w:hAnsiTheme="minorHAnsi" w:cs="Arial"/>
          <w:sz w:val="22"/>
          <w:szCs w:val="22"/>
        </w:rPr>
        <w:t xml:space="preserve"> N, Lefebvre JL, </w:t>
      </w:r>
      <w:proofErr w:type="spellStart"/>
      <w:r w:rsidRPr="006052B4">
        <w:rPr>
          <w:rFonts w:asciiTheme="minorHAnsi" w:hAnsiTheme="minorHAnsi" w:cs="Arial"/>
          <w:sz w:val="22"/>
          <w:szCs w:val="22"/>
        </w:rPr>
        <w:t>Kies</w:t>
      </w:r>
      <w:proofErr w:type="spellEnd"/>
      <w:r w:rsidRPr="006052B4">
        <w:rPr>
          <w:rFonts w:asciiTheme="minorHAnsi" w:hAnsiTheme="minorHAnsi" w:cs="Arial"/>
          <w:sz w:val="22"/>
          <w:szCs w:val="22"/>
        </w:rPr>
        <w:t xml:space="preserve"> M." </w:t>
      </w:r>
      <w:proofErr w:type="spellStart"/>
      <w:r w:rsidRPr="006052B4">
        <w:rPr>
          <w:rStyle w:val="highlight1"/>
          <w:rFonts w:asciiTheme="minorHAnsi" w:hAnsiTheme="minorHAnsi" w:cs="Arial"/>
          <w:sz w:val="22"/>
          <w:szCs w:val="22"/>
        </w:rPr>
        <w:t>Docetaxel</w:t>
      </w:r>
      <w:proofErr w:type="spellEnd"/>
      <w:r w:rsidRPr="006052B4">
        <w:rPr>
          <w:rFonts w:asciiTheme="minorHAnsi" w:hAnsiTheme="minorHAnsi" w:cs="Arial"/>
          <w:sz w:val="22"/>
          <w:szCs w:val="22"/>
        </w:rPr>
        <w:t xml:space="preserve"> in the treatment of </w:t>
      </w:r>
      <w:proofErr w:type="spellStart"/>
      <w:r w:rsidRPr="006052B4">
        <w:rPr>
          <w:rFonts w:asciiTheme="minorHAnsi" w:hAnsiTheme="minorHAnsi" w:cs="Arial"/>
          <w:sz w:val="22"/>
          <w:szCs w:val="22"/>
        </w:rPr>
        <w:t>squamous</w:t>
      </w:r>
      <w:proofErr w:type="spellEnd"/>
      <w:r w:rsidRPr="006052B4">
        <w:rPr>
          <w:rFonts w:asciiTheme="minorHAnsi" w:hAnsiTheme="minorHAnsi" w:cs="Arial"/>
          <w:sz w:val="22"/>
          <w:szCs w:val="22"/>
        </w:rPr>
        <w:t xml:space="preserve"> cell </w:t>
      </w:r>
      <w:r w:rsidRPr="006052B4">
        <w:rPr>
          <w:rStyle w:val="highlight1"/>
          <w:rFonts w:asciiTheme="minorHAnsi" w:hAnsiTheme="minorHAnsi" w:cs="Arial"/>
          <w:sz w:val="22"/>
          <w:szCs w:val="22"/>
        </w:rPr>
        <w:t>carcinoma</w:t>
      </w:r>
      <w:r w:rsidRPr="006052B4">
        <w:rPr>
          <w:rFonts w:asciiTheme="minorHAnsi" w:hAnsiTheme="minorHAnsi" w:cs="Arial"/>
          <w:sz w:val="22"/>
          <w:szCs w:val="22"/>
        </w:rPr>
        <w:t xml:space="preserve"> of the </w:t>
      </w:r>
      <w:r w:rsidRPr="006052B4">
        <w:rPr>
          <w:rStyle w:val="highlight1"/>
          <w:rFonts w:asciiTheme="minorHAnsi" w:hAnsiTheme="minorHAnsi" w:cs="Arial"/>
          <w:sz w:val="22"/>
          <w:szCs w:val="22"/>
        </w:rPr>
        <w:t>head and neck</w:t>
      </w:r>
      <w:r w:rsidRPr="006052B4">
        <w:rPr>
          <w:rFonts w:asciiTheme="minorHAnsi" w:hAnsiTheme="minorHAnsi" w:cs="Arial"/>
          <w:sz w:val="22"/>
          <w:szCs w:val="22"/>
        </w:rPr>
        <w:t>.</w:t>
      </w:r>
      <w:r w:rsidRPr="006052B4">
        <w:rPr>
          <w:rStyle w:val="jrnl"/>
          <w:rFonts w:asciiTheme="minorHAnsi" w:hAnsiTheme="minorHAnsi" w:cs="Arial"/>
          <w:sz w:val="22"/>
          <w:szCs w:val="22"/>
        </w:rPr>
        <w:t xml:space="preserve"> </w:t>
      </w:r>
      <w:proofErr w:type="spellStart"/>
      <w:r w:rsidRPr="006052B4">
        <w:rPr>
          <w:rStyle w:val="jrnl"/>
          <w:rFonts w:asciiTheme="minorHAnsi" w:hAnsiTheme="minorHAnsi" w:cs="Arial"/>
          <w:sz w:val="22"/>
          <w:szCs w:val="22"/>
        </w:rPr>
        <w:t>Ther</w:t>
      </w:r>
      <w:proofErr w:type="spellEnd"/>
      <w:r w:rsidRPr="006052B4">
        <w:rPr>
          <w:rStyle w:val="jrnl"/>
          <w:rFonts w:asciiTheme="minorHAnsi" w:hAnsiTheme="minorHAnsi" w:cs="Arial"/>
          <w:sz w:val="22"/>
          <w:szCs w:val="22"/>
        </w:rPr>
        <w:t xml:space="preserve"> </w:t>
      </w:r>
      <w:proofErr w:type="spellStart"/>
      <w:r w:rsidRPr="006052B4">
        <w:rPr>
          <w:rStyle w:val="jrnl"/>
          <w:rFonts w:asciiTheme="minorHAnsi" w:hAnsiTheme="minorHAnsi" w:cs="Arial"/>
          <w:sz w:val="22"/>
          <w:szCs w:val="22"/>
        </w:rPr>
        <w:t>Clin</w:t>
      </w:r>
      <w:proofErr w:type="spellEnd"/>
      <w:r w:rsidRPr="006052B4">
        <w:rPr>
          <w:rStyle w:val="jrnl"/>
          <w:rFonts w:asciiTheme="minorHAnsi" w:hAnsiTheme="minorHAnsi" w:cs="Arial"/>
          <w:sz w:val="22"/>
          <w:szCs w:val="22"/>
        </w:rPr>
        <w:t xml:space="preserve"> Risk </w:t>
      </w:r>
      <w:proofErr w:type="spellStart"/>
      <w:r w:rsidRPr="006052B4">
        <w:rPr>
          <w:rStyle w:val="jrnl"/>
          <w:rFonts w:asciiTheme="minorHAnsi" w:hAnsiTheme="minorHAnsi" w:cs="Arial"/>
          <w:sz w:val="22"/>
          <w:szCs w:val="22"/>
        </w:rPr>
        <w:t>Manag</w:t>
      </w:r>
      <w:proofErr w:type="spellEnd"/>
      <w:r w:rsidRPr="006052B4">
        <w:rPr>
          <w:rFonts w:asciiTheme="minorHAnsi" w:hAnsiTheme="minorHAnsi" w:cs="Arial"/>
          <w:sz w:val="22"/>
          <w:szCs w:val="22"/>
        </w:rPr>
        <w:t>. 2008 Oct</w:t>
      </w:r>
      <w:proofErr w:type="gramStart"/>
      <w:r w:rsidRPr="006052B4">
        <w:rPr>
          <w:rFonts w:asciiTheme="minorHAnsi" w:hAnsiTheme="minorHAnsi" w:cs="Arial"/>
          <w:sz w:val="22"/>
          <w:szCs w:val="22"/>
        </w:rPr>
        <w:t>;4</w:t>
      </w:r>
      <w:proofErr w:type="gramEnd"/>
      <w:r w:rsidRPr="006052B4">
        <w:rPr>
          <w:rFonts w:asciiTheme="minorHAnsi" w:hAnsiTheme="minorHAnsi" w:cs="Arial"/>
          <w:sz w:val="22"/>
          <w:szCs w:val="22"/>
        </w:rPr>
        <w:t>(5):865-86.</w:t>
      </w:r>
    </w:p>
    <w:p w:rsidR="00C43B7C" w:rsidRPr="006052B4" w:rsidRDefault="00C43B7C" w:rsidP="00C43B7C">
      <w:pPr>
        <w:pStyle w:val="desc2"/>
        <w:numPr>
          <w:ilvl w:val="0"/>
          <w:numId w:val="1"/>
        </w:numPr>
        <w:shd w:val="clear" w:color="auto" w:fill="FFFFFF"/>
        <w:rPr>
          <w:rFonts w:asciiTheme="minorHAnsi" w:hAnsiTheme="minorHAnsi" w:cs="Arial"/>
          <w:sz w:val="22"/>
          <w:szCs w:val="22"/>
        </w:rPr>
      </w:pPr>
      <w:proofErr w:type="spellStart"/>
      <w:r w:rsidRPr="006052B4">
        <w:rPr>
          <w:rFonts w:asciiTheme="minorHAnsi" w:hAnsiTheme="minorHAnsi" w:cs="Arial"/>
          <w:sz w:val="22"/>
          <w:szCs w:val="22"/>
        </w:rPr>
        <w:t>Kamnerdsupaphon</w:t>
      </w:r>
      <w:proofErr w:type="spellEnd"/>
      <w:r w:rsidRPr="006052B4">
        <w:rPr>
          <w:rFonts w:asciiTheme="minorHAnsi" w:hAnsiTheme="minorHAnsi" w:cs="Arial"/>
          <w:sz w:val="22"/>
          <w:szCs w:val="22"/>
        </w:rPr>
        <w:t xml:space="preserve"> P, </w:t>
      </w:r>
      <w:proofErr w:type="spellStart"/>
      <w:r w:rsidRPr="006052B4">
        <w:rPr>
          <w:rFonts w:asciiTheme="minorHAnsi" w:hAnsiTheme="minorHAnsi" w:cs="Arial"/>
          <w:sz w:val="22"/>
          <w:szCs w:val="22"/>
        </w:rPr>
        <w:t>Chitapanarux</w:t>
      </w:r>
      <w:proofErr w:type="spellEnd"/>
      <w:r w:rsidRPr="006052B4">
        <w:rPr>
          <w:rFonts w:asciiTheme="minorHAnsi" w:hAnsiTheme="minorHAnsi" w:cs="Arial"/>
          <w:sz w:val="22"/>
          <w:szCs w:val="22"/>
        </w:rPr>
        <w:t xml:space="preserve"> I, </w:t>
      </w:r>
      <w:proofErr w:type="spellStart"/>
      <w:r w:rsidRPr="006052B4">
        <w:rPr>
          <w:rFonts w:asciiTheme="minorHAnsi" w:hAnsiTheme="minorHAnsi" w:cs="Arial"/>
          <w:sz w:val="22"/>
          <w:szCs w:val="22"/>
        </w:rPr>
        <w:t>Lorvidhaya</w:t>
      </w:r>
      <w:proofErr w:type="spellEnd"/>
      <w:r w:rsidRPr="006052B4">
        <w:rPr>
          <w:rFonts w:asciiTheme="minorHAnsi" w:hAnsiTheme="minorHAnsi" w:cs="Arial"/>
          <w:sz w:val="22"/>
          <w:szCs w:val="22"/>
        </w:rPr>
        <w:t xml:space="preserve"> V, et al. </w:t>
      </w:r>
      <w:proofErr w:type="gramStart"/>
      <w:r w:rsidRPr="006052B4">
        <w:rPr>
          <w:rFonts w:asciiTheme="minorHAnsi" w:hAnsiTheme="minorHAnsi" w:cs="Arial"/>
          <w:sz w:val="22"/>
          <w:szCs w:val="22"/>
        </w:rPr>
        <w:t xml:space="preserve">" </w:t>
      </w:r>
      <w:proofErr w:type="spellStart"/>
      <w:r w:rsidRPr="006052B4">
        <w:rPr>
          <w:rFonts w:asciiTheme="minorHAnsi" w:hAnsiTheme="minorHAnsi" w:cs="Arial"/>
          <w:sz w:val="22"/>
          <w:szCs w:val="22"/>
        </w:rPr>
        <w:t>Taxotere</w:t>
      </w:r>
      <w:proofErr w:type="spellEnd"/>
      <w:proofErr w:type="gramEnd"/>
      <w:r w:rsidRPr="006052B4">
        <w:rPr>
          <w:rFonts w:asciiTheme="minorHAnsi" w:hAnsiTheme="minorHAnsi" w:cs="Arial"/>
          <w:sz w:val="22"/>
          <w:szCs w:val="22"/>
        </w:rPr>
        <w:t xml:space="preserve">, </w:t>
      </w:r>
      <w:proofErr w:type="spellStart"/>
      <w:r w:rsidRPr="006052B4">
        <w:rPr>
          <w:rFonts w:asciiTheme="minorHAnsi" w:hAnsiTheme="minorHAnsi" w:cs="Arial"/>
          <w:sz w:val="22"/>
          <w:szCs w:val="22"/>
        </w:rPr>
        <w:t>cisplatin</w:t>
      </w:r>
      <w:proofErr w:type="spellEnd"/>
      <w:r w:rsidRPr="006052B4">
        <w:rPr>
          <w:rFonts w:asciiTheme="minorHAnsi" w:hAnsiTheme="minorHAnsi" w:cs="Arial"/>
          <w:sz w:val="22"/>
          <w:szCs w:val="22"/>
        </w:rPr>
        <w:t xml:space="preserve">, fluorouracil, and </w:t>
      </w:r>
      <w:proofErr w:type="spellStart"/>
      <w:r w:rsidRPr="006052B4">
        <w:rPr>
          <w:rFonts w:asciiTheme="minorHAnsi" w:hAnsiTheme="minorHAnsi" w:cs="Arial"/>
          <w:sz w:val="22"/>
          <w:szCs w:val="22"/>
        </w:rPr>
        <w:t>leucovorin</w:t>
      </w:r>
      <w:proofErr w:type="spellEnd"/>
      <w:r w:rsidRPr="006052B4">
        <w:rPr>
          <w:rFonts w:asciiTheme="minorHAnsi" w:hAnsiTheme="minorHAnsi" w:cs="Arial"/>
          <w:sz w:val="22"/>
          <w:szCs w:val="22"/>
        </w:rPr>
        <w:t xml:space="preserve"> (TPFL)as </w:t>
      </w:r>
      <w:r w:rsidRPr="006052B4">
        <w:rPr>
          <w:rStyle w:val="highlight1"/>
          <w:rFonts w:asciiTheme="minorHAnsi" w:hAnsiTheme="minorHAnsi" w:cs="Arial"/>
          <w:sz w:val="22"/>
          <w:szCs w:val="22"/>
        </w:rPr>
        <w:t>induction</w:t>
      </w:r>
      <w:r w:rsidRPr="006052B4">
        <w:rPr>
          <w:rFonts w:asciiTheme="minorHAnsi" w:hAnsiTheme="minorHAnsi" w:cs="Arial"/>
          <w:sz w:val="22"/>
          <w:szCs w:val="22"/>
        </w:rPr>
        <w:t xml:space="preserve"> </w:t>
      </w:r>
      <w:r w:rsidRPr="006052B4">
        <w:rPr>
          <w:rStyle w:val="highlight1"/>
          <w:rFonts w:asciiTheme="minorHAnsi" w:hAnsiTheme="minorHAnsi" w:cs="Arial"/>
          <w:sz w:val="22"/>
          <w:szCs w:val="22"/>
        </w:rPr>
        <w:t>chemotherapy</w:t>
      </w:r>
      <w:r w:rsidRPr="006052B4">
        <w:rPr>
          <w:rFonts w:asciiTheme="minorHAnsi" w:hAnsiTheme="minorHAnsi" w:cs="Arial"/>
          <w:sz w:val="22"/>
          <w:szCs w:val="22"/>
        </w:rPr>
        <w:t xml:space="preserve"> for locally advanced </w:t>
      </w:r>
      <w:proofErr w:type="spellStart"/>
      <w:r w:rsidRPr="006052B4">
        <w:rPr>
          <w:rFonts w:asciiTheme="minorHAnsi" w:hAnsiTheme="minorHAnsi" w:cs="Arial"/>
          <w:sz w:val="22"/>
          <w:szCs w:val="22"/>
        </w:rPr>
        <w:t>squamous</w:t>
      </w:r>
      <w:proofErr w:type="spellEnd"/>
      <w:r w:rsidRPr="006052B4">
        <w:rPr>
          <w:rFonts w:asciiTheme="minorHAnsi" w:hAnsiTheme="minorHAnsi" w:cs="Arial"/>
          <w:sz w:val="22"/>
          <w:szCs w:val="22"/>
        </w:rPr>
        <w:t xml:space="preserve"> cell </w:t>
      </w:r>
      <w:r w:rsidRPr="006052B4">
        <w:rPr>
          <w:rStyle w:val="highlight1"/>
          <w:rFonts w:asciiTheme="minorHAnsi" w:hAnsiTheme="minorHAnsi" w:cs="Arial"/>
          <w:sz w:val="22"/>
          <w:szCs w:val="22"/>
        </w:rPr>
        <w:t>carcinoma</w:t>
      </w:r>
      <w:r w:rsidRPr="006052B4">
        <w:rPr>
          <w:rFonts w:asciiTheme="minorHAnsi" w:hAnsiTheme="minorHAnsi" w:cs="Arial"/>
          <w:sz w:val="22"/>
          <w:szCs w:val="22"/>
        </w:rPr>
        <w:t xml:space="preserve"> of the </w:t>
      </w:r>
      <w:r w:rsidRPr="006052B4">
        <w:rPr>
          <w:rStyle w:val="highlight1"/>
          <w:rFonts w:asciiTheme="minorHAnsi" w:hAnsiTheme="minorHAnsi" w:cs="Arial"/>
          <w:sz w:val="22"/>
          <w:szCs w:val="22"/>
        </w:rPr>
        <w:t xml:space="preserve">head and neck" </w:t>
      </w:r>
      <w:r w:rsidRPr="006052B4">
        <w:rPr>
          <w:rStyle w:val="jrnl"/>
          <w:rFonts w:asciiTheme="minorHAnsi" w:hAnsiTheme="minorHAnsi" w:cs="Arial"/>
          <w:sz w:val="22"/>
          <w:szCs w:val="22"/>
        </w:rPr>
        <w:t xml:space="preserve"> </w:t>
      </w:r>
      <w:proofErr w:type="spellStart"/>
      <w:r w:rsidRPr="006052B4">
        <w:rPr>
          <w:rStyle w:val="jrnl"/>
          <w:rFonts w:asciiTheme="minorHAnsi" w:hAnsiTheme="minorHAnsi" w:cs="Arial"/>
          <w:sz w:val="22"/>
          <w:szCs w:val="22"/>
        </w:rPr>
        <w:t>Gan</w:t>
      </w:r>
      <w:proofErr w:type="spellEnd"/>
      <w:r w:rsidRPr="006052B4">
        <w:rPr>
          <w:rStyle w:val="jrnl"/>
          <w:rFonts w:asciiTheme="minorHAnsi" w:hAnsiTheme="minorHAnsi" w:cs="Arial"/>
          <w:sz w:val="22"/>
          <w:szCs w:val="22"/>
        </w:rPr>
        <w:t xml:space="preserve"> To Kagaku </w:t>
      </w:r>
      <w:proofErr w:type="spellStart"/>
      <w:r w:rsidRPr="006052B4">
        <w:rPr>
          <w:rStyle w:val="jrnl"/>
          <w:rFonts w:asciiTheme="minorHAnsi" w:hAnsiTheme="minorHAnsi" w:cs="Arial"/>
          <w:sz w:val="22"/>
          <w:szCs w:val="22"/>
        </w:rPr>
        <w:t>Ryoho</w:t>
      </w:r>
      <w:proofErr w:type="spellEnd"/>
      <w:r w:rsidRPr="006052B4">
        <w:rPr>
          <w:rFonts w:asciiTheme="minorHAnsi" w:hAnsiTheme="minorHAnsi" w:cs="Arial"/>
          <w:sz w:val="22"/>
          <w:szCs w:val="22"/>
        </w:rPr>
        <w:t>. 2008 Nov;35(11):1869-73</w:t>
      </w:r>
    </w:p>
    <w:p w:rsidR="00C43B7C" w:rsidRPr="006052B4" w:rsidRDefault="00C43B7C" w:rsidP="00C43B7C">
      <w:pPr>
        <w:pStyle w:val="desc2"/>
        <w:numPr>
          <w:ilvl w:val="0"/>
          <w:numId w:val="1"/>
        </w:numPr>
        <w:shd w:val="clear" w:color="auto" w:fill="FFFFFF"/>
        <w:rPr>
          <w:rStyle w:val="highlight1"/>
          <w:rFonts w:asciiTheme="minorHAnsi" w:hAnsiTheme="minorHAnsi" w:cs="Arial"/>
          <w:sz w:val="22"/>
          <w:szCs w:val="22"/>
        </w:rPr>
      </w:pPr>
      <w:proofErr w:type="spellStart"/>
      <w:r w:rsidRPr="006052B4">
        <w:rPr>
          <w:rStyle w:val="highlight1"/>
          <w:rFonts w:asciiTheme="minorHAnsi" w:hAnsiTheme="minorHAnsi"/>
          <w:sz w:val="22"/>
          <w:szCs w:val="22"/>
        </w:rPr>
        <w:t>Barone</w:t>
      </w:r>
      <w:proofErr w:type="spellEnd"/>
      <w:r w:rsidRPr="006052B4">
        <w:rPr>
          <w:rStyle w:val="highlight1"/>
          <w:rFonts w:asciiTheme="minorHAnsi" w:hAnsiTheme="minorHAnsi"/>
          <w:sz w:val="22"/>
          <w:szCs w:val="22"/>
        </w:rPr>
        <w:t xml:space="preserve"> C, </w:t>
      </w:r>
      <w:proofErr w:type="spellStart"/>
      <w:r w:rsidRPr="006052B4">
        <w:rPr>
          <w:rStyle w:val="highlight1"/>
          <w:rFonts w:asciiTheme="minorHAnsi" w:hAnsiTheme="minorHAnsi"/>
          <w:sz w:val="22"/>
          <w:szCs w:val="22"/>
        </w:rPr>
        <w:t>Grillo</w:t>
      </w:r>
      <w:proofErr w:type="spellEnd"/>
      <w:r w:rsidRPr="006052B4">
        <w:rPr>
          <w:rStyle w:val="highlight1"/>
          <w:rFonts w:asciiTheme="minorHAnsi" w:hAnsiTheme="minorHAnsi"/>
          <w:sz w:val="22"/>
          <w:szCs w:val="22"/>
        </w:rPr>
        <w:t xml:space="preserve"> R, </w:t>
      </w:r>
      <w:proofErr w:type="spellStart"/>
      <w:r w:rsidRPr="006052B4">
        <w:rPr>
          <w:rStyle w:val="highlight1"/>
          <w:rFonts w:asciiTheme="minorHAnsi" w:hAnsiTheme="minorHAnsi"/>
          <w:sz w:val="22"/>
          <w:szCs w:val="22"/>
        </w:rPr>
        <w:t>Dongiovanni</w:t>
      </w:r>
      <w:proofErr w:type="spellEnd"/>
      <w:r w:rsidRPr="006052B4">
        <w:rPr>
          <w:rStyle w:val="highlight1"/>
          <w:rFonts w:asciiTheme="minorHAnsi" w:hAnsiTheme="minorHAnsi"/>
          <w:sz w:val="22"/>
          <w:szCs w:val="22"/>
        </w:rPr>
        <w:t xml:space="preserve"> D, </w:t>
      </w:r>
      <w:proofErr w:type="spellStart"/>
      <w:r w:rsidRPr="006052B4">
        <w:rPr>
          <w:rStyle w:val="highlight1"/>
          <w:rFonts w:asciiTheme="minorHAnsi" w:hAnsiTheme="minorHAnsi"/>
          <w:sz w:val="22"/>
          <w:szCs w:val="22"/>
        </w:rPr>
        <w:t>Birocco</w:t>
      </w:r>
      <w:proofErr w:type="spellEnd"/>
      <w:r w:rsidRPr="006052B4">
        <w:rPr>
          <w:rStyle w:val="highlight1"/>
          <w:rFonts w:asciiTheme="minorHAnsi" w:hAnsiTheme="minorHAnsi"/>
          <w:sz w:val="22"/>
          <w:szCs w:val="22"/>
        </w:rPr>
        <w:t xml:space="preserve"> </w:t>
      </w:r>
      <w:proofErr w:type="spellStart"/>
      <w:r w:rsidRPr="006052B4">
        <w:rPr>
          <w:rStyle w:val="highlight1"/>
          <w:rFonts w:asciiTheme="minorHAnsi" w:hAnsiTheme="minorHAnsi"/>
          <w:sz w:val="22"/>
          <w:szCs w:val="22"/>
        </w:rPr>
        <w:t>N,</w:t>
      </w:r>
      <w:r w:rsidRPr="006052B4">
        <w:rPr>
          <w:rStyle w:val="highlight1"/>
          <w:rFonts w:asciiTheme="minorHAnsi" w:hAnsiTheme="minorHAnsi" w:cs="Arial"/>
          <w:sz w:val="22"/>
          <w:szCs w:val="22"/>
        </w:rPr>
        <w:t>et</w:t>
      </w:r>
      <w:proofErr w:type="spellEnd"/>
      <w:r w:rsidRPr="006052B4">
        <w:rPr>
          <w:rStyle w:val="highlight1"/>
          <w:rFonts w:asciiTheme="minorHAnsi" w:hAnsiTheme="minorHAnsi" w:cs="Arial"/>
          <w:sz w:val="22"/>
          <w:szCs w:val="22"/>
        </w:rPr>
        <w:t xml:space="preserve"> al. "Induction</w:t>
      </w:r>
      <w:r w:rsidRPr="006052B4">
        <w:rPr>
          <w:rStyle w:val="highlight1"/>
          <w:rFonts w:asciiTheme="minorHAnsi" w:hAnsiTheme="minorHAnsi"/>
          <w:sz w:val="22"/>
          <w:szCs w:val="22"/>
        </w:rPr>
        <w:t xml:space="preserve"> </w:t>
      </w:r>
      <w:r w:rsidRPr="006052B4">
        <w:rPr>
          <w:rStyle w:val="highlight1"/>
          <w:rFonts w:asciiTheme="minorHAnsi" w:hAnsiTheme="minorHAnsi" w:cs="Arial"/>
          <w:sz w:val="22"/>
          <w:szCs w:val="22"/>
        </w:rPr>
        <w:t>chemotherapy</w:t>
      </w:r>
      <w:r w:rsidRPr="006052B4">
        <w:rPr>
          <w:rStyle w:val="highlight1"/>
          <w:rFonts w:asciiTheme="minorHAnsi" w:hAnsiTheme="minorHAnsi"/>
          <w:sz w:val="22"/>
          <w:szCs w:val="22"/>
        </w:rPr>
        <w:t xml:space="preserve"> followed by concurrent </w:t>
      </w:r>
      <w:proofErr w:type="spellStart"/>
      <w:r w:rsidRPr="006052B4">
        <w:rPr>
          <w:rStyle w:val="highlight1"/>
          <w:rFonts w:asciiTheme="minorHAnsi" w:hAnsiTheme="minorHAnsi"/>
          <w:sz w:val="22"/>
          <w:szCs w:val="22"/>
        </w:rPr>
        <w:t>chemoradiotherapy</w:t>
      </w:r>
      <w:proofErr w:type="spellEnd"/>
      <w:r w:rsidRPr="006052B4">
        <w:rPr>
          <w:rStyle w:val="highlight1"/>
          <w:rFonts w:asciiTheme="minorHAnsi" w:hAnsiTheme="minorHAnsi"/>
          <w:sz w:val="22"/>
          <w:szCs w:val="22"/>
        </w:rPr>
        <w:t xml:space="preserve"> in advanced </w:t>
      </w:r>
      <w:r w:rsidRPr="006052B4">
        <w:rPr>
          <w:rStyle w:val="highlight1"/>
          <w:rFonts w:asciiTheme="minorHAnsi" w:hAnsiTheme="minorHAnsi" w:cs="Arial"/>
          <w:sz w:val="22"/>
          <w:szCs w:val="22"/>
        </w:rPr>
        <w:t>head and neck</w:t>
      </w:r>
      <w:r w:rsidRPr="006052B4">
        <w:rPr>
          <w:rStyle w:val="highlight1"/>
          <w:rFonts w:asciiTheme="minorHAnsi" w:hAnsiTheme="minorHAnsi"/>
          <w:sz w:val="22"/>
          <w:szCs w:val="22"/>
        </w:rPr>
        <w:t xml:space="preserve"> </w:t>
      </w:r>
      <w:proofErr w:type="spellStart"/>
      <w:r w:rsidRPr="006052B4">
        <w:rPr>
          <w:rStyle w:val="highlight1"/>
          <w:rFonts w:asciiTheme="minorHAnsi" w:hAnsiTheme="minorHAnsi"/>
          <w:sz w:val="22"/>
          <w:szCs w:val="22"/>
        </w:rPr>
        <w:t>squamous</w:t>
      </w:r>
      <w:proofErr w:type="spellEnd"/>
      <w:r w:rsidRPr="006052B4">
        <w:rPr>
          <w:rStyle w:val="highlight1"/>
          <w:rFonts w:asciiTheme="minorHAnsi" w:hAnsiTheme="minorHAnsi"/>
          <w:sz w:val="22"/>
          <w:szCs w:val="22"/>
        </w:rPr>
        <w:t xml:space="preserve"> cell </w:t>
      </w:r>
      <w:r w:rsidRPr="006052B4">
        <w:rPr>
          <w:rStyle w:val="highlight1"/>
          <w:rFonts w:asciiTheme="minorHAnsi" w:hAnsiTheme="minorHAnsi" w:cs="Arial"/>
          <w:sz w:val="22"/>
          <w:szCs w:val="22"/>
        </w:rPr>
        <w:t>carcinoma</w:t>
      </w:r>
      <w:r w:rsidRPr="006052B4">
        <w:rPr>
          <w:rStyle w:val="highlight1"/>
          <w:rFonts w:asciiTheme="minorHAnsi" w:hAnsiTheme="minorHAnsi"/>
          <w:sz w:val="22"/>
          <w:szCs w:val="22"/>
        </w:rPr>
        <w:t>." Anticancer Res. 2008 Mar-Apr</w:t>
      </w:r>
      <w:proofErr w:type="gramStart"/>
      <w:r w:rsidRPr="006052B4">
        <w:rPr>
          <w:rStyle w:val="highlight1"/>
          <w:rFonts w:asciiTheme="minorHAnsi" w:hAnsiTheme="minorHAnsi"/>
          <w:sz w:val="22"/>
          <w:szCs w:val="22"/>
        </w:rPr>
        <w:t>;28</w:t>
      </w:r>
      <w:proofErr w:type="gramEnd"/>
      <w:r w:rsidRPr="006052B4">
        <w:rPr>
          <w:rStyle w:val="highlight1"/>
          <w:rFonts w:asciiTheme="minorHAnsi" w:hAnsiTheme="minorHAnsi"/>
          <w:sz w:val="22"/>
          <w:szCs w:val="22"/>
        </w:rPr>
        <w:t>(2B):1285-91.</w:t>
      </w:r>
    </w:p>
    <w:p w:rsidR="00C43B7C" w:rsidRPr="006052B4" w:rsidRDefault="00C43B7C" w:rsidP="00C43B7C">
      <w:pPr>
        <w:pStyle w:val="desc2"/>
        <w:numPr>
          <w:ilvl w:val="0"/>
          <w:numId w:val="1"/>
        </w:numPr>
        <w:shd w:val="clear" w:color="auto" w:fill="FFFFFF"/>
        <w:rPr>
          <w:rStyle w:val="highlight1"/>
          <w:rFonts w:asciiTheme="minorHAnsi" w:hAnsiTheme="minorHAnsi" w:cs="Arial"/>
          <w:sz w:val="22"/>
          <w:szCs w:val="22"/>
        </w:rPr>
      </w:pPr>
      <w:r w:rsidRPr="006052B4">
        <w:rPr>
          <w:rStyle w:val="highlight1"/>
          <w:rFonts w:asciiTheme="minorHAnsi" w:hAnsiTheme="minorHAnsi"/>
          <w:sz w:val="22"/>
          <w:szCs w:val="22"/>
        </w:rPr>
        <w:lastRenderedPageBreak/>
        <w:t xml:space="preserve">Shin HJ, Chung JS, </w:t>
      </w:r>
      <w:proofErr w:type="spellStart"/>
      <w:r w:rsidRPr="006052B4">
        <w:rPr>
          <w:rStyle w:val="highlight1"/>
          <w:rFonts w:asciiTheme="minorHAnsi" w:hAnsiTheme="minorHAnsi"/>
          <w:sz w:val="22"/>
          <w:szCs w:val="22"/>
        </w:rPr>
        <w:t>Choi</w:t>
      </w:r>
      <w:proofErr w:type="spellEnd"/>
      <w:r w:rsidRPr="006052B4">
        <w:rPr>
          <w:rStyle w:val="highlight1"/>
          <w:rFonts w:asciiTheme="minorHAnsi" w:hAnsiTheme="minorHAnsi"/>
          <w:sz w:val="22"/>
          <w:szCs w:val="22"/>
        </w:rPr>
        <w:t xml:space="preserve"> YJ</w:t>
      </w:r>
      <w:r w:rsidRPr="006052B4">
        <w:rPr>
          <w:rStyle w:val="highlight1"/>
          <w:rFonts w:asciiTheme="minorHAnsi" w:hAnsiTheme="minorHAnsi" w:cs="Arial"/>
          <w:sz w:val="22"/>
          <w:szCs w:val="22"/>
        </w:rPr>
        <w:t xml:space="preserve"> et al. "</w:t>
      </w:r>
      <w:proofErr w:type="spellStart"/>
      <w:r w:rsidRPr="006052B4">
        <w:rPr>
          <w:rStyle w:val="highlight1"/>
          <w:rFonts w:asciiTheme="minorHAnsi" w:hAnsiTheme="minorHAnsi" w:cs="Arial"/>
          <w:sz w:val="22"/>
          <w:szCs w:val="22"/>
        </w:rPr>
        <w:t>Neoadjuvant</w:t>
      </w:r>
      <w:proofErr w:type="spellEnd"/>
      <w:r w:rsidRPr="006052B4">
        <w:rPr>
          <w:rStyle w:val="highlight1"/>
          <w:rFonts w:asciiTheme="minorHAnsi" w:hAnsiTheme="minorHAnsi"/>
          <w:sz w:val="22"/>
          <w:szCs w:val="22"/>
        </w:rPr>
        <w:t xml:space="preserve"> </w:t>
      </w:r>
      <w:proofErr w:type="spellStart"/>
      <w:r w:rsidRPr="006052B4">
        <w:rPr>
          <w:rStyle w:val="highlight1"/>
          <w:rFonts w:asciiTheme="minorHAnsi" w:hAnsiTheme="minorHAnsi" w:cs="Arial"/>
          <w:sz w:val="22"/>
          <w:szCs w:val="22"/>
        </w:rPr>
        <w:t>docetaxel</w:t>
      </w:r>
      <w:proofErr w:type="spellEnd"/>
      <w:r w:rsidRPr="006052B4">
        <w:rPr>
          <w:rStyle w:val="highlight1"/>
          <w:rFonts w:asciiTheme="minorHAnsi" w:hAnsiTheme="minorHAnsi"/>
          <w:sz w:val="22"/>
          <w:szCs w:val="22"/>
        </w:rPr>
        <w:t xml:space="preserve"> and </w:t>
      </w:r>
      <w:proofErr w:type="spellStart"/>
      <w:r w:rsidRPr="006052B4">
        <w:rPr>
          <w:rStyle w:val="highlight1"/>
          <w:rFonts w:asciiTheme="minorHAnsi" w:hAnsiTheme="minorHAnsi"/>
          <w:sz w:val="22"/>
          <w:szCs w:val="22"/>
        </w:rPr>
        <w:t>cisplatin</w:t>
      </w:r>
      <w:proofErr w:type="spellEnd"/>
      <w:r w:rsidRPr="006052B4">
        <w:rPr>
          <w:rStyle w:val="highlight1"/>
          <w:rFonts w:asciiTheme="minorHAnsi" w:hAnsiTheme="minorHAnsi"/>
          <w:sz w:val="22"/>
          <w:szCs w:val="22"/>
        </w:rPr>
        <w:t xml:space="preserve"> </w:t>
      </w:r>
      <w:r w:rsidRPr="006052B4">
        <w:rPr>
          <w:rStyle w:val="highlight1"/>
          <w:rFonts w:asciiTheme="minorHAnsi" w:hAnsiTheme="minorHAnsi" w:cs="Arial"/>
          <w:sz w:val="22"/>
          <w:szCs w:val="22"/>
        </w:rPr>
        <w:t>chemotherapy</w:t>
      </w:r>
      <w:r w:rsidRPr="006052B4">
        <w:rPr>
          <w:rStyle w:val="highlight1"/>
          <w:rFonts w:asciiTheme="minorHAnsi" w:hAnsiTheme="minorHAnsi"/>
          <w:sz w:val="22"/>
          <w:szCs w:val="22"/>
        </w:rPr>
        <w:t xml:space="preserve"> followed by local irradiation is highly active on </w:t>
      </w:r>
      <w:proofErr w:type="spellStart"/>
      <w:r w:rsidRPr="006052B4">
        <w:rPr>
          <w:rStyle w:val="highlight1"/>
          <w:rFonts w:asciiTheme="minorHAnsi" w:hAnsiTheme="minorHAnsi"/>
          <w:sz w:val="22"/>
          <w:szCs w:val="22"/>
        </w:rPr>
        <w:t>locoregionally</w:t>
      </w:r>
      <w:proofErr w:type="spellEnd"/>
      <w:r w:rsidRPr="006052B4">
        <w:rPr>
          <w:rStyle w:val="highlight1"/>
          <w:rFonts w:asciiTheme="minorHAnsi" w:hAnsiTheme="minorHAnsi"/>
          <w:sz w:val="22"/>
          <w:szCs w:val="22"/>
        </w:rPr>
        <w:t xml:space="preserve"> advanced </w:t>
      </w:r>
      <w:proofErr w:type="spellStart"/>
      <w:r w:rsidRPr="006052B4">
        <w:rPr>
          <w:rStyle w:val="highlight1"/>
          <w:rFonts w:asciiTheme="minorHAnsi" w:hAnsiTheme="minorHAnsi"/>
          <w:sz w:val="22"/>
          <w:szCs w:val="22"/>
        </w:rPr>
        <w:t>squamous</w:t>
      </w:r>
      <w:proofErr w:type="spellEnd"/>
      <w:r w:rsidRPr="006052B4">
        <w:rPr>
          <w:rStyle w:val="highlight1"/>
          <w:rFonts w:asciiTheme="minorHAnsi" w:hAnsiTheme="minorHAnsi"/>
          <w:sz w:val="22"/>
          <w:szCs w:val="22"/>
        </w:rPr>
        <w:t xml:space="preserve"> cell </w:t>
      </w:r>
      <w:r w:rsidRPr="006052B4">
        <w:rPr>
          <w:rStyle w:val="highlight1"/>
          <w:rFonts w:asciiTheme="minorHAnsi" w:hAnsiTheme="minorHAnsi" w:cs="Arial"/>
          <w:sz w:val="22"/>
          <w:szCs w:val="22"/>
        </w:rPr>
        <w:t>carcinoma</w:t>
      </w:r>
      <w:r w:rsidRPr="006052B4">
        <w:rPr>
          <w:rStyle w:val="highlight1"/>
          <w:rFonts w:asciiTheme="minorHAnsi" w:hAnsiTheme="minorHAnsi"/>
          <w:sz w:val="22"/>
          <w:szCs w:val="22"/>
        </w:rPr>
        <w:t xml:space="preserve"> of the </w:t>
      </w:r>
      <w:r w:rsidRPr="006052B4">
        <w:rPr>
          <w:rStyle w:val="highlight1"/>
          <w:rFonts w:asciiTheme="minorHAnsi" w:hAnsiTheme="minorHAnsi" w:cs="Arial"/>
          <w:sz w:val="22"/>
          <w:szCs w:val="22"/>
        </w:rPr>
        <w:t xml:space="preserve">head and </w:t>
      </w:r>
      <w:proofErr w:type="spellStart"/>
      <w:r w:rsidRPr="006052B4">
        <w:rPr>
          <w:rStyle w:val="highlight1"/>
          <w:rFonts w:asciiTheme="minorHAnsi" w:hAnsiTheme="minorHAnsi" w:cs="Arial"/>
          <w:sz w:val="22"/>
          <w:szCs w:val="22"/>
        </w:rPr>
        <w:t>neck"</w:t>
      </w:r>
      <w:r w:rsidRPr="006052B4">
        <w:rPr>
          <w:rStyle w:val="highlight1"/>
          <w:rFonts w:asciiTheme="minorHAnsi" w:hAnsiTheme="minorHAnsi"/>
          <w:sz w:val="22"/>
          <w:szCs w:val="22"/>
        </w:rPr>
        <w:t>J</w:t>
      </w:r>
      <w:proofErr w:type="spellEnd"/>
      <w:r w:rsidRPr="006052B4">
        <w:rPr>
          <w:rStyle w:val="highlight1"/>
          <w:rFonts w:asciiTheme="minorHAnsi" w:hAnsiTheme="minorHAnsi"/>
          <w:sz w:val="22"/>
          <w:szCs w:val="22"/>
        </w:rPr>
        <w:t xml:space="preserve"> </w:t>
      </w:r>
      <w:proofErr w:type="spellStart"/>
      <w:r w:rsidRPr="006052B4">
        <w:rPr>
          <w:rStyle w:val="highlight1"/>
          <w:rFonts w:asciiTheme="minorHAnsi" w:hAnsiTheme="minorHAnsi"/>
          <w:sz w:val="22"/>
          <w:szCs w:val="22"/>
        </w:rPr>
        <w:t>Laryngol</w:t>
      </w:r>
      <w:proofErr w:type="spellEnd"/>
      <w:r w:rsidRPr="006052B4">
        <w:rPr>
          <w:rStyle w:val="highlight1"/>
          <w:rFonts w:asciiTheme="minorHAnsi" w:hAnsiTheme="minorHAnsi"/>
          <w:sz w:val="22"/>
          <w:szCs w:val="22"/>
        </w:rPr>
        <w:t xml:space="preserve"> Otol. 2008 Jul</w:t>
      </w:r>
      <w:proofErr w:type="gramStart"/>
      <w:r w:rsidRPr="006052B4">
        <w:rPr>
          <w:rStyle w:val="highlight1"/>
          <w:rFonts w:asciiTheme="minorHAnsi" w:hAnsiTheme="minorHAnsi"/>
          <w:sz w:val="22"/>
          <w:szCs w:val="22"/>
        </w:rPr>
        <w:t>;122</w:t>
      </w:r>
      <w:proofErr w:type="gramEnd"/>
      <w:r w:rsidRPr="006052B4">
        <w:rPr>
          <w:rStyle w:val="highlight1"/>
          <w:rFonts w:asciiTheme="minorHAnsi" w:hAnsiTheme="minorHAnsi"/>
          <w:sz w:val="22"/>
          <w:szCs w:val="22"/>
        </w:rPr>
        <w:t>(7):722-7</w:t>
      </w:r>
      <w:r w:rsidRPr="006052B4">
        <w:rPr>
          <w:rStyle w:val="highlight1"/>
          <w:rFonts w:asciiTheme="minorHAnsi" w:hAnsiTheme="minorHAnsi" w:cs="Arial"/>
          <w:sz w:val="22"/>
          <w:szCs w:val="22"/>
        </w:rPr>
        <w:t>.</w:t>
      </w:r>
    </w:p>
    <w:p w:rsidR="00C43B7C" w:rsidRPr="006052B4" w:rsidRDefault="00C43B7C" w:rsidP="00C43B7C">
      <w:pPr>
        <w:pStyle w:val="desc2"/>
        <w:numPr>
          <w:ilvl w:val="0"/>
          <w:numId w:val="1"/>
        </w:numPr>
        <w:shd w:val="clear" w:color="auto" w:fill="FFFFFF"/>
        <w:rPr>
          <w:rStyle w:val="highlight1"/>
          <w:rFonts w:asciiTheme="minorHAnsi" w:hAnsiTheme="minorHAnsi" w:cs="Arial"/>
          <w:sz w:val="22"/>
          <w:szCs w:val="22"/>
        </w:rPr>
      </w:pPr>
      <w:r w:rsidRPr="006052B4">
        <w:rPr>
          <w:rFonts w:asciiTheme="minorHAnsi" w:hAnsiTheme="minorHAnsi" w:cs="Arial"/>
          <w:sz w:val="22"/>
          <w:szCs w:val="22"/>
        </w:rPr>
        <w:t xml:space="preserve">Schneider I, </w:t>
      </w:r>
      <w:proofErr w:type="spellStart"/>
      <w:r w:rsidRPr="006052B4">
        <w:rPr>
          <w:rFonts w:asciiTheme="minorHAnsi" w:hAnsiTheme="minorHAnsi" w:cs="Arial"/>
          <w:sz w:val="22"/>
          <w:szCs w:val="22"/>
        </w:rPr>
        <w:t>Holzgraefe</w:t>
      </w:r>
      <w:proofErr w:type="spellEnd"/>
      <w:r w:rsidRPr="006052B4">
        <w:rPr>
          <w:rFonts w:asciiTheme="minorHAnsi" w:hAnsiTheme="minorHAnsi" w:cs="Arial"/>
          <w:sz w:val="22"/>
          <w:szCs w:val="22"/>
        </w:rPr>
        <w:t xml:space="preserve"> M, </w:t>
      </w:r>
      <w:proofErr w:type="spellStart"/>
      <w:r w:rsidRPr="006052B4">
        <w:rPr>
          <w:rFonts w:asciiTheme="minorHAnsi" w:hAnsiTheme="minorHAnsi" w:cs="Arial"/>
          <w:sz w:val="22"/>
          <w:szCs w:val="22"/>
        </w:rPr>
        <w:t>Schröder</w:t>
      </w:r>
      <w:proofErr w:type="spellEnd"/>
      <w:r w:rsidRPr="006052B4">
        <w:rPr>
          <w:rFonts w:asciiTheme="minorHAnsi" w:hAnsiTheme="minorHAnsi" w:cs="Arial"/>
          <w:sz w:val="22"/>
          <w:szCs w:val="22"/>
        </w:rPr>
        <w:t xml:space="preserve"> M</w:t>
      </w:r>
      <w:r w:rsidRPr="006052B4">
        <w:rPr>
          <w:rStyle w:val="highlight1"/>
          <w:rFonts w:asciiTheme="minorHAnsi" w:hAnsiTheme="minorHAnsi" w:cs="Arial"/>
          <w:sz w:val="22"/>
          <w:szCs w:val="22"/>
        </w:rPr>
        <w:t xml:space="preserve"> "</w:t>
      </w:r>
      <w:proofErr w:type="spellStart"/>
      <w:r w:rsidRPr="006052B4">
        <w:rPr>
          <w:rFonts w:asciiTheme="minorHAnsi" w:hAnsiTheme="minorHAnsi" w:cs="Arial"/>
          <w:sz w:val="22"/>
          <w:szCs w:val="22"/>
        </w:rPr>
        <w:t>Carboplatin</w:t>
      </w:r>
      <w:proofErr w:type="spellEnd"/>
      <w:r w:rsidRPr="006052B4">
        <w:rPr>
          <w:rFonts w:asciiTheme="minorHAnsi" w:hAnsiTheme="minorHAnsi" w:cs="Arial"/>
          <w:sz w:val="22"/>
          <w:szCs w:val="22"/>
        </w:rPr>
        <w:t xml:space="preserve"> and </w:t>
      </w:r>
      <w:proofErr w:type="spellStart"/>
      <w:r w:rsidRPr="006052B4">
        <w:rPr>
          <w:rStyle w:val="highlight1"/>
          <w:rFonts w:asciiTheme="minorHAnsi" w:hAnsiTheme="minorHAnsi" w:cs="Arial"/>
          <w:sz w:val="22"/>
          <w:szCs w:val="22"/>
        </w:rPr>
        <w:t>paclitaxel</w:t>
      </w:r>
      <w:proofErr w:type="spellEnd"/>
      <w:r w:rsidRPr="006052B4">
        <w:rPr>
          <w:rFonts w:asciiTheme="minorHAnsi" w:hAnsiTheme="minorHAnsi" w:cs="Arial"/>
          <w:sz w:val="22"/>
          <w:szCs w:val="22"/>
        </w:rPr>
        <w:t xml:space="preserve"> </w:t>
      </w:r>
      <w:r w:rsidRPr="006052B4">
        <w:rPr>
          <w:rStyle w:val="highlight1"/>
          <w:rFonts w:asciiTheme="minorHAnsi" w:hAnsiTheme="minorHAnsi" w:cs="Arial"/>
          <w:sz w:val="22"/>
          <w:szCs w:val="22"/>
        </w:rPr>
        <w:t>induction</w:t>
      </w:r>
      <w:r w:rsidRPr="006052B4">
        <w:rPr>
          <w:rFonts w:asciiTheme="minorHAnsi" w:hAnsiTheme="minorHAnsi" w:cs="Arial"/>
          <w:sz w:val="22"/>
          <w:szCs w:val="22"/>
        </w:rPr>
        <w:t xml:space="preserve"> </w:t>
      </w:r>
      <w:r w:rsidRPr="006052B4">
        <w:rPr>
          <w:rStyle w:val="highlight1"/>
          <w:rFonts w:asciiTheme="minorHAnsi" w:hAnsiTheme="minorHAnsi" w:cs="Arial"/>
          <w:sz w:val="22"/>
          <w:szCs w:val="22"/>
        </w:rPr>
        <w:t>chemotherapy</w:t>
      </w:r>
      <w:r w:rsidRPr="006052B4">
        <w:rPr>
          <w:rFonts w:asciiTheme="minorHAnsi" w:hAnsiTheme="minorHAnsi" w:cs="Arial"/>
          <w:sz w:val="22"/>
          <w:szCs w:val="22"/>
        </w:rPr>
        <w:t xml:space="preserve"> for patients with </w:t>
      </w:r>
      <w:proofErr w:type="spellStart"/>
      <w:r w:rsidRPr="006052B4">
        <w:rPr>
          <w:rStyle w:val="highlight1"/>
          <w:rFonts w:asciiTheme="minorHAnsi" w:hAnsiTheme="minorHAnsi" w:cs="Arial"/>
          <w:sz w:val="22"/>
          <w:szCs w:val="22"/>
        </w:rPr>
        <w:t>oropharynx</w:t>
      </w:r>
      <w:proofErr w:type="spellEnd"/>
      <w:r w:rsidRPr="006052B4">
        <w:rPr>
          <w:rFonts w:asciiTheme="minorHAnsi" w:hAnsiTheme="minorHAnsi" w:cs="Arial"/>
          <w:sz w:val="22"/>
          <w:szCs w:val="22"/>
        </w:rPr>
        <w:t xml:space="preserve"> </w:t>
      </w:r>
      <w:r w:rsidRPr="006052B4">
        <w:rPr>
          <w:rStyle w:val="highlight1"/>
          <w:rFonts w:asciiTheme="minorHAnsi" w:hAnsiTheme="minorHAnsi" w:cs="Arial"/>
          <w:sz w:val="22"/>
          <w:szCs w:val="22"/>
        </w:rPr>
        <w:t>carcinoma."</w:t>
      </w:r>
      <w:r w:rsidRPr="006052B4">
        <w:rPr>
          <w:rFonts w:asciiTheme="minorHAnsi" w:hAnsiTheme="minorHAnsi" w:cs="Arial"/>
          <w:sz w:val="22"/>
          <w:szCs w:val="22"/>
        </w:rPr>
        <w:t xml:space="preserve"> </w:t>
      </w:r>
      <w:proofErr w:type="spellStart"/>
      <w:r w:rsidRPr="006052B4">
        <w:rPr>
          <w:rStyle w:val="jrnl"/>
          <w:rFonts w:asciiTheme="minorHAnsi" w:hAnsiTheme="minorHAnsi" w:cs="Arial"/>
          <w:sz w:val="22"/>
          <w:szCs w:val="22"/>
        </w:rPr>
        <w:t>Laryngorhinootologie</w:t>
      </w:r>
      <w:proofErr w:type="spellEnd"/>
      <w:r w:rsidRPr="006052B4">
        <w:rPr>
          <w:rFonts w:asciiTheme="minorHAnsi" w:hAnsiTheme="minorHAnsi" w:cs="Arial"/>
          <w:sz w:val="22"/>
          <w:szCs w:val="22"/>
        </w:rPr>
        <w:t>. 2008 Oct;87(10):719-22</w:t>
      </w:r>
    </w:p>
    <w:p w:rsidR="00C43B7C" w:rsidRPr="006052B4" w:rsidRDefault="00C43B7C" w:rsidP="00C43B7C">
      <w:pPr>
        <w:pStyle w:val="desc2"/>
        <w:numPr>
          <w:ilvl w:val="0"/>
          <w:numId w:val="1"/>
        </w:numPr>
        <w:shd w:val="clear" w:color="auto" w:fill="FFFFFF"/>
        <w:rPr>
          <w:rStyle w:val="highlight1"/>
          <w:rFonts w:asciiTheme="minorHAnsi" w:hAnsiTheme="minorHAnsi" w:cs="Arial"/>
          <w:sz w:val="22"/>
          <w:szCs w:val="22"/>
        </w:rPr>
      </w:pPr>
      <w:r w:rsidRPr="006052B4">
        <w:rPr>
          <w:rStyle w:val="highlight1"/>
          <w:rFonts w:asciiTheme="minorHAnsi" w:hAnsiTheme="minorHAnsi"/>
          <w:sz w:val="22"/>
          <w:szCs w:val="22"/>
        </w:rPr>
        <w:t xml:space="preserve">. </w:t>
      </w:r>
      <w:proofErr w:type="spellStart"/>
      <w:r w:rsidRPr="006052B4">
        <w:rPr>
          <w:rStyle w:val="highlight1"/>
          <w:rFonts w:asciiTheme="minorHAnsi" w:hAnsiTheme="minorHAnsi"/>
          <w:sz w:val="22"/>
          <w:szCs w:val="22"/>
        </w:rPr>
        <w:t>Andreadis</w:t>
      </w:r>
      <w:proofErr w:type="spellEnd"/>
      <w:r w:rsidRPr="006052B4">
        <w:rPr>
          <w:rStyle w:val="highlight1"/>
          <w:rFonts w:asciiTheme="minorHAnsi" w:hAnsiTheme="minorHAnsi"/>
          <w:sz w:val="22"/>
          <w:szCs w:val="22"/>
        </w:rPr>
        <w:t xml:space="preserve"> C, </w:t>
      </w:r>
      <w:proofErr w:type="spellStart"/>
      <w:r w:rsidRPr="006052B4">
        <w:rPr>
          <w:rStyle w:val="highlight1"/>
          <w:rFonts w:asciiTheme="minorHAnsi" w:hAnsiTheme="minorHAnsi"/>
          <w:sz w:val="22"/>
          <w:szCs w:val="22"/>
        </w:rPr>
        <w:t>Iliopoulou</w:t>
      </w:r>
      <w:proofErr w:type="spellEnd"/>
      <w:r w:rsidRPr="006052B4">
        <w:rPr>
          <w:rStyle w:val="highlight1"/>
          <w:rFonts w:asciiTheme="minorHAnsi" w:hAnsiTheme="minorHAnsi"/>
          <w:sz w:val="22"/>
          <w:szCs w:val="22"/>
        </w:rPr>
        <w:t xml:space="preserve"> C, </w:t>
      </w:r>
      <w:proofErr w:type="spellStart"/>
      <w:r w:rsidRPr="006052B4">
        <w:rPr>
          <w:rStyle w:val="highlight1"/>
          <w:rFonts w:asciiTheme="minorHAnsi" w:hAnsiTheme="minorHAnsi"/>
          <w:sz w:val="22"/>
          <w:szCs w:val="22"/>
        </w:rPr>
        <w:t>Sidiras</w:t>
      </w:r>
      <w:proofErr w:type="spellEnd"/>
      <w:r w:rsidRPr="006052B4">
        <w:rPr>
          <w:rStyle w:val="highlight1"/>
          <w:rFonts w:asciiTheme="minorHAnsi" w:hAnsiTheme="minorHAnsi"/>
          <w:sz w:val="22"/>
          <w:szCs w:val="22"/>
        </w:rPr>
        <w:t xml:space="preserve"> T</w:t>
      </w:r>
      <w:r w:rsidRPr="006052B4">
        <w:rPr>
          <w:rStyle w:val="highlight1"/>
          <w:rFonts w:asciiTheme="minorHAnsi" w:hAnsiTheme="minorHAnsi" w:cs="Arial"/>
          <w:sz w:val="22"/>
          <w:szCs w:val="22"/>
        </w:rPr>
        <w:t xml:space="preserve"> et al. "</w:t>
      </w:r>
      <w:proofErr w:type="spellStart"/>
      <w:r w:rsidRPr="006052B4">
        <w:rPr>
          <w:rStyle w:val="highlight1"/>
          <w:rFonts w:asciiTheme="minorHAnsi" w:hAnsiTheme="minorHAnsi" w:cs="Arial"/>
          <w:sz w:val="22"/>
          <w:szCs w:val="22"/>
        </w:rPr>
        <w:t>Neoadjuvant</w:t>
      </w:r>
      <w:proofErr w:type="spellEnd"/>
      <w:r w:rsidRPr="006052B4">
        <w:rPr>
          <w:rStyle w:val="highlight1"/>
          <w:rFonts w:asciiTheme="minorHAnsi" w:hAnsiTheme="minorHAnsi"/>
          <w:sz w:val="22"/>
          <w:szCs w:val="22"/>
        </w:rPr>
        <w:t xml:space="preserve"> </w:t>
      </w:r>
      <w:r w:rsidRPr="006052B4">
        <w:rPr>
          <w:rStyle w:val="highlight1"/>
          <w:rFonts w:asciiTheme="minorHAnsi" w:hAnsiTheme="minorHAnsi" w:cs="Arial"/>
          <w:sz w:val="22"/>
          <w:szCs w:val="22"/>
        </w:rPr>
        <w:t>chemotherapy</w:t>
      </w:r>
      <w:r w:rsidRPr="006052B4">
        <w:rPr>
          <w:rStyle w:val="highlight1"/>
          <w:rFonts w:asciiTheme="minorHAnsi" w:hAnsiTheme="minorHAnsi"/>
          <w:sz w:val="22"/>
          <w:szCs w:val="22"/>
        </w:rPr>
        <w:t xml:space="preserve"> followed by radiotherapy versus concurrent </w:t>
      </w:r>
      <w:proofErr w:type="spellStart"/>
      <w:r w:rsidRPr="006052B4">
        <w:rPr>
          <w:rStyle w:val="highlight1"/>
          <w:rFonts w:asciiTheme="minorHAnsi" w:hAnsiTheme="minorHAnsi"/>
          <w:sz w:val="22"/>
          <w:szCs w:val="22"/>
        </w:rPr>
        <w:t>chemoradiotherapy</w:t>
      </w:r>
      <w:proofErr w:type="spellEnd"/>
      <w:r w:rsidRPr="006052B4">
        <w:rPr>
          <w:rStyle w:val="highlight1"/>
          <w:rFonts w:asciiTheme="minorHAnsi" w:hAnsiTheme="minorHAnsi"/>
          <w:sz w:val="22"/>
          <w:szCs w:val="22"/>
        </w:rPr>
        <w:t xml:space="preserve"> for </w:t>
      </w:r>
      <w:r w:rsidRPr="006052B4">
        <w:rPr>
          <w:rStyle w:val="highlight1"/>
          <w:rFonts w:asciiTheme="minorHAnsi" w:hAnsiTheme="minorHAnsi" w:cs="Arial"/>
          <w:sz w:val="22"/>
          <w:szCs w:val="22"/>
        </w:rPr>
        <w:t>larynx</w:t>
      </w:r>
      <w:r w:rsidRPr="006052B4">
        <w:rPr>
          <w:rStyle w:val="highlight1"/>
          <w:rFonts w:asciiTheme="minorHAnsi" w:hAnsiTheme="minorHAnsi"/>
          <w:sz w:val="22"/>
          <w:szCs w:val="22"/>
        </w:rPr>
        <w:t xml:space="preserve"> preservation in patients with advanced laryngeal </w:t>
      </w:r>
      <w:proofErr w:type="spellStart"/>
      <w:r w:rsidRPr="006052B4">
        <w:rPr>
          <w:rStyle w:val="highlight1"/>
          <w:rFonts w:asciiTheme="minorHAnsi" w:hAnsiTheme="minorHAnsi" w:cs="Arial"/>
          <w:sz w:val="22"/>
          <w:szCs w:val="22"/>
        </w:rPr>
        <w:t>cancer"</w:t>
      </w:r>
      <w:r w:rsidRPr="006052B4">
        <w:rPr>
          <w:rStyle w:val="highlight1"/>
          <w:rFonts w:asciiTheme="minorHAnsi" w:hAnsiTheme="minorHAnsi"/>
          <w:sz w:val="22"/>
          <w:szCs w:val="22"/>
        </w:rPr>
        <w:t>J</w:t>
      </w:r>
      <w:proofErr w:type="spellEnd"/>
      <w:r w:rsidRPr="006052B4">
        <w:rPr>
          <w:rStyle w:val="highlight1"/>
          <w:rFonts w:asciiTheme="minorHAnsi" w:hAnsiTheme="minorHAnsi"/>
          <w:sz w:val="22"/>
          <w:szCs w:val="22"/>
        </w:rPr>
        <w:t xml:space="preserve"> BUON. 2007 Jul-Sep;12(3):341-7</w:t>
      </w:r>
    </w:p>
    <w:p w:rsidR="00C43B7C" w:rsidRPr="006052B4" w:rsidRDefault="00C43B7C" w:rsidP="00C43B7C">
      <w:pPr>
        <w:pStyle w:val="desc2"/>
        <w:numPr>
          <w:ilvl w:val="0"/>
          <w:numId w:val="1"/>
        </w:numPr>
        <w:shd w:val="clear" w:color="auto" w:fill="FFFFFF"/>
        <w:rPr>
          <w:rStyle w:val="highlight1"/>
          <w:rFonts w:asciiTheme="minorHAnsi" w:hAnsiTheme="minorHAnsi" w:cs="Arial"/>
          <w:sz w:val="22"/>
          <w:szCs w:val="22"/>
        </w:rPr>
      </w:pPr>
      <w:proofErr w:type="spellStart"/>
      <w:r w:rsidRPr="006052B4">
        <w:rPr>
          <w:rStyle w:val="highlight1"/>
          <w:rFonts w:asciiTheme="minorHAnsi" w:hAnsiTheme="minorHAnsi"/>
          <w:sz w:val="22"/>
          <w:szCs w:val="22"/>
        </w:rPr>
        <w:t>Ahn</w:t>
      </w:r>
      <w:proofErr w:type="spellEnd"/>
      <w:r w:rsidRPr="006052B4">
        <w:rPr>
          <w:rStyle w:val="highlight1"/>
          <w:rFonts w:asciiTheme="minorHAnsi" w:hAnsiTheme="minorHAnsi"/>
          <w:sz w:val="22"/>
          <w:szCs w:val="22"/>
        </w:rPr>
        <w:t xml:space="preserve"> JS, Cho SH, Kim OK, </w:t>
      </w:r>
      <w:proofErr w:type="gramStart"/>
      <w:r w:rsidRPr="006052B4">
        <w:rPr>
          <w:rStyle w:val="highlight1"/>
          <w:rFonts w:asciiTheme="minorHAnsi" w:hAnsiTheme="minorHAnsi"/>
          <w:sz w:val="22"/>
          <w:szCs w:val="22"/>
        </w:rPr>
        <w:t>Lee</w:t>
      </w:r>
      <w:proofErr w:type="gramEnd"/>
      <w:r w:rsidRPr="006052B4">
        <w:rPr>
          <w:rStyle w:val="highlight1"/>
          <w:rFonts w:asciiTheme="minorHAnsi" w:hAnsiTheme="minorHAnsi"/>
          <w:sz w:val="22"/>
          <w:szCs w:val="22"/>
        </w:rPr>
        <w:t xml:space="preserve"> JK et al. "The efficacy of an </w:t>
      </w:r>
      <w:r w:rsidRPr="006052B4">
        <w:rPr>
          <w:rStyle w:val="highlight1"/>
          <w:rFonts w:asciiTheme="minorHAnsi" w:hAnsiTheme="minorHAnsi" w:cs="Arial"/>
          <w:sz w:val="22"/>
          <w:szCs w:val="22"/>
        </w:rPr>
        <w:t>induction</w:t>
      </w:r>
      <w:r w:rsidRPr="006052B4">
        <w:rPr>
          <w:rStyle w:val="highlight1"/>
          <w:rFonts w:asciiTheme="minorHAnsi" w:hAnsiTheme="minorHAnsi"/>
          <w:sz w:val="22"/>
          <w:szCs w:val="22"/>
        </w:rPr>
        <w:t xml:space="preserve"> </w:t>
      </w:r>
      <w:r w:rsidRPr="006052B4">
        <w:rPr>
          <w:rStyle w:val="highlight1"/>
          <w:rFonts w:asciiTheme="minorHAnsi" w:hAnsiTheme="minorHAnsi" w:cs="Arial"/>
          <w:sz w:val="22"/>
          <w:szCs w:val="22"/>
        </w:rPr>
        <w:t>chemotherapy</w:t>
      </w:r>
      <w:r w:rsidRPr="006052B4">
        <w:rPr>
          <w:rStyle w:val="highlight1"/>
          <w:rFonts w:asciiTheme="minorHAnsi" w:hAnsiTheme="minorHAnsi"/>
          <w:sz w:val="22"/>
          <w:szCs w:val="22"/>
        </w:rPr>
        <w:t xml:space="preserve"> combination with </w:t>
      </w:r>
      <w:proofErr w:type="spellStart"/>
      <w:r w:rsidRPr="006052B4">
        <w:rPr>
          <w:rStyle w:val="highlight1"/>
          <w:rFonts w:asciiTheme="minorHAnsi" w:hAnsiTheme="minorHAnsi" w:cs="Arial"/>
          <w:sz w:val="22"/>
          <w:szCs w:val="22"/>
        </w:rPr>
        <w:t>docetaxel</w:t>
      </w:r>
      <w:proofErr w:type="spellEnd"/>
      <w:r w:rsidRPr="006052B4">
        <w:rPr>
          <w:rStyle w:val="highlight1"/>
          <w:rFonts w:asciiTheme="minorHAnsi" w:hAnsiTheme="minorHAnsi"/>
          <w:sz w:val="22"/>
          <w:szCs w:val="22"/>
        </w:rPr>
        <w:t xml:space="preserve">, </w:t>
      </w:r>
      <w:proofErr w:type="spellStart"/>
      <w:r w:rsidRPr="006052B4">
        <w:rPr>
          <w:rStyle w:val="highlight1"/>
          <w:rFonts w:asciiTheme="minorHAnsi" w:hAnsiTheme="minorHAnsi"/>
          <w:sz w:val="22"/>
          <w:szCs w:val="22"/>
        </w:rPr>
        <w:t>cisplatin</w:t>
      </w:r>
      <w:proofErr w:type="spellEnd"/>
      <w:r w:rsidRPr="006052B4">
        <w:rPr>
          <w:rStyle w:val="highlight1"/>
          <w:rFonts w:asciiTheme="minorHAnsi" w:hAnsiTheme="minorHAnsi"/>
          <w:sz w:val="22"/>
          <w:szCs w:val="22"/>
        </w:rPr>
        <w:t xml:space="preserve">, and 5-FU followed by concurrent </w:t>
      </w:r>
      <w:proofErr w:type="spellStart"/>
      <w:r w:rsidRPr="006052B4">
        <w:rPr>
          <w:rStyle w:val="highlight1"/>
          <w:rFonts w:asciiTheme="minorHAnsi" w:hAnsiTheme="minorHAnsi"/>
          <w:sz w:val="22"/>
          <w:szCs w:val="22"/>
        </w:rPr>
        <w:t>chemoradiotherapy</w:t>
      </w:r>
      <w:proofErr w:type="spellEnd"/>
      <w:r w:rsidRPr="006052B4">
        <w:rPr>
          <w:rStyle w:val="highlight1"/>
          <w:rFonts w:asciiTheme="minorHAnsi" w:hAnsiTheme="minorHAnsi"/>
          <w:sz w:val="22"/>
          <w:szCs w:val="22"/>
        </w:rPr>
        <w:t xml:space="preserve"> in advanced </w:t>
      </w:r>
      <w:r w:rsidRPr="006052B4">
        <w:rPr>
          <w:rStyle w:val="highlight1"/>
          <w:rFonts w:asciiTheme="minorHAnsi" w:hAnsiTheme="minorHAnsi" w:cs="Arial"/>
          <w:sz w:val="22"/>
          <w:szCs w:val="22"/>
        </w:rPr>
        <w:t>head and neck</w:t>
      </w:r>
      <w:r w:rsidRPr="006052B4">
        <w:rPr>
          <w:rStyle w:val="highlight1"/>
          <w:rFonts w:asciiTheme="minorHAnsi" w:hAnsiTheme="minorHAnsi"/>
          <w:sz w:val="22"/>
          <w:szCs w:val="22"/>
        </w:rPr>
        <w:t xml:space="preserve"> </w:t>
      </w:r>
      <w:r w:rsidRPr="006052B4">
        <w:rPr>
          <w:rStyle w:val="highlight1"/>
          <w:rFonts w:asciiTheme="minorHAnsi" w:hAnsiTheme="minorHAnsi" w:cs="Arial"/>
          <w:sz w:val="22"/>
          <w:szCs w:val="22"/>
        </w:rPr>
        <w:t>cancer</w:t>
      </w:r>
      <w:r w:rsidRPr="006052B4">
        <w:rPr>
          <w:rStyle w:val="highlight1"/>
          <w:rFonts w:asciiTheme="minorHAnsi" w:hAnsiTheme="minorHAnsi"/>
          <w:sz w:val="22"/>
          <w:szCs w:val="22"/>
        </w:rPr>
        <w:t>.</w:t>
      </w:r>
      <w:r w:rsidRPr="006052B4">
        <w:rPr>
          <w:rStyle w:val="highlight1"/>
          <w:rFonts w:asciiTheme="minorHAnsi" w:hAnsiTheme="minorHAnsi" w:cs="Arial"/>
          <w:sz w:val="22"/>
          <w:szCs w:val="22"/>
        </w:rPr>
        <w:t>"</w:t>
      </w:r>
      <w:r w:rsidRPr="006052B4">
        <w:rPr>
          <w:rStyle w:val="highlight1"/>
          <w:rFonts w:asciiTheme="minorHAnsi" w:hAnsiTheme="minorHAnsi"/>
          <w:sz w:val="22"/>
          <w:szCs w:val="22"/>
        </w:rPr>
        <w:t xml:space="preserve"> Cancer Res Treat. 2007 Sep;39(3):93-8</w:t>
      </w:r>
    </w:p>
    <w:p w:rsidR="00C43B7C" w:rsidRPr="006052B4" w:rsidRDefault="00C43B7C" w:rsidP="00C43B7C">
      <w:pPr>
        <w:pStyle w:val="desc2"/>
        <w:numPr>
          <w:ilvl w:val="0"/>
          <w:numId w:val="1"/>
        </w:numPr>
        <w:shd w:val="clear" w:color="auto" w:fill="FFFFFF"/>
        <w:rPr>
          <w:rStyle w:val="highlight1"/>
          <w:rFonts w:asciiTheme="minorHAnsi" w:hAnsiTheme="minorHAnsi" w:cs="Arial"/>
          <w:sz w:val="22"/>
          <w:szCs w:val="22"/>
        </w:rPr>
      </w:pPr>
      <w:r w:rsidRPr="006052B4">
        <w:rPr>
          <w:rFonts w:asciiTheme="minorHAnsi" w:hAnsiTheme="minorHAnsi" w:cs="Arial"/>
          <w:sz w:val="22"/>
          <w:szCs w:val="22"/>
        </w:rPr>
        <w:t xml:space="preserve">Posner MR, </w:t>
      </w:r>
      <w:proofErr w:type="spellStart"/>
      <w:r w:rsidRPr="006052B4">
        <w:rPr>
          <w:rFonts w:asciiTheme="minorHAnsi" w:hAnsiTheme="minorHAnsi" w:cs="Arial"/>
          <w:sz w:val="22"/>
          <w:szCs w:val="22"/>
        </w:rPr>
        <w:t>Hershock</w:t>
      </w:r>
      <w:proofErr w:type="spellEnd"/>
      <w:r w:rsidRPr="006052B4">
        <w:rPr>
          <w:rFonts w:asciiTheme="minorHAnsi" w:hAnsiTheme="minorHAnsi" w:cs="Arial"/>
          <w:sz w:val="22"/>
          <w:szCs w:val="22"/>
        </w:rPr>
        <w:t xml:space="preserve"> DM, </w:t>
      </w:r>
      <w:proofErr w:type="spellStart"/>
      <w:r w:rsidRPr="006052B4">
        <w:rPr>
          <w:rFonts w:asciiTheme="minorHAnsi" w:hAnsiTheme="minorHAnsi" w:cs="Arial"/>
          <w:sz w:val="22"/>
          <w:szCs w:val="22"/>
        </w:rPr>
        <w:t>Blajman</w:t>
      </w:r>
      <w:proofErr w:type="spellEnd"/>
      <w:r w:rsidRPr="006052B4">
        <w:rPr>
          <w:rFonts w:asciiTheme="minorHAnsi" w:hAnsiTheme="minorHAnsi" w:cs="Arial"/>
          <w:sz w:val="22"/>
          <w:szCs w:val="22"/>
        </w:rPr>
        <w:t xml:space="preserve"> CR</w:t>
      </w:r>
      <w:r w:rsidRPr="006052B4">
        <w:rPr>
          <w:rStyle w:val="highlight1"/>
          <w:rFonts w:asciiTheme="minorHAnsi" w:hAnsiTheme="minorHAnsi" w:cs="Arial"/>
          <w:sz w:val="22"/>
          <w:szCs w:val="22"/>
        </w:rPr>
        <w:t xml:space="preserve"> et al. "</w:t>
      </w:r>
      <w:proofErr w:type="spellStart"/>
      <w:r w:rsidRPr="006052B4">
        <w:rPr>
          <w:rFonts w:asciiTheme="minorHAnsi" w:hAnsiTheme="minorHAnsi" w:cs="Arial"/>
          <w:sz w:val="22"/>
          <w:szCs w:val="22"/>
        </w:rPr>
        <w:t>Cisplatin</w:t>
      </w:r>
      <w:proofErr w:type="spellEnd"/>
      <w:r w:rsidRPr="006052B4">
        <w:rPr>
          <w:rFonts w:asciiTheme="minorHAnsi" w:hAnsiTheme="minorHAnsi" w:cs="Arial"/>
          <w:sz w:val="22"/>
          <w:szCs w:val="22"/>
        </w:rPr>
        <w:t xml:space="preserve"> and fluorouracil alone or with </w:t>
      </w:r>
      <w:proofErr w:type="spellStart"/>
      <w:r w:rsidRPr="006052B4">
        <w:rPr>
          <w:rStyle w:val="highlight1"/>
          <w:rFonts w:asciiTheme="minorHAnsi" w:hAnsiTheme="minorHAnsi" w:cs="Arial"/>
          <w:sz w:val="22"/>
          <w:szCs w:val="22"/>
        </w:rPr>
        <w:t>docetaxel</w:t>
      </w:r>
      <w:proofErr w:type="spellEnd"/>
      <w:r w:rsidRPr="006052B4">
        <w:rPr>
          <w:rFonts w:asciiTheme="minorHAnsi" w:hAnsiTheme="minorHAnsi" w:cs="Arial"/>
          <w:sz w:val="22"/>
          <w:szCs w:val="22"/>
        </w:rPr>
        <w:t xml:space="preserve"> in </w:t>
      </w:r>
      <w:r w:rsidRPr="006052B4">
        <w:rPr>
          <w:rStyle w:val="highlight1"/>
          <w:rFonts w:asciiTheme="minorHAnsi" w:hAnsiTheme="minorHAnsi" w:cs="Arial"/>
          <w:sz w:val="22"/>
          <w:szCs w:val="22"/>
        </w:rPr>
        <w:t>head and neck</w:t>
      </w:r>
      <w:r w:rsidRPr="006052B4">
        <w:rPr>
          <w:rFonts w:asciiTheme="minorHAnsi" w:hAnsiTheme="minorHAnsi" w:cs="Arial"/>
          <w:sz w:val="22"/>
          <w:szCs w:val="22"/>
        </w:rPr>
        <w:t xml:space="preserve"> </w:t>
      </w:r>
      <w:r w:rsidRPr="006052B4">
        <w:rPr>
          <w:rStyle w:val="highlight1"/>
          <w:rFonts w:asciiTheme="minorHAnsi" w:hAnsiTheme="minorHAnsi" w:cs="Arial"/>
          <w:sz w:val="22"/>
          <w:szCs w:val="22"/>
        </w:rPr>
        <w:t>cancer</w:t>
      </w:r>
      <w:r w:rsidRPr="006052B4">
        <w:rPr>
          <w:rFonts w:asciiTheme="minorHAnsi" w:hAnsiTheme="minorHAnsi" w:cs="Arial"/>
          <w:sz w:val="22"/>
          <w:szCs w:val="22"/>
        </w:rPr>
        <w:t xml:space="preserve">." </w:t>
      </w:r>
      <w:r w:rsidRPr="006052B4">
        <w:rPr>
          <w:rStyle w:val="jrnl"/>
          <w:rFonts w:asciiTheme="minorHAnsi" w:hAnsiTheme="minorHAnsi" w:cs="Arial"/>
          <w:sz w:val="22"/>
          <w:szCs w:val="22"/>
        </w:rPr>
        <w:t xml:space="preserve">N </w:t>
      </w:r>
      <w:proofErr w:type="spellStart"/>
      <w:r w:rsidRPr="006052B4">
        <w:rPr>
          <w:rStyle w:val="jrnl"/>
          <w:rFonts w:asciiTheme="minorHAnsi" w:hAnsiTheme="minorHAnsi" w:cs="Arial"/>
          <w:sz w:val="22"/>
          <w:szCs w:val="22"/>
        </w:rPr>
        <w:t>Engl</w:t>
      </w:r>
      <w:proofErr w:type="spellEnd"/>
      <w:r w:rsidRPr="006052B4">
        <w:rPr>
          <w:rStyle w:val="jrnl"/>
          <w:rFonts w:asciiTheme="minorHAnsi" w:hAnsiTheme="minorHAnsi" w:cs="Arial"/>
          <w:sz w:val="22"/>
          <w:szCs w:val="22"/>
        </w:rPr>
        <w:t xml:space="preserve"> J Med</w:t>
      </w:r>
      <w:r w:rsidRPr="006052B4">
        <w:rPr>
          <w:rFonts w:asciiTheme="minorHAnsi" w:hAnsiTheme="minorHAnsi" w:cs="Arial"/>
          <w:sz w:val="22"/>
          <w:szCs w:val="22"/>
        </w:rPr>
        <w:t>. 2007 Oct 25;357(17):1705-15</w:t>
      </w:r>
    </w:p>
    <w:p w:rsidR="00C43B7C" w:rsidRPr="006052B4" w:rsidRDefault="00C43B7C" w:rsidP="00C43B7C">
      <w:pPr>
        <w:pStyle w:val="desc2"/>
        <w:numPr>
          <w:ilvl w:val="0"/>
          <w:numId w:val="1"/>
        </w:numPr>
        <w:shd w:val="clear" w:color="auto" w:fill="FFFFFF"/>
        <w:rPr>
          <w:rStyle w:val="highlight1"/>
          <w:rFonts w:asciiTheme="minorHAnsi" w:hAnsiTheme="minorHAnsi" w:cs="Arial"/>
          <w:sz w:val="22"/>
          <w:szCs w:val="22"/>
        </w:rPr>
      </w:pPr>
      <w:proofErr w:type="spellStart"/>
      <w:r w:rsidRPr="006052B4">
        <w:rPr>
          <w:rFonts w:asciiTheme="minorHAnsi" w:hAnsiTheme="minorHAnsi" w:cs="Arial"/>
          <w:sz w:val="22"/>
          <w:szCs w:val="22"/>
        </w:rPr>
        <w:t>Choi</w:t>
      </w:r>
      <w:proofErr w:type="spellEnd"/>
      <w:r w:rsidRPr="006052B4">
        <w:rPr>
          <w:rFonts w:asciiTheme="minorHAnsi" w:hAnsiTheme="minorHAnsi" w:cs="Arial"/>
          <w:sz w:val="22"/>
          <w:szCs w:val="22"/>
        </w:rPr>
        <w:t xml:space="preserve"> YJ, Chung J, Shin HJ, Cho GJ</w:t>
      </w:r>
      <w:r w:rsidRPr="006052B4">
        <w:rPr>
          <w:rStyle w:val="highlight1"/>
          <w:rFonts w:asciiTheme="minorHAnsi" w:hAnsiTheme="minorHAnsi" w:cs="Arial"/>
          <w:sz w:val="22"/>
          <w:szCs w:val="22"/>
        </w:rPr>
        <w:t xml:space="preserve"> et al. "Induction</w:t>
      </w:r>
      <w:r w:rsidRPr="006052B4">
        <w:rPr>
          <w:rFonts w:asciiTheme="minorHAnsi" w:hAnsiTheme="minorHAnsi" w:cs="Arial"/>
          <w:sz w:val="22"/>
          <w:szCs w:val="22"/>
        </w:rPr>
        <w:t xml:space="preserve"> </w:t>
      </w:r>
      <w:r w:rsidRPr="006052B4">
        <w:rPr>
          <w:rStyle w:val="highlight1"/>
          <w:rFonts w:asciiTheme="minorHAnsi" w:hAnsiTheme="minorHAnsi" w:cs="Arial"/>
          <w:sz w:val="22"/>
          <w:szCs w:val="22"/>
        </w:rPr>
        <w:t>chemotherapy</w:t>
      </w:r>
      <w:r w:rsidRPr="006052B4">
        <w:rPr>
          <w:rFonts w:asciiTheme="minorHAnsi" w:hAnsiTheme="minorHAnsi" w:cs="Arial"/>
          <w:sz w:val="22"/>
          <w:szCs w:val="22"/>
        </w:rPr>
        <w:t xml:space="preserve"> of </w:t>
      </w:r>
      <w:proofErr w:type="spellStart"/>
      <w:r w:rsidRPr="006052B4">
        <w:rPr>
          <w:rStyle w:val="highlight1"/>
          <w:rFonts w:asciiTheme="minorHAnsi" w:hAnsiTheme="minorHAnsi" w:cs="Arial"/>
          <w:sz w:val="22"/>
          <w:szCs w:val="22"/>
        </w:rPr>
        <w:t>docetaxel</w:t>
      </w:r>
      <w:proofErr w:type="spellEnd"/>
      <w:r w:rsidRPr="006052B4">
        <w:rPr>
          <w:rFonts w:asciiTheme="minorHAnsi" w:hAnsiTheme="minorHAnsi" w:cs="Arial"/>
          <w:sz w:val="22"/>
          <w:szCs w:val="22"/>
        </w:rPr>
        <w:t xml:space="preserve"> and </w:t>
      </w:r>
      <w:proofErr w:type="spellStart"/>
      <w:r w:rsidRPr="006052B4">
        <w:rPr>
          <w:rFonts w:asciiTheme="minorHAnsi" w:hAnsiTheme="minorHAnsi" w:cs="Arial"/>
          <w:sz w:val="22"/>
          <w:szCs w:val="22"/>
        </w:rPr>
        <w:t>Cisplatin</w:t>
      </w:r>
      <w:proofErr w:type="spellEnd"/>
      <w:r w:rsidRPr="006052B4">
        <w:rPr>
          <w:rFonts w:asciiTheme="minorHAnsi" w:hAnsiTheme="minorHAnsi" w:cs="Arial"/>
          <w:sz w:val="22"/>
          <w:szCs w:val="22"/>
        </w:rPr>
        <w:t xml:space="preserve"> for the elderly patients with </w:t>
      </w:r>
      <w:proofErr w:type="spellStart"/>
      <w:r w:rsidRPr="006052B4">
        <w:rPr>
          <w:rFonts w:asciiTheme="minorHAnsi" w:hAnsiTheme="minorHAnsi" w:cs="Arial"/>
          <w:sz w:val="22"/>
          <w:szCs w:val="22"/>
        </w:rPr>
        <w:t>squamous</w:t>
      </w:r>
      <w:proofErr w:type="spellEnd"/>
      <w:r w:rsidRPr="006052B4">
        <w:rPr>
          <w:rFonts w:asciiTheme="minorHAnsi" w:hAnsiTheme="minorHAnsi" w:cs="Arial"/>
          <w:sz w:val="22"/>
          <w:szCs w:val="22"/>
        </w:rPr>
        <w:t xml:space="preserve"> cell </w:t>
      </w:r>
      <w:r w:rsidRPr="006052B4">
        <w:rPr>
          <w:rStyle w:val="highlight1"/>
          <w:rFonts w:asciiTheme="minorHAnsi" w:hAnsiTheme="minorHAnsi" w:cs="Arial"/>
          <w:sz w:val="22"/>
          <w:szCs w:val="22"/>
        </w:rPr>
        <w:t>carcinoma</w:t>
      </w:r>
      <w:r w:rsidRPr="006052B4">
        <w:rPr>
          <w:rFonts w:asciiTheme="minorHAnsi" w:hAnsiTheme="minorHAnsi" w:cs="Arial"/>
          <w:sz w:val="22"/>
          <w:szCs w:val="22"/>
        </w:rPr>
        <w:t xml:space="preserve"> of the </w:t>
      </w:r>
      <w:r w:rsidRPr="006052B4">
        <w:rPr>
          <w:rStyle w:val="highlight1"/>
          <w:rFonts w:asciiTheme="minorHAnsi" w:hAnsiTheme="minorHAnsi" w:cs="Arial"/>
          <w:sz w:val="22"/>
          <w:szCs w:val="22"/>
        </w:rPr>
        <w:t>head and neck</w:t>
      </w:r>
      <w:r w:rsidRPr="006052B4">
        <w:rPr>
          <w:rFonts w:asciiTheme="minorHAnsi" w:hAnsiTheme="minorHAnsi" w:cs="Arial"/>
          <w:sz w:val="22"/>
          <w:szCs w:val="22"/>
        </w:rPr>
        <w:t xml:space="preserve">." </w:t>
      </w:r>
      <w:r w:rsidRPr="006052B4">
        <w:rPr>
          <w:rStyle w:val="jrnl"/>
          <w:rFonts w:asciiTheme="minorHAnsi" w:hAnsiTheme="minorHAnsi" w:cs="Arial"/>
          <w:sz w:val="22"/>
          <w:szCs w:val="22"/>
        </w:rPr>
        <w:t>Cancer Res Treat</w:t>
      </w:r>
      <w:r w:rsidRPr="006052B4">
        <w:rPr>
          <w:rFonts w:asciiTheme="minorHAnsi" w:hAnsiTheme="minorHAnsi" w:cs="Arial"/>
          <w:sz w:val="22"/>
          <w:szCs w:val="22"/>
        </w:rPr>
        <w:t>. 2007 Mar;39(1):1-5</w:t>
      </w:r>
    </w:p>
    <w:p w:rsidR="00C43B7C" w:rsidRPr="006052B4" w:rsidRDefault="00C43B7C" w:rsidP="00C43B7C">
      <w:pPr>
        <w:pStyle w:val="desc2"/>
        <w:numPr>
          <w:ilvl w:val="0"/>
          <w:numId w:val="1"/>
        </w:numPr>
        <w:shd w:val="clear" w:color="auto" w:fill="FFFFFF"/>
        <w:rPr>
          <w:rStyle w:val="highlight1"/>
          <w:rFonts w:asciiTheme="minorHAnsi" w:hAnsiTheme="minorHAnsi"/>
          <w:sz w:val="22"/>
          <w:szCs w:val="22"/>
        </w:rPr>
      </w:pPr>
      <w:r w:rsidRPr="006052B4">
        <w:rPr>
          <w:rStyle w:val="highlight1"/>
          <w:rFonts w:asciiTheme="minorHAnsi" w:hAnsiTheme="minorHAnsi"/>
          <w:sz w:val="22"/>
          <w:szCs w:val="22"/>
        </w:rPr>
        <w:t xml:space="preserve">Haddad R, </w:t>
      </w:r>
      <w:proofErr w:type="spellStart"/>
      <w:r w:rsidRPr="006052B4">
        <w:rPr>
          <w:rStyle w:val="highlight1"/>
          <w:rFonts w:asciiTheme="minorHAnsi" w:hAnsiTheme="minorHAnsi"/>
          <w:sz w:val="22"/>
          <w:szCs w:val="22"/>
        </w:rPr>
        <w:t>Tishler</w:t>
      </w:r>
      <w:proofErr w:type="spellEnd"/>
      <w:r w:rsidRPr="006052B4">
        <w:rPr>
          <w:rStyle w:val="highlight1"/>
          <w:rFonts w:asciiTheme="minorHAnsi" w:hAnsiTheme="minorHAnsi"/>
          <w:sz w:val="22"/>
          <w:szCs w:val="22"/>
        </w:rPr>
        <w:t xml:space="preserve"> R, Wirth L et </w:t>
      </w:r>
      <w:proofErr w:type="gramStart"/>
      <w:r w:rsidRPr="006052B4">
        <w:rPr>
          <w:rStyle w:val="highlight1"/>
          <w:rFonts w:asciiTheme="minorHAnsi" w:hAnsiTheme="minorHAnsi"/>
          <w:sz w:val="22"/>
          <w:szCs w:val="22"/>
        </w:rPr>
        <w:t>al .</w:t>
      </w:r>
      <w:proofErr w:type="gramEnd"/>
      <w:r w:rsidRPr="006052B4">
        <w:rPr>
          <w:rStyle w:val="highlight1"/>
          <w:rFonts w:asciiTheme="minorHAnsi" w:hAnsiTheme="minorHAnsi"/>
          <w:sz w:val="22"/>
          <w:szCs w:val="22"/>
        </w:rPr>
        <w:t xml:space="preserve"> "Rate of pathologic complete responses to </w:t>
      </w:r>
      <w:proofErr w:type="spellStart"/>
      <w:r w:rsidRPr="006052B4">
        <w:rPr>
          <w:rStyle w:val="highlight1"/>
          <w:rFonts w:asciiTheme="minorHAnsi" w:hAnsiTheme="minorHAnsi"/>
          <w:sz w:val="22"/>
          <w:szCs w:val="22"/>
        </w:rPr>
        <w:t>docetaxe</w:t>
      </w:r>
      <w:proofErr w:type="spellEnd"/>
      <w:r w:rsidRPr="006052B4">
        <w:rPr>
          <w:rStyle w:val="highlight1"/>
          <w:rFonts w:asciiTheme="minorHAnsi" w:hAnsiTheme="minorHAnsi"/>
          <w:sz w:val="22"/>
          <w:szCs w:val="22"/>
        </w:rPr>
        <w:t xml:space="preserve"> l, </w:t>
      </w:r>
      <w:proofErr w:type="spellStart"/>
      <w:r w:rsidRPr="006052B4">
        <w:rPr>
          <w:rStyle w:val="highlight1"/>
          <w:rFonts w:asciiTheme="minorHAnsi" w:hAnsiTheme="minorHAnsi"/>
          <w:sz w:val="22"/>
          <w:szCs w:val="22"/>
        </w:rPr>
        <w:t>cisplatin</w:t>
      </w:r>
      <w:proofErr w:type="spellEnd"/>
      <w:r w:rsidRPr="006052B4">
        <w:rPr>
          <w:rStyle w:val="highlight1"/>
          <w:rFonts w:asciiTheme="minorHAnsi" w:hAnsiTheme="minorHAnsi"/>
          <w:sz w:val="22"/>
          <w:szCs w:val="22"/>
        </w:rPr>
        <w:t xml:space="preserve">, and fluorouracil induction chemotherapy in patients with </w:t>
      </w:r>
      <w:proofErr w:type="spellStart"/>
      <w:r w:rsidRPr="006052B4">
        <w:rPr>
          <w:rStyle w:val="highlight1"/>
          <w:rFonts w:asciiTheme="minorHAnsi" w:hAnsiTheme="minorHAnsi"/>
          <w:sz w:val="22"/>
          <w:szCs w:val="22"/>
        </w:rPr>
        <w:t>squamous</w:t>
      </w:r>
      <w:proofErr w:type="spellEnd"/>
      <w:r w:rsidRPr="006052B4">
        <w:rPr>
          <w:rStyle w:val="highlight1"/>
          <w:rFonts w:asciiTheme="minorHAnsi" w:hAnsiTheme="minorHAnsi"/>
          <w:sz w:val="22"/>
          <w:szCs w:val="22"/>
        </w:rPr>
        <w:t xml:space="preserve"> cell carcinoma of the head and </w:t>
      </w:r>
      <w:proofErr w:type="spellStart"/>
      <w:r w:rsidRPr="006052B4">
        <w:rPr>
          <w:rStyle w:val="highlight1"/>
          <w:rFonts w:asciiTheme="minorHAnsi" w:hAnsiTheme="minorHAnsi"/>
          <w:sz w:val="22"/>
          <w:szCs w:val="22"/>
        </w:rPr>
        <w:t>neck"Arch</w:t>
      </w:r>
      <w:proofErr w:type="spellEnd"/>
      <w:r w:rsidRPr="006052B4">
        <w:rPr>
          <w:rStyle w:val="highlight1"/>
          <w:rFonts w:asciiTheme="minorHAnsi" w:hAnsiTheme="minorHAnsi"/>
          <w:sz w:val="22"/>
          <w:szCs w:val="22"/>
        </w:rPr>
        <w:t xml:space="preserve"> </w:t>
      </w:r>
      <w:proofErr w:type="spellStart"/>
      <w:r w:rsidRPr="006052B4">
        <w:rPr>
          <w:rStyle w:val="highlight1"/>
          <w:rFonts w:asciiTheme="minorHAnsi" w:hAnsiTheme="minorHAnsi"/>
          <w:sz w:val="22"/>
          <w:szCs w:val="22"/>
        </w:rPr>
        <w:t>Otolaryngol</w:t>
      </w:r>
      <w:proofErr w:type="spellEnd"/>
      <w:r w:rsidRPr="006052B4">
        <w:rPr>
          <w:rStyle w:val="highlight1"/>
          <w:rFonts w:asciiTheme="minorHAnsi" w:hAnsiTheme="minorHAnsi"/>
          <w:sz w:val="22"/>
          <w:szCs w:val="22"/>
        </w:rPr>
        <w:t xml:space="preserve"> Head Neck Surg.</w:t>
      </w:r>
      <w:r w:rsidRPr="006052B4">
        <w:rPr>
          <w:rFonts w:asciiTheme="minorHAnsi" w:hAnsiTheme="minorHAnsi" w:cs="Arial"/>
          <w:sz w:val="22"/>
          <w:szCs w:val="22"/>
        </w:rPr>
        <w:t xml:space="preserve"> 2006 Jun</w:t>
      </w:r>
      <w:proofErr w:type="gramStart"/>
      <w:r w:rsidRPr="006052B4">
        <w:rPr>
          <w:rFonts w:asciiTheme="minorHAnsi" w:hAnsiTheme="minorHAnsi" w:cs="Arial"/>
          <w:sz w:val="22"/>
          <w:szCs w:val="22"/>
        </w:rPr>
        <w:t>;132</w:t>
      </w:r>
      <w:proofErr w:type="gramEnd"/>
      <w:r w:rsidRPr="006052B4">
        <w:rPr>
          <w:rFonts w:asciiTheme="minorHAnsi" w:hAnsiTheme="minorHAnsi" w:cs="Arial"/>
          <w:sz w:val="22"/>
          <w:szCs w:val="22"/>
        </w:rPr>
        <w:t>(6):678-81.</w:t>
      </w:r>
      <w:r w:rsidRPr="006052B4">
        <w:rPr>
          <w:rStyle w:val="highlight1"/>
          <w:rFonts w:asciiTheme="minorHAnsi" w:hAnsiTheme="minorHAnsi"/>
          <w:sz w:val="22"/>
          <w:szCs w:val="22"/>
        </w:rPr>
        <w:t xml:space="preserve">  </w:t>
      </w:r>
    </w:p>
    <w:p w:rsidR="00C43B7C" w:rsidRPr="006052B4" w:rsidRDefault="00C43B7C" w:rsidP="00C43B7C">
      <w:pPr>
        <w:pStyle w:val="desc2"/>
        <w:numPr>
          <w:ilvl w:val="0"/>
          <w:numId w:val="1"/>
        </w:numPr>
        <w:shd w:val="clear" w:color="auto" w:fill="FFFFFF"/>
        <w:rPr>
          <w:rStyle w:val="highlight1"/>
          <w:rFonts w:asciiTheme="minorHAnsi" w:hAnsiTheme="minorHAnsi"/>
          <w:sz w:val="22"/>
          <w:szCs w:val="22"/>
          <w:rtl/>
        </w:rPr>
      </w:pPr>
      <w:r w:rsidRPr="006052B4">
        <w:rPr>
          <w:rStyle w:val="highlight1"/>
          <w:rFonts w:asciiTheme="minorHAnsi" w:hAnsiTheme="minorHAnsi"/>
          <w:sz w:val="22"/>
          <w:szCs w:val="22"/>
        </w:rPr>
        <w:t xml:space="preserve">Worden FP, Moon J, </w:t>
      </w:r>
      <w:proofErr w:type="spellStart"/>
      <w:r w:rsidRPr="006052B4">
        <w:rPr>
          <w:rStyle w:val="highlight1"/>
          <w:rFonts w:asciiTheme="minorHAnsi" w:hAnsiTheme="minorHAnsi"/>
          <w:sz w:val="22"/>
          <w:szCs w:val="22"/>
        </w:rPr>
        <w:t>Samlowski</w:t>
      </w:r>
      <w:proofErr w:type="spellEnd"/>
      <w:r w:rsidRPr="006052B4">
        <w:rPr>
          <w:rStyle w:val="highlight1"/>
          <w:rFonts w:asciiTheme="minorHAnsi" w:hAnsiTheme="minorHAnsi"/>
          <w:sz w:val="22"/>
          <w:szCs w:val="22"/>
        </w:rPr>
        <w:t xml:space="preserve"> W et al. "A phase II evaluation of a 3-hour infusion of </w:t>
      </w:r>
      <w:proofErr w:type="spellStart"/>
      <w:r w:rsidRPr="006052B4">
        <w:rPr>
          <w:rStyle w:val="highlight1"/>
          <w:rFonts w:asciiTheme="minorHAnsi" w:hAnsiTheme="minorHAnsi"/>
          <w:sz w:val="22"/>
          <w:szCs w:val="22"/>
        </w:rPr>
        <w:t>paclitaxel</w:t>
      </w:r>
      <w:proofErr w:type="spellEnd"/>
      <w:r w:rsidRPr="006052B4">
        <w:rPr>
          <w:rStyle w:val="highlight1"/>
          <w:rFonts w:asciiTheme="minorHAnsi" w:hAnsiTheme="minorHAnsi"/>
          <w:sz w:val="22"/>
          <w:szCs w:val="22"/>
        </w:rPr>
        <w:t xml:space="preserve">, </w:t>
      </w:r>
      <w:proofErr w:type="spellStart"/>
      <w:r w:rsidRPr="006052B4">
        <w:rPr>
          <w:rStyle w:val="highlight1"/>
          <w:rFonts w:asciiTheme="minorHAnsi" w:hAnsiTheme="minorHAnsi"/>
          <w:sz w:val="22"/>
          <w:szCs w:val="22"/>
        </w:rPr>
        <w:t>cisplatin</w:t>
      </w:r>
      <w:proofErr w:type="spellEnd"/>
      <w:r w:rsidRPr="006052B4">
        <w:rPr>
          <w:rStyle w:val="highlight1"/>
          <w:rFonts w:asciiTheme="minorHAnsi" w:hAnsiTheme="minorHAnsi"/>
          <w:sz w:val="22"/>
          <w:szCs w:val="22"/>
        </w:rPr>
        <w:t xml:space="preserve">, and 5-fluorouracil in patients with advanced or recurrent </w:t>
      </w:r>
      <w:proofErr w:type="spellStart"/>
      <w:r w:rsidRPr="006052B4">
        <w:rPr>
          <w:rStyle w:val="highlight1"/>
          <w:rFonts w:asciiTheme="minorHAnsi" w:hAnsiTheme="minorHAnsi"/>
          <w:sz w:val="22"/>
          <w:szCs w:val="22"/>
        </w:rPr>
        <w:t>squamous</w:t>
      </w:r>
      <w:proofErr w:type="spellEnd"/>
      <w:r w:rsidRPr="006052B4">
        <w:rPr>
          <w:rStyle w:val="highlight1"/>
          <w:rFonts w:asciiTheme="minorHAnsi" w:hAnsiTheme="minorHAnsi"/>
          <w:sz w:val="22"/>
          <w:szCs w:val="22"/>
        </w:rPr>
        <w:t xml:space="preserve"> cell carcinoma of the head and neck: Southwest Oncology Group study 0007" Cancer. 2006 Jul 15;107(2):319-27</w:t>
      </w:r>
    </w:p>
    <w:p w:rsidR="00C43B7C" w:rsidRPr="006052B4" w:rsidRDefault="00C43B7C" w:rsidP="00C43B7C">
      <w:pPr>
        <w:pStyle w:val="desc2"/>
        <w:numPr>
          <w:ilvl w:val="0"/>
          <w:numId w:val="1"/>
        </w:numPr>
        <w:shd w:val="clear" w:color="auto" w:fill="FFFFFF"/>
        <w:rPr>
          <w:rStyle w:val="highlight1"/>
          <w:rFonts w:asciiTheme="minorHAnsi" w:hAnsiTheme="minorHAnsi"/>
          <w:sz w:val="22"/>
          <w:szCs w:val="22"/>
        </w:rPr>
      </w:pPr>
      <w:proofErr w:type="spellStart"/>
      <w:r w:rsidRPr="006052B4">
        <w:rPr>
          <w:rFonts w:asciiTheme="minorHAnsi" w:hAnsiTheme="minorHAnsi" w:cs="Arial"/>
          <w:sz w:val="22"/>
          <w:szCs w:val="22"/>
        </w:rPr>
        <w:t>Rapidis</w:t>
      </w:r>
      <w:proofErr w:type="spellEnd"/>
      <w:r w:rsidRPr="006052B4">
        <w:rPr>
          <w:rFonts w:asciiTheme="minorHAnsi" w:hAnsiTheme="minorHAnsi" w:cs="Arial"/>
          <w:sz w:val="22"/>
          <w:szCs w:val="22"/>
        </w:rPr>
        <w:t xml:space="preserve"> AD, </w:t>
      </w:r>
      <w:proofErr w:type="spellStart"/>
      <w:r w:rsidRPr="006052B4">
        <w:rPr>
          <w:rFonts w:asciiTheme="minorHAnsi" w:hAnsiTheme="minorHAnsi" w:cs="Arial"/>
          <w:sz w:val="22"/>
          <w:szCs w:val="22"/>
        </w:rPr>
        <w:t>Trichas</w:t>
      </w:r>
      <w:proofErr w:type="spellEnd"/>
      <w:r w:rsidRPr="006052B4">
        <w:rPr>
          <w:rFonts w:asciiTheme="minorHAnsi" w:hAnsiTheme="minorHAnsi" w:cs="Arial"/>
          <w:sz w:val="22"/>
          <w:szCs w:val="22"/>
        </w:rPr>
        <w:t xml:space="preserve"> M, </w:t>
      </w:r>
      <w:proofErr w:type="spellStart"/>
      <w:r w:rsidRPr="006052B4">
        <w:rPr>
          <w:rFonts w:asciiTheme="minorHAnsi" w:hAnsiTheme="minorHAnsi" w:cs="Arial"/>
          <w:sz w:val="22"/>
          <w:szCs w:val="22"/>
        </w:rPr>
        <w:t>Stavrinidis</w:t>
      </w:r>
      <w:proofErr w:type="spellEnd"/>
      <w:r w:rsidRPr="006052B4">
        <w:rPr>
          <w:rFonts w:asciiTheme="minorHAnsi" w:hAnsiTheme="minorHAnsi" w:cs="Arial"/>
          <w:sz w:val="22"/>
          <w:szCs w:val="22"/>
        </w:rPr>
        <w:t xml:space="preserve"> E,</w:t>
      </w:r>
      <w:r w:rsidRPr="006052B4">
        <w:rPr>
          <w:rStyle w:val="highlight1"/>
          <w:rFonts w:asciiTheme="minorHAnsi" w:hAnsiTheme="minorHAnsi"/>
          <w:sz w:val="22"/>
          <w:szCs w:val="22"/>
        </w:rPr>
        <w:t xml:space="preserve"> et al. "</w:t>
      </w:r>
      <w:r w:rsidRPr="006052B4">
        <w:rPr>
          <w:rStyle w:val="highlight1"/>
          <w:rFonts w:asciiTheme="minorHAnsi" w:hAnsiTheme="minorHAnsi" w:cs="Arial"/>
          <w:sz w:val="22"/>
          <w:szCs w:val="22"/>
        </w:rPr>
        <w:t>Induction</w:t>
      </w:r>
      <w:r w:rsidRPr="006052B4">
        <w:rPr>
          <w:rFonts w:asciiTheme="minorHAnsi" w:hAnsiTheme="minorHAnsi" w:cs="Arial"/>
          <w:sz w:val="22"/>
          <w:szCs w:val="22"/>
        </w:rPr>
        <w:t xml:space="preserve"> </w:t>
      </w:r>
      <w:r w:rsidRPr="006052B4">
        <w:rPr>
          <w:rStyle w:val="highlight1"/>
          <w:rFonts w:asciiTheme="minorHAnsi" w:hAnsiTheme="minorHAnsi" w:cs="Arial"/>
          <w:sz w:val="22"/>
          <w:szCs w:val="22"/>
        </w:rPr>
        <w:t>chemotherapy</w:t>
      </w:r>
      <w:r w:rsidRPr="006052B4">
        <w:rPr>
          <w:rFonts w:asciiTheme="minorHAnsi" w:hAnsiTheme="minorHAnsi" w:cs="Arial"/>
          <w:sz w:val="22"/>
          <w:szCs w:val="22"/>
        </w:rPr>
        <w:t xml:space="preserve"> followed by concurrent </w:t>
      </w:r>
      <w:proofErr w:type="spellStart"/>
      <w:r w:rsidRPr="006052B4">
        <w:rPr>
          <w:rFonts w:asciiTheme="minorHAnsi" w:hAnsiTheme="minorHAnsi" w:cs="Arial"/>
          <w:sz w:val="22"/>
          <w:szCs w:val="22"/>
        </w:rPr>
        <w:t>chemoradiation</w:t>
      </w:r>
      <w:proofErr w:type="spellEnd"/>
      <w:r w:rsidRPr="006052B4">
        <w:rPr>
          <w:rFonts w:asciiTheme="minorHAnsi" w:hAnsiTheme="minorHAnsi" w:cs="Arial"/>
          <w:sz w:val="22"/>
          <w:szCs w:val="22"/>
        </w:rPr>
        <w:t xml:space="preserve"> in advanced </w:t>
      </w:r>
      <w:proofErr w:type="spellStart"/>
      <w:r w:rsidRPr="006052B4">
        <w:rPr>
          <w:rFonts w:asciiTheme="minorHAnsi" w:hAnsiTheme="minorHAnsi" w:cs="Arial"/>
          <w:sz w:val="22"/>
          <w:szCs w:val="22"/>
        </w:rPr>
        <w:t>squamous</w:t>
      </w:r>
      <w:proofErr w:type="spellEnd"/>
      <w:r w:rsidRPr="006052B4">
        <w:rPr>
          <w:rFonts w:asciiTheme="minorHAnsi" w:hAnsiTheme="minorHAnsi" w:cs="Arial"/>
          <w:sz w:val="22"/>
          <w:szCs w:val="22"/>
        </w:rPr>
        <w:t xml:space="preserve"> cell </w:t>
      </w:r>
      <w:r w:rsidRPr="006052B4">
        <w:rPr>
          <w:rStyle w:val="highlight1"/>
          <w:rFonts w:asciiTheme="minorHAnsi" w:hAnsiTheme="minorHAnsi" w:cs="Arial"/>
          <w:sz w:val="22"/>
          <w:szCs w:val="22"/>
        </w:rPr>
        <w:t>carcinoma</w:t>
      </w:r>
      <w:r w:rsidRPr="006052B4">
        <w:rPr>
          <w:rFonts w:asciiTheme="minorHAnsi" w:hAnsiTheme="minorHAnsi" w:cs="Arial"/>
          <w:sz w:val="22"/>
          <w:szCs w:val="22"/>
        </w:rPr>
        <w:t xml:space="preserve"> of the </w:t>
      </w:r>
      <w:r w:rsidRPr="006052B4">
        <w:rPr>
          <w:rStyle w:val="highlight1"/>
          <w:rFonts w:asciiTheme="minorHAnsi" w:hAnsiTheme="minorHAnsi" w:cs="Arial"/>
          <w:sz w:val="22"/>
          <w:szCs w:val="22"/>
        </w:rPr>
        <w:t>head and neck</w:t>
      </w:r>
      <w:r w:rsidRPr="006052B4">
        <w:rPr>
          <w:rFonts w:asciiTheme="minorHAnsi" w:hAnsiTheme="minorHAnsi" w:cs="Arial"/>
          <w:sz w:val="22"/>
          <w:szCs w:val="22"/>
        </w:rPr>
        <w:t xml:space="preserve">: final results from a phase II study with </w:t>
      </w:r>
      <w:proofErr w:type="spellStart"/>
      <w:r w:rsidRPr="006052B4">
        <w:rPr>
          <w:rStyle w:val="highlight1"/>
          <w:rFonts w:asciiTheme="minorHAnsi" w:hAnsiTheme="minorHAnsi" w:cs="Arial"/>
          <w:sz w:val="22"/>
          <w:szCs w:val="22"/>
        </w:rPr>
        <w:t>docetaxel</w:t>
      </w:r>
      <w:proofErr w:type="spellEnd"/>
      <w:r w:rsidRPr="006052B4">
        <w:rPr>
          <w:rFonts w:asciiTheme="minorHAnsi" w:hAnsiTheme="minorHAnsi" w:cs="Arial"/>
          <w:sz w:val="22"/>
          <w:szCs w:val="22"/>
        </w:rPr>
        <w:t xml:space="preserve">, </w:t>
      </w:r>
      <w:proofErr w:type="spellStart"/>
      <w:r w:rsidRPr="006052B4">
        <w:rPr>
          <w:rFonts w:asciiTheme="minorHAnsi" w:hAnsiTheme="minorHAnsi" w:cs="Arial"/>
          <w:sz w:val="22"/>
          <w:szCs w:val="22"/>
        </w:rPr>
        <w:t>cisplatin</w:t>
      </w:r>
      <w:proofErr w:type="spellEnd"/>
      <w:r w:rsidRPr="006052B4">
        <w:rPr>
          <w:rFonts w:asciiTheme="minorHAnsi" w:hAnsiTheme="minorHAnsi" w:cs="Arial"/>
          <w:sz w:val="22"/>
          <w:szCs w:val="22"/>
        </w:rPr>
        <w:t xml:space="preserve"> and 5-fluorouracil with a four-year follow-up." </w:t>
      </w:r>
      <w:r w:rsidRPr="006052B4">
        <w:rPr>
          <w:rStyle w:val="jrnl"/>
          <w:rFonts w:asciiTheme="minorHAnsi" w:hAnsiTheme="minorHAnsi" w:cs="Arial"/>
          <w:sz w:val="22"/>
          <w:szCs w:val="22"/>
        </w:rPr>
        <w:t xml:space="preserve">Oral </w:t>
      </w:r>
      <w:proofErr w:type="spellStart"/>
      <w:r w:rsidRPr="006052B4">
        <w:rPr>
          <w:rStyle w:val="jrnl"/>
          <w:rFonts w:asciiTheme="minorHAnsi" w:hAnsiTheme="minorHAnsi" w:cs="Arial"/>
          <w:sz w:val="22"/>
          <w:szCs w:val="22"/>
        </w:rPr>
        <w:t>Oncol</w:t>
      </w:r>
      <w:proofErr w:type="spellEnd"/>
      <w:r w:rsidRPr="006052B4">
        <w:rPr>
          <w:rFonts w:asciiTheme="minorHAnsi" w:hAnsiTheme="minorHAnsi" w:cs="Arial"/>
          <w:sz w:val="22"/>
          <w:szCs w:val="22"/>
        </w:rPr>
        <w:t>. 2006 Aug;42(7):675-84</w:t>
      </w:r>
    </w:p>
    <w:p w:rsidR="00C43B7C" w:rsidRPr="006052B4" w:rsidRDefault="00C43B7C" w:rsidP="00C43B7C">
      <w:pPr>
        <w:pStyle w:val="desc2"/>
        <w:numPr>
          <w:ilvl w:val="0"/>
          <w:numId w:val="1"/>
        </w:numPr>
        <w:shd w:val="clear" w:color="auto" w:fill="FFFFFF"/>
        <w:rPr>
          <w:rFonts w:asciiTheme="minorHAnsi" w:hAnsiTheme="minorHAnsi"/>
          <w:sz w:val="22"/>
          <w:szCs w:val="22"/>
          <w:shd w:val="clear" w:color="auto" w:fill="F2F5F8"/>
        </w:rPr>
      </w:pPr>
      <w:proofErr w:type="spellStart"/>
      <w:r w:rsidRPr="006052B4">
        <w:rPr>
          <w:rFonts w:asciiTheme="minorHAnsi" w:hAnsiTheme="minorHAnsi" w:cs="Arial"/>
          <w:sz w:val="22"/>
          <w:szCs w:val="22"/>
        </w:rPr>
        <w:t>Benasso</w:t>
      </w:r>
      <w:proofErr w:type="spellEnd"/>
      <w:r w:rsidRPr="006052B4">
        <w:rPr>
          <w:rFonts w:asciiTheme="minorHAnsi" w:hAnsiTheme="minorHAnsi" w:cs="Arial"/>
          <w:sz w:val="22"/>
          <w:szCs w:val="22"/>
        </w:rPr>
        <w:t xml:space="preserve"> M, </w:t>
      </w:r>
      <w:proofErr w:type="spellStart"/>
      <w:r w:rsidRPr="006052B4">
        <w:rPr>
          <w:rFonts w:asciiTheme="minorHAnsi" w:hAnsiTheme="minorHAnsi" w:cs="Arial"/>
          <w:sz w:val="22"/>
          <w:szCs w:val="22"/>
        </w:rPr>
        <w:t>Ponzanelli</w:t>
      </w:r>
      <w:proofErr w:type="spellEnd"/>
      <w:r w:rsidRPr="006052B4">
        <w:rPr>
          <w:rFonts w:asciiTheme="minorHAnsi" w:hAnsiTheme="minorHAnsi" w:cs="Arial"/>
          <w:sz w:val="22"/>
          <w:szCs w:val="22"/>
        </w:rPr>
        <w:t xml:space="preserve"> A, </w:t>
      </w:r>
      <w:proofErr w:type="spellStart"/>
      <w:r w:rsidRPr="006052B4">
        <w:rPr>
          <w:rFonts w:asciiTheme="minorHAnsi" w:hAnsiTheme="minorHAnsi" w:cs="Arial"/>
          <w:sz w:val="22"/>
          <w:szCs w:val="22"/>
        </w:rPr>
        <w:t>Merlano</w:t>
      </w:r>
      <w:proofErr w:type="spellEnd"/>
      <w:r w:rsidRPr="006052B4">
        <w:rPr>
          <w:rFonts w:asciiTheme="minorHAnsi" w:hAnsiTheme="minorHAnsi" w:cs="Arial"/>
          <w:sz w:val="22"/>
          <w:szCs w:val="22"/>
        </w:rPr>
        <w:t xml:space="preserve"> M</w:t>
      </w:r>
      <w:r w:rsidRPr="006052B4">
        <w:rPr>
          <w:rStyle w:val="highlight1"/>
          <w:rFonts w:asciiTheme="minorHAnsi" w:hAnsiTheme="minorHAnsi"/>
          <w:sz w:val="22"/>
          <w:szCs w:val="22"/>
        </w:rPr>
        <w:t xml:space="preserve"> et al. "</w:t>
      </w:r>
      <w:proofErr w:type="spellStart"/>
      <w:r w:rsidRPr="006052B4">
        <w:rPr>
          <w:rStyle w:val="highlight1"/>
          <w:rFonts w:asciiTheme="minorHAnsi" w:hAnsiTheme="minorHAnsi" w:cs="Arial"/>
          <w:sz w:val="22"/>
          <w:szCs w:val="22"/>
        </w:rPr>
        <w:t>Paclitaxel</w:t>
      </w:r>
      <w:proofErr w:type="spellEnd"/>
      <w:r w:rsidRPr="006052B4">
        <w:rPr>
          <w:rFonts w:asciiTheme="minorHAnsi" w:hAnsiTheme="minorHAnsi" w:cs="Arial"/>
          <w:sz w:val="22"/>
          <w:szCs w:val="22"/>
        </w:rPr>
        <w:t xml:space="preserve">, </w:t>
      </w:r>
      <w:proofErr w:type="spellStart"/>
      <w:r w:rsidRPr="006052B4">
        <w:rPr>
          <w:rFonts w:asciiTheme="minorHAnsi" w:hAnsiTheme="minorHAnsi" w:cs="Arial"/>
          <w:sz w:val="22"/>
          <w:szCs w:val="22"/>
        </w:rPr>
        <w:t>cisplatin</w:t>
      </w:r>
      <w:proofErr w:type="spellEnd"/>
      <w:r w:rsidRPr="006052B4">
        <w:rPr>
          <w:rFonts w:asciiTheme="minorHAnsi" w:hAnsiTheme="minorHAnsi" w:cs="Arial"/>
          <w:sz w:val="22"/>
          <w:szCs w:val="22"/>
        </w:rPr>
        <w:t xml:space="preserve"> and 5-fluorouracil in recurrent </w:t>
      </w:r>
      <w:proofErr w:type="spellStart"/>
      <w:r w:rsidRPr="006052B4">
        <w:rPr>
          <w:rFonts w:asciiTheme="minorHAnsi" w:hAnsiTheme="minorHAnsi" w:cs="Arial"/>
          <w:sz w:val="22"/>
          <w:szCs w:val="22"/>
        </w:rPr>
        <w:t>squamous</w:t>
      </w:r>
      <w:proofErr w:type="spellEnd"/>
      <w:r w:rsidRPr="006052B4">
        <w:rPr>
          <w:rFonts w:asciiTheme="minorHAnsi" w:hAnsiTheme="minorHAnsi" w:cs="Arial"/>
          <w:sz w:val="22"/>
          <w:szCs w:val="22"/>
        </w:rPr>
        <w:t xml:space="preserve"> cell </w:t>
      </w:r>
      <w:r w:rsidRPr="006052B4">
        <w:rPr>
          <w:rStyle w:val="highlight1"/>
          <w:rFonts w:asciiTheme="minorHAnsi" w:hAnsiTheme="minorHAnsi" w:cs="Arial"/>
          <w:sz w:val="22"/>
          <w:szCs w:val="22"/>
        </w:rPr>
        <w:t>carcinoma</w:t>
      </w:r>
      <w:r w:rsidRPr="006052B4">
        <w:rPr>
          <w:rFonts w:asciiTheme="minorHAnsi" w:hAnsiTheme="minorHAnsi" w:cs="Arial"/>
          <w:sz w:val="22"/>
          <w:szCs w:val="22"/>
        </w:rPr>
        <w:t xml:space="preserve"> of the </w:t>
      </w:r>
      <w:r w:rsidRPr="006052B4">
        <w:rPr>
          <w:rStyle w:val="highlight1"/>
          <w:rFonts w:asciiTheme="minorHAnsi" w:hAnsiTheme="minorHAnsi" w:cs="Arial"/>
          <w:sz w:val="22"/>
          <w:szCs w:val="22"/>
        </w:rPr>
        <w:t>head and neck</w:t>
      </w:r>
      <w:r w:rsidRPr="006052B4">
        <w:rPr>
          <w:rFonts w:asciiTheme="minorHAnsi" w:hAnsiTheme="minorHAnsi" w:cs="Arial"/>
          <w:sz w:val="22"/>
          <w:szCs w:val="22"/>
        </w:rPr>
        <w:t xml:space="preserve">: a phase II trial from an Italian cooperative group" </w:t>
      </w:r>
      <w:proofErr w:type="spellStart"/>
      <w:r w:rsidRPr="006052B4">
        <w:rPr>
          <w:rStyle w:val="jrnl"/>
          <w:rFonts w:asciiTheme="minorHAnsi" w:hAnsiTheme="minorHAnsi" w:cs="Arial"/>
          <w:sz w:val="22"/>
          <w:szCs w:val="22"/>
        </w:rPr>
        <w:t>Acta</w:t>
      </w:r>
      <w:proofErr w:type="spellEnd"/>
      <w:r w:rsidRPr="006052B4">
        <w:rPr>
          <w:rStyle w:val="jrnl"/>
          <w:rFonts w:asciiTheme="minorHAnsi" w:hAnsiTheme="minorHAnsi" w:cs="Arial"/>
          <w:sz w:val="22"/>
          <w:szCs w:val="22"/>
        </w:rPr>
        <w:t xml:space="preserve"> </w:t>
      </w:r>
      <w:proofErr w:type="spellStart"/>
      <w:r w:rsidRPr="006052B4">
        <w:rPr>
          <w:rStyle w:val="jrnl"/>
          <w:rFonts w:asciiTheme="minorHAnsi" w:hAnsiTheme="minorHAnsi" w:cs="Arial"/>
          <w:sz w:val="22"/>
          <w:szCs w:val="22"/>
        </w:rPr>
        <w:t>Oncol</w:t>
      </w:r>
      <w:proofErr w:type="spellEnd"/>
      <w:r w:rsidRPr="006052B4">
        <w:rPr>
          <w:rFonts w:asciiTheme="minorHAnsi" w:hAnsiTheme="minorHAnsi" w:cs="Arial"/>
          <w:sz w:val="22"/>
          <w:szCs w:val="22"/>
        </w:rPr>
        <w:t>. 2006</w:t>
      </w:r>
      <w:proofErr w:type="gramStart"/>
      <w:r w:rsidRPr="006052B4">
        <w:rPr>
          <w:rFonts w:asciiTheme="minorHAnsi" w:hAnsiTheme="minorHAnsi" w:cs="Arial"/>
          <w:sz w:val="22"/>
          <w:szCs w:val="22"/>
        </w:rPr>
        <w:t>;45</w:t>
      </w:r>
      <w:proofErr w:type="gramEnd"/>
      <w:r w:rsidRPr="006052B4">
        <w:rPr>
          <w:rFonts w:asciiTheme="minorHAnsi" w:hAnsiTheme="minorHAnsi" w:cs="Arial"/>
          <w:sz w:val="22"/>
          <w:szCs w:val="22"/>
        </w:rPr>
        <w:t>(2):168-74.</w:t>
      </w:r>
    </w:p>
    <w:p w:rsidR="00C43B7C" w:rsidRPr="006052B4" w:rsidRDefault="00C43B7C" w:rsidP="00C43B7C">
      <w:pPr>
        <w:pStyle w:val="desc2"/>
        <w:numPr>
          <w:ilvl w:val="0"/>
          <w:numId w:val="1"/>
        </w:numPr>
        <w:shd w:val="clear" w:color="auto" w:fill="FFFFFF"/>
        <w:rPr>
          <w:rStyle w:val="highlight1"/>
          <w:rFonts w:asciiTheme="minorHAnsi" w:hAnsiTheme="minorHAnsi"/>
          <w:sz w:val="22"/>
          <w:szCs w:val="22"/>
        </w:rPr>
      </w:pPr>
      <w:proofErr w:type="spellStart"/>
      <w:r w:rsidRPr="006052B4">
        <w:rPr>
          <w:rFonts w:asciiTheme="minorHAnsi" w:hAnsiTheme="minorHAnsi" w:cs="Arial"/>
          <w:sz w:val="22"/>
          <w:szCs w:val="22"/>
        </w:rPr>
        <w:t>Fountzilas</w:t>
      </w:r>
      <w:proofErr w:type="spellEnd"/>
      <w:r w:rsidRPr="006052B4">
        <w:rPr>
          <w:rFonts w:asciiTheme="minorHAnsi" w:hAnsiTheme="minorHAnsi" w:cs="Arial"/>
          <w:sz w:val="22"/>
          <w:szCs w:val="22"/>
        </w:rPr>
        <w:t xml:space="preserve"> G, </w:t>
      </w:r>
      <w:proofErr w:type="spellStart"/>
      <w:r w:rsidRPr="006052B4">
        <w:rPr>
          <w:rFonts w:asciiTheme="minorHAnsi" w:hAnsiTheme="minorHAnsi" w:cs="Arial"/>
          <w:sz w:val="22"/>
          <w:szCs w:val="22"/>
        </w:rPr>
        <w:t>Tolis</w:t>
      </w:r>
      <w:proofErr w:type="spellEnd"/>
      <w:r w:rsidRPr="006052B4">
        <w:rPr>
          <w:rFonts w:asciiTheme="minorHAnsi" w:hAnsiTheme="minorHAnsi" w:cs="Arial"/>
          <w:sz w:val="22"/>
          <w:szCs w:val="22"/>
        </w:rPr>
        <w:t xml:space="preserve"> C, </w:t>
      </w:r>
      <w:proofErr w:type="spellStart"/>
      <w:r w:rsidRPr="006052B4">
        <w:rPr>
          <w:rFonts w:asciiTheme="minorHAnsi" w:hAnsiTheme="minorHAnsi" w:cs="Arial"/>
          <w:sz w:val="22"/>
          <w:szCs w:val="22"/>
        </w:rPr>
        <w:t>Kalogera-Fountzila</w:t>
      </w:r>
      <w:proofErr w:type="spellEnd"/>
      <w:r w:rsidRPr="006052B4">
        <w:rPr>
          <w:rFonts w:asciiTheme="minorHAnsi" w:hAnsiTheme="minorHAnsi" w:cs="Arial"/>
          <w:sz w:val="22"/>
          <w:szCs w:val="22"/>
        </w:rPr>
        <w:t xml:space="preserve"> </w:t>
      </w:r>
      <w:proofErr w:type="gramStart"/>
      <w:r w:rsidRPr="006052B4">
        <w:rPr>
          <w:rFonts w:asciiTheme="minorHAnsi" w:hAnsiTheme="minorHAnsi" w:cs="Arial"/>
          <w:sz w:val="22"/>
          <w:szCs w:val="22"/>
        </w:rPr>
        <w:t>A</w:t>
      </w:r>
      <w:proofErr w:type="gramEnd"/>
      <w:r w:rsidRPr="006052B4">
        <w:rPr>
          <w:rStyle w:val="highlight1"/>
          <w:rFonts w:asciiTheme="minorHAnsi" w:hAnsiTheme="minorHAnsi" w:cs="Arial"/>
          <w:sz w:val="22"/>
          <w:szCs w:val="22"/>
        </w:rPr>
        <w:t xml:space="preserve"> et al. "</w:t>
      </w:r>
      <w:proofErr w:type="spellStart"/>
      <w:r w:rsidRPr="006052B4">
        <w:rPr>
          <w:rStyle w:val="highlight1"/>
          <w:rFonts w:asciiTheme="minorHAnsi" w:hAnsiTheme="minorHAnsi" w:cs="Arial"/>
          <w:sz w:val="22"/>
          <w:szCs w:val="22"/>
        </w:rPr>
        <w:t>Paclitaxel</w:t>
      </w:r>
      <w:proofErr w:type="spellEnd"/>
      <w:r w:rsidRPr="006052B4">
        <w:rPr>
          <w:rFonts w:asciiTheme="minorHAnsi" w:hAnsiTheme="minorHAnsi" w:cs="Arial"/>
          <w:sz w:val="22"/>
          <w:szCs w:val="22"/>
        </w:rPr>
        <w:t xml:space="preserve">, </w:t>
      </w:r>
      <w:proofErr w:type="spellStart"/>
      <w:r w:rsidRPr="006052B4">
        <w:rPr>
          <w:rFonts w:asciiTheme="minorHAnsi" w:hAnsiTheme="minorHAnsi" w:cs="Arial"/>
          <w:sz w:val="22"/>
          <w:szCs w:val="22"/>
        </w:rPr>
        <w:t>cisplatin</w:t>
      </w:r>
      <w:proofErr w:type="spellEnd"/>
      <w:r w:rsidRPr="006052B4">
        <w:rPr>
          <w:rFonts w:asciiTheme="minorHAnsi" w:hAnsiTheme="minorHAnsi" w:cs="Arial"/>
          <w:sz w:val="22"/>
          <w:szCs w:val="22"/>
        </w:rPr>
        <w:t xml:space="preserve">, </w:t>
      </w:r>
      <w:proofErr w:type="spellStart"/>
      <w:r w:rsidRPr="006052B4">
        <w:rPr>
          <w:rFonts w:asciiTheme="minorHAnsi" w:hAnsiTheme="minorHAnsi" w:cs="Arial"/>
          <w:sz w:val="22"/>
          <w:szCs w:val="22"/>
        </w:rPr>
        <w:t>leucovorin</w:t>
      </w:r>
      <w:proofErr w:type="spellEnd"/>
      <w:r w:rsidRPr="006052B4">
        <w:rPr>
          <w:rFonts w:asciiTheme="minorHAnsi" w:hAnsiTheme="minorHAnsi" w:cs="Arial"/>
          <w:sz w:val="22"/>
          <w:szCs w:val="22"/>
        </w:rPr>
        <w:t xml:space="preserve">, and continuous infusion fluorouracil followed by concomitant </w:t>
      </w:r>
      <w:proofErr w:type="spellStart"/>
      <w:r w:rsidRPr="006052B4">
        <w:rPr>
          <w:rFonts w:asciiTheme="minorHAnsi" w:hAnsiTheme="minorHAnsi" w:cs="Arial"/>
          <w:sz w:val="22"/>
          <w:szCs w:val="22"/>
        </w:rPr>
        <w:t>chemoradiotherapy</w:t>
      </w:r>
      <w:proofErr w:type="spellEnd"/>
      <w:r w:rsidRPr="006052B4">
        <w:rPr>
          <w:rFonts w:asciiTheme="minorHAnsi" w:hAnsiTheme="minorHAnsi" w:cs="Arial"/>
          <w:sz w:val="22"/>
          <w:szCs w:val="22"/>
        </w:rPr>
        <w:t xml:space="preserve"> for locally advanced </w:t>
      </w:r>
      <w:proofErr w:type="spellStart"/>
      <w:r w:rsidRPr="006052B4">
        <w:rPr>
          <w:rFonts w:asciiTheme="minorHAnsi" w:hAnsiTheme="minorHAnsi" w:cs="Arial"/>
          <w:sz w:val="22"/>
          <w:szCs w:val="22"/>
        </w:rPr>
        <w:t>squamous</w:t>
      </w:r>
      <w:proofErr w:type="spellEnd"/>
      <w:r w:rsidRPr="006052B4">
        <w:rPr>
          <w:rFonts w:asciiTheme="minorHAnsi" w:hAnsiTheme="minorHAnsi" w:cs="Arial"/>
          <w:sz w:val="22"/>
          <w:szCs w:val="22"/>
        </w:rPr>
        <w:t xml:space="preserve"> cell </w:t>
      </w:r>
      <w:r w:rsidRPr="006052B4">
        <w:rPr>
          <w:rStyle w:val="highlight1"/>
          <w:rFonts w:asciiTheme="minorHAnsi" w:hAnsiTheme="minorHAnsi" w:cs="Arial"/>
          <w:sz w:val="22"/>
          <w:szCs w:val="22"/>
        </w:rPr>
        <w:t>carcinoma</w:t>
      </w:r>
      <w:r w:rsidRPr="006052B4">
        <w:rPr>
          <w:rFonts w:asciiTheme="minorHAnsi" w:hAnsiTheme="minorHAnsi" w:cs="Arial"/>
          <w:sz w:val="22"/>
          <w:szCs w:val="22"/>
        </w:rPr>
        <w:t xml:space="preserve"> of the </w:t>
      </w:r>
      <w:r w:rsidRPr="006052B4">
        <w:rPr>
          <w:rStyle w:val="highlight1"/>
          <w:rFonts w:asciiTheme="minorHAnsi" w:hAnsiTheme="minorHAnsi" w:cs="Arial"/>
          <w:sz w:val="22"/>
          <w:szCs w:val="22"/>
        </w:rPr>
        <w:t>head and neck</w:t>
      </w:r>
      <w:r w:rsidRPr="006052B4">
        <w:rPr>
          <w:rFonts w:asciiTheme="minorHAnsi" w:hAnsiTheme="minorHAnsi" w:cs="Arial"/>
          <w:sz w:val="22"/>
          <w:szCs w:val="22"/>
        </w:rPr>
        <w:t xml:space="preserve">: a Hellenic Cooperative Oncology Group Phase II Study." </w:t>
      </w:r>
      <w:r w:rsidRPr="006052B4">
        <w:rPr>
          <w:rStyle w:val="jrnl"/>
          <w:rFonts w:asciiTheme="minorHAnsi" w:hAnsiTheme="minorHAnsi" w:cs="Arial"/>
          <w:sz w:val="22"/>
          <w:szCs w:val="22"/>
        </w:rPr>
        <w:t xml:space="preserve">Med </w:t>
      </w:r>
      <w:proofErr w:type="spellStart"/>
      <w:r w:rsidRPr="006052B4">
        <w:rPr>
          <w:rStyle w:val="jrnl"/>
          <w:rFonts w:asciiTheme="minorHAnsi" w:hAnsiTheme="minorHAnsi" w:cs="Arial"/>
          <w:sz w:val="22"/>
          <w:szCs w:val="22"/>
        </w:rPr>
        <w:t>Oncol</w:t>
      </w:r>
      <w:proofErr w:type="spellEnd"/>
      <w:r w:rsidRPr="006052B4">
        <w:rPr>
          <w:rFonts w:asciiTheme="minorHAnsi" w:hAnsiTheme="minorHAnsi" w:cs="Arial"/>
          <w:sz w:val="22"/>
          <w:szCs w:val="22"/>
        </w:rPr>
        <w:t>. 2005;22(3):269-79</w:t>
      </w:r>
    </w:p>
    <w:p w:rsidR="003976BB" w:rsidRDefault="003976BB"/>
    <w:p w:rsidR="00C43B7C" w:rsidRDefault="00C43B7C">
      <w:pPr>
        <w:rPr>
          <w:b/>
          <w:sz w:val="24"/>
          <w:szCs w:val="18"/>
        </w:rPr>
      </w:pPr>
      <w:r>
        <w:rPr>
          <w:b/>
          <w:sz w:val="24"/>
          <w:szCs w:val="18"/>
        </w:rPr>
        <w:br w:type="page"/>
      </w:r>
    </w:p>
    <w:p w:rsidR="003976BB" w:rsidRPr="00C43B7C" w:rsidRDefault="003976BB" w:rsidP="003976BB">
      <w:pPr>
        <w:spacing w:line="240" w:lineRule="auto"/>
        <w:rPr>
          <w:rFonts w:cstheme="minorHAnsi"/>
          <w:b/>
          <w:sz w:val="24"/>
          <w:szCs w:val="18"/>
        </w:rPr>
      </w:pPr>
      <w:r w:rsidRPr="00C43B7C">
        <w:rPr>
          <w:b/>
          <w:sz w:val="24"/>
          <w:szCs w:val="18"/>
        </w:rPr>
        <w:lastRenderedPageBreak/>
        <w:t>Table 1: C</w:t>
      </w:r>
      <w:r w:rsidRPr="00C43B7C">
        <w:rPr>
          <w:b/>
          <w:noProof/>
          <w:sz w:val="24"/>
          <w:szCs w:val="18"/>
        </w:rPr>
        <w:t>haracteristics</w:t>
      </w:r>
      <w:r w:rsidRPr="00C43B7C">
        <w:rPr>
          <w:rFonts w:cstheme="minorHAnsi"/>
          <w:b/>
          <w:sz w:val="24"/>
          <w:szCs w:val="18"/>
        </w:rPr>
        <w:t xml:space="preserve"> of included studies</w:t>
      </w:r>
    </w:p>
    <w:p w:rsidR="00C43B7C" w:rsidRDefault="003976BB" w:rsidP="00C43B7C">
      <w:pPr>
        <w:spacing w:line="240" w:lineRule="auto"/>
        <w:rPr>
          <w:rFonts w:cs="Times New Roman"/>
          <w:sz w:val="20"/>
          <w:szCs w:val="18"/>
        </w:rPr>
      </w:pPr>
      <w:r w:rsidRPr="00291741">
        <w:rPr>
          <w:rFonts w:cstheme="minorHAnsi"/>
          <w:sz w:val="20"/>
          <w:szCs w:val="18"/>
        </w:rPr>
        <w:t>IV  - intravenous; Pa –</w:t>
      </w:r>
      <w:proofErr w:type="spellStart"/>
      <w:r w:rsidRPr="00291741">
        <w:rPr>
          <w:rFonts w:cstheme="minorHAnsi"/>
          <w:sz w:val="20"/>
          <w:szCs w:val="18"/>
        </w:rPr>
        <w:t>paclitaxel</w:t>
      </w:r>
      <w:proofErr w:type="spellEnd"/>
      <w:r w:rsidRPr="00291741">
        <w:rPr>
          <w:rFonts w:cstheme="minorHAnsi"/>
          <w:sz w:val="20"/>
          <w:szCs w:val="18"/>
        </w:rPr>
        <w:t>; T-</w:t>
      </w:r>
      <w:proofErr w:type="spellStart"/>
      <w:r w:rsidRPr="00291741">
        <w:rPr>
          <w:rFonts w:cstheme="minorHAnsi"/>
          <w:sz w:val="20"/>
          <w:szCs w:val="18"/>
        </w:rPr>
        <w:t>docetaxel</w:t>
      </w:r>
      <w:proofErr w:type="spellEnd"/>
      <w:r w:rsidRPr="00291741">
        <w:rPr>
          <w:rFonts w:cstheme="minorHAnsi"/>
          <w:sz w:val="20"/>
          <w:szCs w:val="18"/>
        </w:rPr>
        <w:t>; P-</w:t>
      </w:r>
      <w:proofErr w:type="spellStart"/>
      <w:r w:rsidRPr="00291741">
        <w:rPr>
          <w:rFonts w:cstheme="minorHAnsi"/>
          <w:sz w:val="20"/>
          <w:szCs w:val="18"/>
        </w:rPr>
        <w:t>cisplatin</w:t>
      </w:r>
      <w:proofErr w:type="spellEnd"/>
      <w:r w:rsidRPr="00291741">
        <w:rPr>
          <w:rFonts w:cstheme="minorHAnsi"/>
          <w:sz w:val="20"/>
          <w:szCs w:val="18"/>
        </w:rPr>
        <w:t>; F – 5-flourouracil</w:t>
      </w:r>
      <w:r w:rsidRPr="00291741">
        <w:rPr>
          <w:sz w:val="20"/>
          <w:szCs w:val="18"/>
        </w:rPr>
        <w:t xml:space="preserve">; </w:t>
      </w:r>
      <w:proofErr w:type="spellStart"/>
      <w:r w:rsidRPr="00291741">
        <w:rPr>
          <w:sz w:val="20"/>
          <w:szCs w:val="18"/>
        </w:rPr>
        <w:t>ABx</w:t>
      </w:r>
      <w:proofErr w:type="spellEnd"/>
      <w:r w:rsidRPr="00291741">
        <w:rPr>
          <w:sz w:val="20"/>
          <w:szCs w:val="18"/>
        </w:rPr>
        <w:t xml:space="preserve"> – antibiotics; GCSF – granulocyte colony stimulating factor; </w:t>
      </w:r>
      <w:r w:rsidRPr="00291741">
        <w:rPr>
          <w:rFonts w:cs="Times New Roman"/>
          <w:sz w:val="20"/>
          <w:szCs w:val="18"/>
        </w:rPr>
        <w:t>GTV gross tumor volume; GTV clinical tumor volume</w:t>
      </w:r>
      <w:r w:rsidR="00C43B7C">
        <w:rPr>
          <w:rFonts w:cs="Times New Roman"/>
          <w:sz w:val="20"/>
          <w:szCs w:val="18"/>
        </w:rPr>
        <w:br w:type="page"/>
      </w:r>
    </w:p>
    <w:tbl>
      <w:tblPr>
        <w:tblStyle w:val="TableGrid"/>
        <w:tblpPr w:leftFromText="180" w:rightFromText="180" w:vertAnchor="page" w:horzAnchor="margin" w:tblpY="1156"/>
        <w:tblW w:w="15035" w:type="dxa"/>
        <w:tblLayout w:type="fixed"/>
        <w:tblLook w:val="04A0"/>
      </w:tblPr>
      <w:tblGrid>
        <w:gridCol w:w="944"/>
        <w:gridCol w:w="1100"/>
        <w:gridCol w:w="1568"/>
        <w:gridCol w:w="2582"/>
        <w:gridCol w:w="939"/>
        <w:gridCol w:w="1009"/>
        <w:gridCol w:w="602"/>
        <w:gridCol w:w="1692"/>
        <w:gridCol w:w="932"/>
        <w:gridCol w:w="1093"/>
        <w:gridCol w:w="1509"/>
        <w:gridCol w:w="1065"/>
      </w:tblGrid>
      <w:tr w:rsidR="00C43B7C" w:rsidRPr="00551E55" w:rsidTr="003C275D">
        <w:tc>
          <w:tcPr>
            <w:tcW w:w="944" w:type="dxa"/>
            <w:tcMar>
              <w:top w:w="14" w:type="dxa"/>
              <w:left w:w="14" w:type="dxa"/>
              <w:bottom w:w="14" w:type="dxa"/>
              <w:right w:w="14" w:type="dxa"/>
            </w:tcMar>
          </w:tcPr>
          <w:p w:rsidR="00C43B7C" w:rsidRPr="00551E55" w:rsidRDefault="00C43B7C" w:rsidP="003C275D">
            <w:pPr>
              <w:spacing w:after="200" w:line="276" w:lineRule="auto"/>
              <w:rPr>
                <w:b/>
                <w:bCs/>
                <w:sz w:val="18"/>
                <w:szCs w:val="18"/>
              </w:rPr>
            </w:pPr>
            <w:r w:rsidRPr="00551E55">
              <w:rPr>
                <w:rFonts w:cstheme="minorHAnsi"/>
                <w:b/>
                <w:bCs/>
                <w:sz w:val="18"/>
                <w:szCs w:val="18"/>
              </w:rPr>
              <w:lastRenderedPageBreak/>
              <w:t>First Author, Year,</w:t>
            </w:r>
          </w:p>
          <w:p w:rsidR="00C43B7C" w:rsidRPr="00551E55" w:rsidRDefault="00C43B7C" w:rsidP="003C275D">
            <w:pPr>
              <w:rPr>
                <w:rFonts w:cstheme="minorHAnsi"/>
                <w:b/>
                <w:bCs/>
                <w:sz w:val="18"/>
                <w:szCs w:val="18"/>
              </w:rPr>
            </w:pPr>
            <w:r w:rsidRPr="00551E55">
              <w:rPr>
                <w:rFonts w:cstheme="minorHAnsi"/>
                <w:b/>
                <w:bCs/>
                <w:sz w:val="18"/>
                <w:szCs w:val="18"/>
              </w:rPr>
              <w:t>Publication status</w:t>
            </w:r>
          </w:p>
        </w:tc>
        <w:tc>
          <w:tcPr>
            <w:tcW w:w="1100" w:type="dxa"/>
            <w:tcMar>
              <w:top w:w="14" w:type="dxa"/>
              <w:left w:w="14" w:type="dxa"/>
              <w:bottom w:w="14" w:type="dxa"/>
              <w:right w:w="14" w:type="dxa"/>
            </w:tcMar>
          </w:tcPr>
          <w:p w:rsidR="00C43B7C" w:rsidRPr="00551E55" w:rsidRDefault="00C43B7C" w:rsidP="003C275D">
            <w:pPr>
              <w:rPr>
                <w:rFonts w:cstheme="minorHAnsi"/>
                <w:b/>
                <w:bCs/>
                <w:sz w:val="18"/>
                <w:szCs w:val="18"/>
              </w:rPr>
            </w:pPr>
            <w:r w:rsidRPr="00551E55">
              <w:rPr>
                <w:rFonts w:cstheme="minorHAnsi"/>
                <w:b/>
                <w:bCs/>
                <w:sz w:val="18"/>
                <w:szCs w:val="18"/>
              </w:rPr>
              <w:t>Taxane type and dosage + schedule (IV)</w:t>
            </w:r>
          </w:p>
        </w:tc>
        <w:tc>
          <w:tcPr>
            <w:tcW w:w="1568" w:type="dxa"/>
            <w:tcMar>
              <w:top w:w="14" w:type="dxa"/>
              <w:left w:w="14" w:type="dxa"/>
              <w:bottom w:w="14" w:type="dxa"/>
              <w:right w:w="14" w:type="dxa"/>
            </w:tcMar>
          </w:tcPr>
          <w:p w:rsidR="00C43B7C" w:rsidRPr="00551E55" w:rsidRDefault="00C43B7C" w:rsidP="003C275D">
            <w:pPr>
              <w:rPr>
                <w:rFonts w:cstheme="minorHAnsi"/>
                <w:b/>
                <w:bCs/>
                <w:sz w:val="18"/>
                <w:szCs w:val="18"/>
              </w:rPr>
            </w:pPr>
            <w:proofErr w:type="spellStart"/>
            <w:r w:rsidRPr="00551E55">
              <w:rPr>
                <w:rFonts w:cstheme="minorHAnsi"/>
                <w:b/>
                <w:bCs/>
                <w:sz w:val="18"/>
                <w:szCs w:val="18"/>
              </w:rPr>
              <w:t>Cisplatin</w:t>
            </w:r>
            <w:proofErr w:type="spellEnd"/>
            <w:r w:rsidRPr="00551E55">
              <w:rPr>
                <w:rFonts w:cstheme="minorHAnsi"/>
                <w:b/>
                <w:bCs/>
                <w:sz w:val="18"/>
                <w:szCs w:val="18"/>
              </w:rPr>
              <w:t xml:space="preserve"> /5FU</w:t>
            </w:r>
          </w:p>
          <w:p w:rsidR="00C43B7C" w:rsidRPr="00551E55" w:rsidRDefault="00C43B7C" w:rsidP="003C275D">
            <w:pPr>
              <w:rPr>
                <w:rFonts w:cstheme="minorHAnsi"/>
                <w:b/>
                <w:bCs/>
                <w:sz w:val="18"/>
                <w:szCs w:val="18"/>
              </w:rPr>
            </w:pPr>
            <w:r w:rsidRPr="00551E55">
              <w:rPr>
                <w:rFonts w:cstheme="minorHAnsi"/>
                <w:b/>
                <w:bCs/>
                <w:sz w:val="18"/>
                <w:szCs w:val="18"/>
              </w:rPr>
              <w:t>Dosage + schedule (IV)</w:t>
            </w:r>
          </w:p>
        </w:tc>
        <w:tc>
          <w:tcPr>
            <w:tcW w:w="2582" w:type="dxa"/>
          </w:tcPr>
          <w:p w:rsidR="00C43B7C" w:rsidRPr="00551E55" w:rsidRDefault="00C43B7C" w:rsidP="003C275D">
            <w:pPr>
              <w:rPr>
                <w:rFonts w:cstheme="minorHAnsi"/>
                <w:b/>
                <w:bCs/>
                <w:sz w:val="18"/>
                <w:szCs w:val="18"/>
              </w:rPr>
            </w:pPr>
            <w:r w:rsidRPr="00551E55">
              <w:rPr>
                <w:rFonts w:cstheme="minorHAnsi"/>
                <w:b/>
                <w:bCs/>
                <w:sz w:val="18"/>
                <w:szCs w:val="18"/>
                <w:rtl/>
              </w:rPr>
              <w:t>Post induction radiation</w:t>
            </w:r>
          </w:p>
        </w:tc>
        <w:tc>
          <w:tcPr>
            <w:tcW w:w="939" w:type="dxa"/>
            <w:tcMar>
              <w:top w:w="14" w:type="dxa"/>
              <w:left w:w="14" w:type="dxa"/>
              <w:bottom w:w="14" w:type="dxa"/>
              <w:right w:w="14" w:type="dxa"/>
            </w:tcMar>
          </w:tcPr>
          <w:p w:rsidR="00C43B7C" w:rsidRPr="00551E55" w:rsidRDefault="00C43B7C" w:rsidP="003C275D">
            <w:pPr>
              <w:rPr>
                <w:rFonts w:cstheme="minorHAnsi"/>
                <w:b/>
                <w:bCs/>
                <w:sz w:val="18"/>
                <w:szCs w:val="18"/>
              </w:rPr>
            </w:pPr>
            <w:r w:rsidRPr="00551E55">
              <w:rPr>
                <w:rFonts w:cstheme="minorHAnsi"/>
                <w:b/>
                <w:bCs/>
                <w:sz w:val="18"/>
                <w:szCs w:val="18"/>
              </w:rPr>
              <w:t>Number of Patients</w:t>
            </w:r>
          </w:p>
          <w:p w:rsidR="00C43B7C" w:rsidRPr="00551E55" w:rsidRDefault="00C43B7C" w:rsidP="003C275D">
            <w:pPr>
              <w:rPr>
                <w:rFonts w:cstheme="minorHAnsi"/>
                <w:b/>
                <w:bCs/>
                <w:sz w:val="18"/>
                <w:szCs w:val="18"/>
              </w:rPr>
            </w:pPr>
            <w:r w:rsidRPr="00551E55">
              <w:rPr>
                <w:rFonts w:cstheme="minorHAnsi"/>
                <w:b/>
                <w:bCs/>
                <w:sz w:val="18"/>
                <w:szCs w:val="18"/>
              </w:rPr>
              <w:t>randomized</w:t>
            </w:r>
          </w:p>
          <w:p w:rsidR="00C43B7C" w:rsidRPr="00551E55" w:rsidRDefault="00C43B7C" w:rsidP="003C275D">
            <w:pPr>
              <w:rPr>
                <w:rFonts w:cstheme="minorHAnsi"/>
                <w:sz w:val="18"/>
                <w:szCs w:val="18"/>
              </w:rPr>
            </w:pPr>
            <w:r w:rsidRPr="00551E55">
              <w:rPr>
                <w:rFonts w:cstheme="minorHAnsi"/>
                <w:sz w:val="18"/>
                <w:szCs w:val="18"/>
              </w:rPr>
              <w:t>TPF/PF</w:t>
            </w:r>
          </w:p>
        </w:tc>
        <w:tc>
          <w:tcPr>
            <w:tcW w:w="1009" w:type="dxa"/>
            <w:tcMar>
              <w:top w:w="14" w:type="dxa"/>
              <w:left w:w="14" w:type="dxa"/>
              <w:bottom w:w="14" w:type="dxa"/>
              <w:right w:w="14" w:type="dxa"/>
            </w:tcMar>
          </w:tcPr>
          <w:p w:rsidR="00C43B7C" w:rsidRPr="00551E55" w:rsidRDefault="00C43B7C" w:rsidP="003C275D">
            <w:pPr>
              <w:rPr>
                <w:rFonts w:cstheme="minorHAnsi"/>
                <w:b/>
                <w:bCs/>
                <w:sz w:val="18"/>
                <w:szCs w:val="18"/>
              </w:rPr>
            </w:pPr>
            <w:r w:rsidRPr="00551E55">
              <w:rPr>
                <w:rFonts w:cstheme="minorHAnsi"/>
                <w:b/>
                <w:bCs/>
                <w:sz w:val="18"/>
                <w:szCs w:val="18"/>
              </w:rPr>
              <w:t>Pt. receiving</w:t>
            </w:r>
          </w:p>
          <w:p w:rsidR="00C43B7C" w:rsidRPr="00551E55" w:rsidRDefault="00C43B7C" w:rsidP="003C275D">
            <w:pPr>
              <w:rPr>
                <w:rFonts w:cstheme="minorHAnsi"/>
                <w:b/>
                <w:bCs/>
                <w:sz w:val="18"/>
                <w:szCs w:val="18"/>
              </w:rPr>
            </w:pPr>
            <w:r w:rsidRPr="00551E55">
              <w:rPr>
                <w:rFonts w:cstheme="minorHAnsi"/>
                <w:b/>
                <w:bCs/>
                <w:sz w:val="18"/>
                <w:szCs w:val="18"/>
              </w:rPr>
              <w:t>Radiotherapy (%)</w:t>
            </w:r>
          </w:p>
        </w:tc>
        <w:tc>
          <w:tcPr>
            <w:tcW w:w="602" w:type="dxa"/>
            <w:tcMar>
              <w:top w:w="14" w:type="dxa"/>
              <w:left w:w="14" w:type="dxa"/>
              <w:bottom w:w="14" w:type="dxa"/>
              <w:right w:w="14" w:type="dxa"/>
            </w:tcMar>
          </w:tcPr>
          <w:p w:rsidR="00C43B7C" w:rsidRPr="00551E55" w:rsidRDefault="00C43B7C" w:rsidP="003C275D">
            <w:pPr>
              <w:rPr>
                <w:rFonts w:cstheme="minorHAnsi"/>
                <w:b/>
                <w:bCs/>
                <w:sz w:val="18"/>
                <w:szCs w:val="18"/>
              </w:rPr>
            </w:pPr>
            <w:r w:rsidRPr="00551E55">
              <w:rPr>
                <w:rFonts w:cstheme="minorHAnsi"/>
                <w:b/>
                <w:bCs/>
                <w:sz w:val="18"/>
                <w:szCs w:val="18"/>
              </w:rPr>
              <w:t xml:space="preserve">Follow Up </w:t>
            </w:r>
            <w:r w:rsidRPr="00551E55">
              <w:rPr>
                <w:rFonts w:cstheme="minorHAnsi"/>
                <w:sz w:val="18"/>
                <w:szCs w:val="18"/>
              </w:rPr>
              <w:t>median</w:t>
            </w:r>
          </w:p>
        </w:tc>
        <w:tc>
          <w:tcPr>
            <w:tcW w:w="1692" w:type="dxa"/>
            <w:tcMar>
              <w:top w:w="14" w:type="dxa"/>
              <w:left w:w="14" w:type="dxa"/>
              <w:bottom w:w="14" w:type="dxa"/>
              <w:right w:w="14" w:type="dxa"/>
            </w:tcMar>
          </w:tcPr>
          <w:p w:rsidR="00C43B7C" w:rsidRPr="00551E55" w:rsidRDefault="00C43B7C" w:rsidP="003C275D">
            <w:pPr>
              <w:rPr>
                <w:rFonts w:cstheme="minorHAnsi"/>
                <w:b/>
                <w:bCs/>
                <w:sz w:val="18"/>
                <w:szCs w:val="18"/>
              </w:rPr>
            </w:pPr>
            <w:r w:rsidRPr="00551E55">
              <w:rPr>
                <w:rFonts w:cstheme="minorHAnsi"/>
                <w:b/>
                <w:bCs/>
                <w:sz w:val="18"/>
                <w:szCs w:val="18"/>
              </w:rPr>
              <w:t>Main cancer site</w:t>
            </w:r>
          </w:p>
          <w:p w:rsidR="00C43B7C" w:rsidRPr="00551E55" w:rsidRDefault="00C43B7C" w:rsidP="003C275D">
            <w:pPr>
              <w:rPr>
                <w:rFonts w:cstheme="minorHAnsi"/>
                <w:sz w:val="18"/>
                <w:szCs w:val="18"/>
              </w:rPr>
            </w:pPr>
            <w:r w:rsidRPr="00551E55">
              <w:rPr>
                <w:rFonts w:cstheme="minorHAnsi"/>
                <w:sz w:val="18"/>
                <w:szCs w:val="18"/>
              </w:rPr>
              <w:t>(%, mean)</w:t>
            </w:r>
          </w:p>
        </w:tc>
        <w:tc>
          <w:tcPr>
            <w:tcW w:w="932" w:type="dxa"/>
            <w:tcMar>
              <w:top w:w="14" w:type="dxa"/>
              <w:left w:w="14" w:type="dxa"/>
              <w:bottom w:w="14" w:type="dxa"/>
              <w:right w:w="14" w:type="dxa"/>
            </w:tcMar>
          </w:tcPr>
          <w:p w:rsidR="00C43B7C" w:rsidRPr="00551E55" w:rsidRDefault="00C43B7C" w:rsidP="003C275D">
            <w:pPr>
              <w:rPr>
                <w:rFonts w:cstheme="minorHAnsi"/>
                <w:b/>
                <w:bCs/>
                <w:sz w:val="18"/>
                <w:szCs w:val="18"/>
              </w:rPr>
            </w:pPr>
            <w:r w:rsidRPr="00551E55">
              <w:rPr>
                <w:rFonts w:cstheme="minorHAnsi"/>
                <w:b/>
                <w:bCs/>
                <w:sz w:val="18"/>
                <w:szCs w:val="18"/>
              </w:rPr>
              <w:t xml:space="preserve"> Main Tumor status </w:t>
            </w:r>
          </w:p>
        </w:tc>
        <w:tc>
          <w:tcPr>
            <w:tcW w:w="1093" w:type="dxa"/>
          </w:tcPr>
          <w:p w:rsidR="00C43B7C" w:rsidRPr="00551E55" w:rsidRDefault="00C43B7C" w:rsidP="003C275D">
            <w:pPr>
              <w:rPr>
                <w:rFonts w:cstheme="minorHAnsi"/>
                <w:b/>
                <w:bCs/>
                <w:sz w:val="18"/>
                <w:szCs w:val="18"/>
              </w:rPr>
            </w:pPr>
            <w:proofErr w:type="spellStart"/>
            <w:r w:rsidRPr="00551E55">
              <w:rPr>
                <w:rFonts w:cstheme="minorHAnsi"/>
                <w:b/>
                <w:bCs/>
                <w:sz w:val="18"/>
                <w:szCs w:val="18"/>
              </w:rPr>
              <w:t>Prophy</w:t>
            </w:r>
            <w:proofErr w:type="spellEnd"/>
            <w:r w:rsidRPr="00551E55">
              <w:rPr>
                <w:rFonts w:cstheme="minorHAnsi"/>
                <w:b/>
                <w:bCs/>
                <w:sz w:val="18"/>
                <w:szCs w:val="18"/>
              </w:rPr>
              <w:t>-</w:t>
            </w:r>
          </w:p>
          <w:p w:rsidR="00C43B7C" w:rsidRPr="00551E55" w:rsidRDefault="00C43B7C" w:rsidP="003C275D">
            <w:pPr>
              <w:rPr>
                <w:rFonts w:cstheme="minorHAnsi"/>
                <w:b/>
                <w:bCs/>
                <w:sz w:val="18"/>
                <w:szCs w:val="18"/>
              </w:rPr>
            </w:pPr>
            <w:proofErr w:type="spellStart"/>
            <w:r w:rsidRPr="00551E55">
              <w:rPr>
                <w:rFonts w:cstheme="minorHAnsi"/>
                <w:b/>
                <w:bCs/>
                <w:sz w:val="18"/>
                <w:szCs w:val="18"/>
              </w:rPr>
              <w:t>Laxis</w:t>
            </w:r>
            <w:proofErr w:type="spellEnd"/>
          </w:p>
          <w:p w:rsidR="00C43B7C" w:rsidRPr="00551E55" w:rsidRDefault="00C43B7C" w:rsidP="003C275D">
            <w:pPr>
              <w:rPr>
                <w:rFonts w:cstheme="minorHAnsi"/>
                <w:b/>
                <w:bCs/>
                <w:sz w:val="18"/>
                <w:szCs w:val="18"/>
              </w:rPr>
            </w:pPr>
            <w:r w:rsidRPr="00551E55">
              <w:rPr>
                <w:rFonts w:cstheme="minorHAnsi"/>
                <w:b/>
                <w:bCs/>
                <w:sz w:val="18"/>
                <w:szCs w:val="18"/>
              </w:rPr>
              <w:t>(</w:t>
            </w:r>
            <w:proofErr w:type="spellStart"/>
            <w:r w:rsidRPr="00551E55">
              <w:rPr>
                <w:rFonts w:cstheme="minorHAnsi"/>
                <w:b/>
                <w:bCs/>
                <w:sz w:val="18"/>
                <w:szCs w:val="18"/>
              </w:rPr>
              <w:t>ABx</w:t>
            </w:r>
            <w:proofErr w:type="spellEnd"/>
            <w:r w:rsidRPr="00551E55">
              <w:rPr>
                <w:rFonts w:cstheme="minorHAnsi"/>
                <w:b/>
                <w:bCs/>
                <w:sz w:val="18"/>
                <w:szCs w:val="18"/>
              </w:rPr>
              <w:t>/GCSF)</w:t>
            </w:r>
          </w:p>
        </w:tc>
        <w:tc>
          <w:tcPr>
            <w:tcW w:w="1509" w:type="dxa"/>
          </w:tcPr>
          <w:p w:rsidR="00C43B7C" w:rsidRPr="00551E55" w:rsidRDefault="00C43B7C" w:rsidP="003C275D">
            <w:pPr>
              <w:rPr>
                <w:rFonts w:cstheme="minorHAnsi"/>
                <w:b/>
                <w:bCs/>
                <w:sz w:val="18"/>
                <w:szCs w:val="18"/>
              </w:rPr>
            </w:pPr>
            <w:r w:rsidRPr="00551E55">
              <w:rPr>
                <w:rFonts w:cstheme="minorHAnsi"/>
                <w:b/>
                <w:bCs/>
                <w:sz w:val="18"/>
                <w:szCs w:val="18"/>
              </w:rPr>
              <w:t>Treatment related death</w:t>
            </w:r>
          </w:p>
        </w:tc>
        <w:tc>
          <w:tcPr>
            <w:tcW w:w="1065" w:type="dxa"/>
            <w:tcMar>
              <w:top w:w="14" w:type="dxa"/>
              <w:left w:w="14" w:type="dxa"/>
              <w:bottom w:w="14" w:type="dxa"/>
              <w:right w:w="14" w:type="dxa"/>
            </w:tcMar>
          </w:tcPr>
          <w:p w:rsidR="00C43B7C" w:rsidRPr="00551E55" w:rsidRDefault="00C43B7C" w:rsidP="003C275D">
            <w:pPr>
              <w:rPr>
                <w:rFonts w:cstheme="minorHAnsi"/>
                <w:b/>
                <w:bCs/>
                <w:sz w:val="18"/>
                <w:szCs w:val="18"/>
              </w:rPr>
            </w:pPr>
            <w:r w:rsidRPr="00551E55">
              <w:rPr>
                <w:rFonts w:cstheme="minorHAnsi"/>
                <w:b/>
                <w:bCs/>
                <w:sz w:val="18"/>
                <w:szCs w:val="18"/>
              </w:rPr>
              <w:t>Allocation concealment</w:t>
            </w:r>
          </w:p>
        </w:tc>
      </w:tr>
      <w:tr w:rsidR="00C43B7C" w:rsidRPr="00551E55" w:rsidTr="003C275D">
        <w:tc>
          <w:tcPr>
            <w:tcW w:w="944" w:type="dxa"/>
            <w:tcMar>
              <w:top w:w="14" w:type="dxa"/>
              <w:left w:w="14" w:type="dxa"/>
              <w:bottom w:w="14" w:type="dxa"/>
              <w:right w:w="14" w:type="dxa"/>
            </w:tcMar>
          </w:tcPr>
          <w:p w:rsidR="00C43B7C" w:rsidRPr="00551E55" w:rsidRDefault="00C43B7C" w:rsidP="003C275D">
            <w:pPr>
              <w:rPr>
                <w:rFonts w:cstheme="minorHAnsi"/>
                <w:sz w:val="18"/>
                <w:szCs w:val="18"/>
              </w:rPr>
            </w:pPr>
            <w:proofErr w:type="spellStart"/>
            <w:r w:rsidRPr="00551E55">
              <w:rPr>
                <w:rFonts w:cstheme="minorHAnsi"/>
                <w:sz w:val="18"/>
                <w:szCs w:val="18"/>
              </w:rPr>
              <w:t>Hitt</w:t>
            </w:r>
            <w:proofErr w:type="spellEnd"/>
            <w:r w:rsidRPr="00551E55">
              <w:rPr>
                <w:rFonts w:cstheme="minorHAnsi"/>
                <w:sz w:val="18"/>
                <w:szCs w:val="18"/>
              </w:rPr>
              <w:t>, 2005</w:t>
            </w:r>
          </w:p>
          <w:p w:rsidR="00C43B7C" w:rsidRPr="00551E55" w:rsidRDefault="00C43B7C" w:rsidP="003C275D">
            <w:pPr>
              <w:rPr>
                <w:rFonts w:cstheme="minorHAnsi"/>
                <w:sz w:val="18"/>
                <w:szCs w:val="18"/>
              </w:rPr>
            </w:pPr>
          </w:p>
        </w:tc>
        <w:tc>
          <w:tcPr>
            <w:tcW w:w="1100" w:type="dxa"/>
            <w:tcMar>
              <w:top w:w="14" w:type="dxa"/>
              <w:left w:w="14" w:type="dxa"/>
              <w:bottom w:w="14" w:type="dxa"/>
              <w:right w:w="14" w:type="dxa"/>
            </w:tcMar>
          </w:tcPr>
          <w:p w:rsidR="00C43B7C" w:rsidRPr="00551E55" w:rsidRDefault="00C43B7C" w:rsidP="003C275D">
            <w:pPr>
              <w:rPr>
                <w:rFonts w:cstheme="minorHAnsi"/>
                <w:sz w:val="18"/>
                <w:szCs w:val="18"/>
              </w:rPr>
            </w:pPr>
            <w:proofErr w:type="spellStart"/>
            <w:r w:rsidRPr="00551E55">
              <w:rPr>
                <w:rFonts w:cstheme="minorHAnsi"/>
                <w:sz w:val="18"/>
                <w:szCs w:val="18"/>
              </w:rPr>
              <w:t>Paclitaxel</w:t>
            </w:r>
            <w:proofErr w:type="spellEnd"/>
            <w:r w:rsidRPr="00551E55">
              <w:rPr>
                <w:rFonts w:cstheme="minorHAnsi"/>
                <w:sz w:val="18"/>
                <w:szCs w:val="18"/>
              </w:rPr>
              <w:t xml:space="preserve"> – 165 mg/m</w:t>
            </w:r>
            <w:r w:rsidRPr="00551E55">
              <w:rPr>
                <w:rFonts w:cstheme="minorHAnsi"/>
                <w:sz w:val="18"/>
                <w:szCs w:val="18"/>
                <w:vertAlign w:val="superscript"/>
              </w:rPr>
              <w:t>2</w:t>
            </w:r>
            <w:r w:rsidRPr="00551E55">
              <w:rPr>
                <w:rFonts w:cstheme="minorHAnsi"/>
                <w:sz w:val="18"/>
                <w:szCs w:val="18"/>
              </w:rPr>
              <w:t xml:space="preserve"> day 1</w:t>
            </w:r>
          </w:p>
          <w:p w:rsidR="00C43B7C" w:rsidRPr="00551E55" w:rsidRDefault="00C43B7C" w:rsidP="003C275D">
            <w:pPr>
              <w:rPr>
                <w:rFonts w:cstheme="minorHAnsi"/>
                <w:sz w:val="18"/>
                <w:szCs w:val="18"/>
              </w:rPr>
            </w:pPr>
            <w:r w:rsidRPr="00551E55">
              <w:rPr>
                <w:rFonts w:cstheme="minorHAnsi"/>
                <w:sz w:val="18"/>
                <w:szCs w:val="18"/>
              </w:rPr>
              <w:t>Q-3weeks</w:t>
            </w:r>
          </w:p>
          <w:p w:rsidR="00C43B7C" w:rsidRPr="00551E55" w:rsidRDefault="00C43B7C" w:rsidP="003C275D">
            <w:pPr>
              <w:rPr>
                <w:rFonts w:cstheme="minorHAnsi"/>
                <w:sz w:val="18"/>
                <w:szCs w:val="18"/>
              </w:rPr>
            </w:pPr>
          </w:p>
          <w:p w:rsidR="00C43B7C" w:rsidRPr="00551E55" w:rsidRDefault="00C43B7C" w:rsidP="003C275D">
            <w:pPr>
              <w:rPr>
                <w:rFonts w:cstheme="minorHAnsi"/>
                <w:sz w:val="18"/>
                <w:szCs w:val="18"/>
              </w:rPr>
            </w:pPr>
            <w:r w:rsidRPr="00551E55">
              <w:rPr>
                <w:rFonts w:cstheme="minorHAnsi"/>
                <w:sz w:val="18"/>
                <w:szCs w:val="18"/>
              </w:rPr>
              <w:t>For 9 weeks</w:t>
            </w:r>
          </w:p>
        </w:tc>
        <w:tc>
          <w:tcPr>
            <w:tcW w:w="1568"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Research – 100/500 mg/m</w:t>
            </w:r>
            <w:r w:rsidRPr="00551E55">
              <w:rPr>
                <w:rFonts w:cstheme="minorHAnsi"/>
                <w:sz w:val="18"/>
                <w:szCs w:val="18"/>
                <w:vertAlign w:val="superscript"/>
              </w:rPr>
              <w:t>2</w:t>
            </w:r>
            <w:r w:rsidRPr="00551E55">
              <w:rPr>
                <w:rFonts w:cstheme="minorHAnsi"/>
                <w:sz w:val="18"/>
                <w:szCs w:val="18"/>
              </w:rPr>
              <w:t xml:space="preserve"> day1/day1-5</w:t>
            </w:r>
          </w:p>
          <w:p w:rsidR="00C43B7C" w:rsidRPr="00551E55" w:rsidRDefault="00C43B7C" w:rsidP="003C275D">
            <w:pPr>
              <w:rPr>
                <w:rFonts w:cstheme="minorHAnsi"/>
                <w:sz w:val="18"/>
                <w:szCs w:val="18"/>
              </w:rPr>
            </w:pPr>
            <w:r w:rsidRPr="00551E55">
              <w:rPr>
                <w:rFonts w:cstheme="minorHAnsi"/>
                <w:sz w:val="18"/>
                <w:szCs w:val="18"/>
              </w:rPr>
              <w:t>Control – 100/1000 mg/m</w:t>
            </w:r>
            <w:r w:rsidRPr="00551E55">
              <w:rPr>
                <w:rFonts w:cstheme="minorHAnsi"/>
                <w:sz w:val="18"/>
                <w:szCs w:val="18"/>
                <w:vertAlign w:val="superscript"/>
              </w:rPr>
              <w:t xml:space="preserve">2 </w:t>
            </w:r>
            <w:r w:rsidRPr="00551E55">
              <w:rPr>
                <w:rFonts w:cstheme="minorHAnsi"/>
                <w:sz w:val="18"/>
                <w:szCs w:val="18"/>
              </w:rPr>
              <w:t xml:space="preserve">day1/day1-5  </w:t>
            </w:r>
          </w:p>
          <w:p w:rsidR="00C43B7C" w:rsidRPr="00551E55" w:rsidRDefault="00C43B7C" w:rsidP="003C275D">
            <w:pPr>
              <w:rPr>
                <w:rFonts w:cstheme="minorHAnsi"/>
                <w:sz w:val="18"/>
                <w:szCs w:val="18"/>
              </w:rPr>
            </w:pPr>
            <w:r w:rsidRPr="00551E55">
              <w:rPr>
                <w:rFonts w:cstheme="minorHAnsi"/>
                <w:sz w:val="18"/>
                <w:szCs w:val="18"/>
              </w:rPr>
              <w:t>Q-3weeks</w:t>
            </w:r>
          </w:p>
          <w:p w:rsidR="00C43B7C" w:rsidRPr="00551E55" w:rsidRDefault="00C43B7C" w:rsidP="003C275D">
            <w:pPr>
              <w:rPr>
                <w:rFonts w:cstheme="minorHAnsi"/>
                <w:sz w:val="18"/>
                <w:szCs w:val="18"/>
              </w:rPr>
            </w:pPr>
            <w:r w:rsidRPr="00551E55">
              <w:rPr>
                <w:rFonts w:cstheme="minorHAnsi"/>
                <w:sz w:val="18"/>
                <w:szCs w:val="18"/>
              </w:rPr>
              <w:t>For 9 weeks</w:t>
            </w:r>
          </w:p>
        </w:tc>
        <w:tc>
          <w:tcPr>
            <w:tcW w:w="2582" w:type="dxa"/>
          </w:tcPr>
          <w:p w:rsidR="00C43B7C" w:rsidRPr="00551E55" w:rsidRDefault="00C43B7C" w:rsidP="003C275D">
            <w:pPr>
              <w:rPr>
                <w:rFonts w:cstheme="minorHAnsi"/>
                <w:sz w:val="18"/>
                <w:szCs w:val="18"/>
              </w:rPr>
            </w:pPr>
            <w:r w:rsidRPr="00551E55">
              <w:rPr>
                <w:rFonts w:cs="Times New Roman"/>
                <w:sz w:val="18"/>
                <w:szCs w:val="18"/>
              </w:rPr>
              <w:t xml:space="preserve">Radiotherapy to the primary tumor and to the clinically positive nodes (GTV) to a total dose of 70 </w:t>
            </w:r>
            <w:proofErr w:type="spellStart"/>
            <w:r w:rsidRPr="00551E55">
              <w:rPr>
                <w:rFonts w:cs="Times New Roman"/>
                <w:sz w:val="18"/>
                <w:szCs w:val="18"/>
              </w:rPr>
              <w:t>Gy</w:t>
            </w:r>
            <w:proofErr w:type="spellEnd"/>
            <w:r w:rsidRPr="00551E55">
              <w:rPr>
                <w:rFonts w:cs="Times New Roman"/>
                <w:sz w:val="18"/>
                <w:szCs w:val="18"/>
              </w:rPr>
              <w:t xml:space="preserve"> in 35 fractions of 2 </w:t>
            </w:r>
            <w:proofErr w:type="spellStart"/>
            <w:r w:rsidRPr="00551E55">
              <w:rPr>
                <w:rFonts w:cs="Times New Roman"/>
                <w:sz w:val="18"/>
                <w:szCs w:val="18"/>
              </w:rPr>
              <w:t>Gy</w:t>
            </w:r>
            <w:proofErr w:type="spellEnd"/>
            <w:r w:rsidRPr="00551E55">
              <w:rPr>
                <w:rFonts w:cs="Times New Roman"/>
                <w:sz w:val="18"/>
                <w:szCs w:val="18"/>
              </w:rPr>
              <w:t xml:space="preserve"> each over a 7-week period. The CTV of nodal areas not clinically involved by tumor received a total dose of 50 </w:t>
            </w:r>
            <w:proofErr w:type="spellStart"/>
            <w:r w:rsidRPr="00551E55">
              <w:rPr>
                <w:rFonts w:cs="Times New Roman"/>
                <w:sz w:val="18"/>
                <w:szCs w:val="18"/>
              </w:rPr>
              <w:t>Gy</w:t>
            </w:r>
            <w:proofErr w:type="spellEnd"/>
            <w:r w:rsidRPr="00551E55">
              <w:rPr>
                <w:rFonts w:cs="Times New Roman"/>
                <w:sz w:val="18"/>
                <w:szCs w:val="18"/>
              </w:rPr>
              <w:t>. Doses and schedules were identical in both treatment arms of the study</w:t>
            </w:r>
          </w:p>
        </w:tc>
        <w:tc>
          <w:tcPr>
            <w:tcW w:w="939"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189/193</w:t>
            </w:r>
          </w:p>
        </w:tc>
        <w:tc>
          <w:tcPr>
            <w:tcW w:w="1009" w:type="dxa"/>
            <w:tcMar>
              <w:top w:w="14" w:type="dxa"/>
              <w:left w:w="14" w:type="dxa"/>
              <w:bottom w:w="14" w:type="dxa"/>
              <w:right w:w="14" w:type="dxa"/>
            </w:tcMar>
          </w:tcPr>
          <w:p w:rsidR="00C43B7C" w:rsidRPr="00551E55" w:rsidRDefault="00C43B7C" w:rsidP="003C275D">
            <w:pPr>
              <w:rPr>
                <w:rFonts w:cstheme="minorHAnsi"/>
                <w:sz w:val="18"/>
                <w:szCs w:val="18"/>
              </w:rPr>
            </w:pPr>
            <w:proofErr w:type="spellStart"/>
            <w:r w:rsidRPr="00551E55">
              <w:rPr>
                <w:rFonts w:cstheme="minorHAnsi"/>
                <w:sz w:val="18"/>
                <w:szCs w:val="18"/>
              </w:rPr>
              <w:t>PaCF</w:t>
            </w:r>
            <w:proofErr w:type="spellEnd"/>
            <w:r w:rsidRPr="00551E55">
              <w:rPr>
                <w:rFonts w:cstheme="minorHAnsi"/>
                <w:sz w:val="18"/>
                <w:szCs w:val="18"/>
              </w:rPr>
              <w:t xml:space="preserve"> – 60%</w:t>
            </w:r>
          </w:p>
          <w:p w:rsidR="00C43B7C" w:rsidRPr="00551E55" w:rsidRDefault="00C43B7C" w:rsidP="003C275D">
            <w:pPr>
              <w:rPr>
                <w:rFonts w:cstheme="minorHAnsi"/>
                <w:sz w:val="18"/>
                <w:szCs w:val="18"/>
              </w:rPr>
            </w:pPr>
            <w:r w:rsidRPr="00551E55">
              <w:rPr>
                <w:rFonts w:cstheme="minorHAnsi"/>
                <w:sz w:val="18"/>
                <w:szCs w:val="18"/>
              </w:rPr>
              <w:t xml:space="preserve"> CF -40%</w:t>
            </w:r>
          </w:p>
        </w:tc>
        <w:tc>
          <w:tcPr>
            <w:tcW w:w="602"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23.2 months</w:t>
            </w:r>
          </w:p>
        </w:tc>
        <w:tc>
          <w:tcPr>
            <w:tcW w:w="1692" w:type="dxa"/>
            <w:tcMar>
              <w:top w:w="14" w:type="dxa"/>
              <w:left w:w="14" w:type="dxa"/>
              <w:bottom w:w="14" w:type="dxa"/>
              <w:right w:w="14" w:type="dxa"/>
            </w:tcMar>
          </w:tcPr>
          <w:p w:rsidR="00C43B7C" w:rsidRPr="00551E55" w:rsidRDefault="00C43B7C" w:rsidP="003C275D">
            <w:pPr>
              <w:rPr>
                <w:rFonts w:cstheme="minorHAnsi"/>
                <w:sz w:val="18"/>
                <w:szCs w:val="18"/>
              </w:rPr>
            </w:pPr>
            <w:proofErr w:type="spellStart"/>
            <w:r w:rsidRPr="00551E55">
              <w:rPr>
                <w:rFonts w:cstheme="minorHAnsi"/>
                <w:sz w:val="18"/>
                <w:szCs w:val="18"/>
              </w:rPr>
              <w:t>PaCF</w:t>
            </w:r>
            <w:proofErr w:type="spellEnd"/>
            <w:r w:rsidRPr="00551E55">
              <w:rPr>
                <w:rFonts w:cstheme="minorHAnsi"/>
                <w:sz w:val="18"/>
                <w:szCs w:val="18"/>
              </w:rPr>
              <w:t xml:space="preserve"> </w:t>
            </w:r>
            <w:proofErr w:type="spellStart"/>
            <w:r w:rsidRPr="00551E55">
              <w:rPr>
                <w:rFonts w:cstheme="minorHAnsi"/>
                <w:sz w:val="18"/>
                <w:szCs w:val="18"/>
              </w:rPr>
              <w:t>orophrynx</w:t>
            </w:r>
            <w:proofErr w:type="spellEnd"/>
            <w:r w:rsidRPr="00551E55">
              <w:rPr>
                <w:rFonts w:cstheme="minorHAnsi"/>
                <w:sz w:val="18"/>
                <w:szCs w:val="18"/>
              </w:rPr>
              <w:t xml:space="preserve">  -34%</w:t>
            </w:r>
          </w:p>
          <w:p w:rsidR="00C43B7C" w:rsidRPr="00551E55" w:rsidRDefault="00C43B7C" w:rsidP="003C275D">
            <w:pPr>
              <w:rPr>
                <w:rFonts w:cstheme="minorHAnsi"/>
                <w:sz w:val="18"/>
                <w:szCs w:val="18"/>
              </w:rPr>
            </w:pPr>
            <w:r w:rsidRPr="00551E55">
              <w:rPr>
                <w:rFonts w:cstheme="minorHAnsi"/>
                <w:sz w:val="18"/>
                <w:szCs w:val="18"/>
              </w:rPr>
              <w:t xml:space="preserve">CF </w:t>
            </w:r>
            <w:proofErr w:type="spellStart"/>
            <w:r w:rsidRPr="00551E55">
              <w:rPr>
                <w:rFonts w:cstheme="minorHAnsi"/>
                <w:sz w:val="18"/>
                <w:szCs w:val="18"/>
              </w:rPr>
              <w:t>oropharynx</w:t>
            </w:r>
            <w:proofErr w:type="spellEnd"/>
            <w:r w:rsidRPr="00551E55">
              <w:rPr>
                <w:rFonts w:cstheme="minorHAnsi"/>
                <w:sz w:val="18"/>
                <w:szCs w:val="18"/>
              </w:rPr>
              <w:t xml:space="preserve">  -35%</w:t>
            </w:r>
          </w:p>
        </w:tc>
        <w:tc>
          <w:tcPr>
            <w:tcW w:w="932"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 xml:space="preserve">PaCF-T4        </w:t>
            </w:r>
          </w:p>
          <w:p w:rsidR="00C43B7C" w:rsidRPr="00551E55" w:rsidRDefault="00C43B7C" w:rsidP="003C275D">
            <w:pPr>
              <w:rPr>
                <w:rFonts w:cstheme="minorHAnsi"/>
                <w:sz w:val="18"/>
                <w:szCs w:val="18"/>
              </w:rPr>
            </w:pPr>
            <w:r w:rsidRPr="00551E55">
              <w:rPr>
                <w:rFonts w:cstheme="minorHAnsi"/>
                <w:sz w:val="18"/>
                <w:szCs w:val="18"/>
              </w:rPr>
              <w:t xml:space="preserve"> (n-109)</w:t>
            </w:r>
          </w:p>
          <w:p w:rsidR="00C43B7C" w:rsidRPr="00551E55" w:rsidRDefault="00C43B7C" w:rsidP="003C275D">
            <w:pPr>
              <w:rPr>
                <w:rFonts w:cstheme="minorHAnsi"/>
                <w:sz w:val="18"/>
                <w:szCs w:val="18"/>
              </w:rPr>
            </w:pPr>
            <w:r w:rsidRPr="00551E55">
              <w:rPr>
                <w:rFonts w:cstheme="minorHAnsi"/>
                <w:sz w:val="18"/>
                <w:szCs w:val="18"/>
              </w:rPr>
              <w:t>CF-T4</w:t>
            </w:r>
          </w:p>
          <w:p w:rsidR="00C43B7C" w:rsidRPr="00551E55" w:rsidRDefault="00C43B7C" w:rsidP="003C275D">
            <w:pPr>
              <w:rPr>
                <w:rFonts w:cstheme="minorHAnsi"/>
                <w:sz w:val="18"/>
                <w:szCs w:val="18"/>
              </w:rPr>
            </w:pPr>
            <w:r w:rsidRPr="00551E55">
              <w:rPr>
                <w:rFonts w:cstheme="minorHAnsi"/>
                <w:sz w:val="18"/>
                <w:szCs w:val="18"/>
              </w:rPr>
              <w:t>(n-102)</w:t>
            </w:r>
          </w:p>
        </w:tc>
        <w:tc>
          <w:tcPr>
            <w:tcW w:w="1093" w:type="dxa"/>
          </w:tcPr>
          <w:p w:rsidR="00C43B7C" w:rsidRPr="00551E55" w:rsidRDefault="00C43B7C" w:rsidP="003C275D">
            <w:pPr>
              <w:rPr>
                <w:rFonts w:cstheme="minorHAnsi"/>
                <w:sz w:val="18"/>
                <w:szCs w:val="18"/>
              </w:rPr>
            </w:pPr>
            <w:r w:rsidRPr="00551E55">
              <w:rPr>
                <w:rFonts w:cstheme="minorHAnsi"/>
                <w:sz w:val="18"/>
                <w:szCs w:val="18"/>
              </w:rPr>
              <w:t>None</w:t>
            </w:r>
          </w:p>
          <w:p w:rsidR="00C43B7C" w:rsidRPr="00551E55" w:rsidRDefault="00C43B7C" w:rsidP="003C275D">
            <w:pPr>
              <w:rPr>
                <w:rFonts w:cstheme="minorHAnsi"/>
                <w:sz w:val="18"/>
                <w:szCs w:val="18"/>
              </w:rPr>
            </w:pPr>
          </w:p>
        </w:tc>
        <w:tc>
          <w:tcPr>
            <w:tcW w:w="1509" w:type="dxa"/>
          </w:tcPr>
          <w:p w:rsidR="00C43B7C" w:rsidRPr="00551E55" w:rsidRDefault="00C43B7C" w:rsidP="003C275D">
            <w:pPr>
              <w:rPr>
                <w:rFonts w:cstheme="minorHAnsi"/>
                <w:sz w:val="18"/>
                <w:szCs w:val="18"/>
              </w:rPr>
            </w:pPr>
            <w:proofErr w:type="spellStart"/>
            <w:r w:rsidRPr="00551E55">
              <w:rPr>
                <w:rFonts w:cstheme="minorHAnsi"/>
                <w:sz w:val="18"/>
                <w:szCs w:val="18"/>
              </w:rPr>
              <w:t>PaCF</w:t>
            </w:r>
            <w:proofErr w:type="spellEnd"/>
            <w:r w:rsidRPr="00551E55">
              <w:rPr>
                <w:rFonts w:cstheme="minorHAnsi"/>
                <w:sz w:val="18"/>
                <w:szCs w:val="18"/>
              </w:rPr>
              <w:t xml:space="preserve"> -4</w:t>
            </w:r>
          </w:p>
          <w:p w:rsidR="00C43B7C" w:rsidRPr="00551E55" w:rsidRDefault="00C43B7C" w:rsidP="003C275D">
            <w:pPr>
              <w:rPr>
                <w:rFonts w:cstheme="minorHAnsi"/>
                <w:sz w:val="18"/>
                <w:szCs w:val="18"/>
              </w:rPr>
            </w:pPr>
            <w:r w:rsidRPr="00551E55">
              <w:rPr>
                <w:rFonts w:cstheme="minorHAnsi"/>
                <w:sz w:val="18"/>
                <w:szCs w:val="18"/>
              </w:rPr>
              <w:t>PF - 8</w:t>
            </w:r>
          </w:p>
        </w:tc>
        <w:tc>
          <w:tcPr>
            <w:tcW w:w="1065" w:type="dxa"/>
            <w:tcMar>
              <w:top w:w="14" w:type="dxa"/>
              <w:left w:w="14" w:type="dxa"/>
              <w:bottom w:w="14" w:type="dxa"/>
              <w:right w:w="14" w:type="dxa"/>
            </w:tcMar>
          </w:tcPr>
          <w:p w:rsidR="00C43B7C" w:rsidRPr="00551E55" w:rsidRDefault="00C43B7C" w:rsidP="003C275D">
            <w:pPr>
              <w:rPr>
                <w:rFonts w:cstheme="minorHAnsi"/>
                <w:sz w:val="18"/>
                <w:szCs w:val="18"/>
              </w:rPr>
            </w:pPr>
            <w:r>
              <w:rPr>
                <w:rFonts w:cstheme="minorHAnsi"/>
                <w:sz w:val="18"/>
                <w:szCs w:val="18"/>
              </w:rPr>
              <w:t>Low risk of bias</w:t>
            </w:r>
          </w:p>
        </w:tc>
      </w:tr>
      <w:tr w:rsidR="00C43B7C" w:rsidRPr="00551E55" w:rsidTr="003C275D">
        <w:tc>
          <w:tcPr>
            <w:tcW w:w="944"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Posner,</w:t>
            </w:r>
          </w:p>
          <w:p w:rsidR="00C43B7C" w:rsidRPr="00551E55" w:rsidRDefault="00C43B7C" w:rsidP="003C275D">
            <w:pPr>
              <w:rPr>
                <w:rFonts w:cstheme="minorHAnsi"/>
                <w:sz w:val="18"/>
                <w:szCs w:val="18"/>
              </w:rPr>
            </w:pPr>
            <w:r w:rsidRPr="00551E55">
              <w:rPr>
                <w:rFonts w:cstheme="minorHAnsi"/>
                <w:sz w:val="18"/>
                <w:szCs w:val="18"/>
              </w:rPr>
              <w:t xml:space="preserve">2007, </w:t>
            </w:r>
            <w:proofErr w:type="spellStart"/>
            <w:r>
              <w:rPr>
                <w:rFonts w:cstheme="minorHAnsi"/>
                <w:sz w:val="18"/>
                <w:szCs w:val="18"/>
              </w:rPr>
              <w:t>Lorch</w:t>
            </w:r>
            <w:proofErr w:type="spellEnd"/>
            <w:r>
              <w:rPr>
                <w:rFonts w:cstheme="minorHAnsi"/>
                <w:sz w:val="18"/>
                <w:szCs w:val="18"/>
              </w:rPr>
              <w:t xml:space="preserve"> </w:t>
            </w:r>
            <w:r w:rsidRPr="00551E55">
              <w:rPr>
                <w:rFonts w:cstheme="minorHAnsi"/>
                <w:sz w:val="18"/>
                <w:szCs w:val="18"/>
              </w:rPr>
              <w:t>2011</w:t>
            </w:r>
          </w:p>
          <w:p w:rsidR="00C43B7C" w:rsidRPr="00551E55" w:rsidRDefault="00C43B7C" w:rsidP="003C275D">
            <w:pPr>
              <w:rPr>
                <w:sz w:val="18"/>
                <w:szCs w:val="18"/>
              </w:rPr>
            </w:pPr>
          </w:p>
        </w:tc>
        <w:tc>
          <w:tcPr>
            <w:tcW w:w="1100"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 xml:space="preserve"> </w:t>
            </w:r>
            <w:proofErr w:type="spellStart"/>
            <w:r w:rsidRPr="00551E55">
              <w:rPr>
                <w:rFonts w:cstheme="minorHAnsi"/>
                <w:sz w:val="18"/>
                <w:szCs w:val="18"/>
              </w:rPr>
              <w:t>Docetaxel</w:t>
            </w:r>
            <w:proofErr w:type="spellEnd"/>
            <w:r w:rsidRPr="00551E55">
              <w:rPr>
                <w:rFonts w:cstheme="minorHAnsi"/>
                <w:sz w:val="18"/>
                <w:szCs w:val="18"/>
              </w:rPr>
              <w:t>- 75 mg/m</w:t>
            </w:r>
            <w:r w:rsidRPr="00551E55">
              <w:rPr>
                <w:rFonts w:cstheme="minorHAnsi"/>
                <w:sz w:val="18"/>
                <w:szCs w:val="18"/>
                <w:vertAlign w:val="superscript"/>
              </w:rPr>
              <w:t xml:space="preserve">2  </w:t>
            </w:r>
            <w:r w:rsidRPr="00551E55">
              <w:rPr>
                <w:rFonts w:cstheme="minorHAnsi"/>
                <w:sz w:val="18"/>
                <w:szCs w:val="18"/>
              </w:rPr>
              <w:t>day1</w:t>
            </w:r>
          </w:p>
          <w:p w:rsidR="00C43B7C" w:rsidRPr="00551E55" w:rsidRDefault="00C43B7C" w:rsidP="003C275D">
            <w:pPr>
              <w:rPr>
                <w:rFonts w:cstheme="minorHAnsi"/>
                <w:sz w:val="18"/>
                <w:szCs w:val="18"/>
              </w:rPr>
            </w:pPr>
            <w:r w:rsidRPr="00551E55">
              <w:rPr>
                <w:rFonts w:cstheme="minorHAnsi"/>
                <w:sz w:val="18"/>
                <w:szCs w:val="18"/>
              </w:rPr>
              <w:t>Q-3weeks</w:t>
            </w:r>
          </w:p>
          <w:p w:rsidR="00C43B7C" w:rsidRPr="00551E55" w:rsidRDefault="00C43B7C" w:rsidP="003C275D">
            <w:pPr>
              <w:rPr>
                <w:rFonts w:cstheme="minorHAnsi"/>
                <w:sz w:val="18"/>
                <w:szCs w:val="18"/>
              </w:rPr>
            </w:pPr>
            <w:r w:rsidRPr="00551E55">
              <w:rPr>
                <w:rFonts w:cstheme="minorHAnsi"/>
                <w:sz w:val="18"/>
                <w:szCs w:val="18"/>
              </w:rPr>
              <w:t>For 9 weeks</w:t>
            </w:r>
          </w:p>
        </w:tc>
        <w:tc>
          <w:tcPr>
            <w:tcW w:w="1568"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Research -100/1000 mg/m</w:t>
            </w:r>
            <w:r w:rsidRPr="00551E55">
              <w:rPr>
                <w:rFonts w:cstheme="minorHAnsi"/>
                <w:sz w:val="18"/>
                <w:szCs w:val="18"/>
                <w:vertAlign w:val="superscript"/>
              </w:rPr>
              <w:t xml:space="preserve">2  </w:t>
            </w:r>
            <w:r w:rsidRPr="00551E55">
              <w:rPr>
                <w:rFonts w:cstheme="minorHAnsi"/>
                <w:sz w:val="18"/>
                <w:szCs w:val="18"/>
              </w:rPr>
              <w:t xml:space="preserve">day1/day1-4 </w:t>
            </w:r>
          </w:p>
          <w:p w:rsidR="00C43B7C" w:rsidRPr="00551E55" w:rsidRDefault="00C43B7C" w:rsidP="003C275D">
            <w:pPr>
              <w:rPr>
                <w:rFonts w:cstheme="minorHAnsi"/>
                <w:sz w:val="18"/>
                <w:szCs w:val="18"/>
              </w:rPr>
            </w:pPr>
            <w:r w:rsidRPr="00551E55">
              <w:rPr>
                <w:rFonts w:cstheme="minorHAnsi"/>
                <w:sz w:val="18"/>
                <w:szCs w:val="18"/>
              </w:rPr>
              <w:t>Control – 100/1000 mg/m</w:t>
            </w:r>
            <w:r w:rsidRPr="00551E55">
              <w:rPr>
                <w:rFonts w:cstheme="minorHAnsi"/>
                <w:sz w:val="18"/>
                <w:szCs w:val="18"/>
                <w:vertAlign w:val="superscript"/>
              </w:rPr>
              <w:t xml:space="preserve">2  </w:t>
            </w:r>
            <w:r w:rsidRPr="00551E55">
              <w:rPr>
                <w:rFonts w:cstheme="minorHAnsi"/>
                <w:sz w:val="18"/>
                <w:szCs w:val="18"/>
              </w:rPr>
              <w:t xml:space="preserve">day1/day1-5 </w:t>
            </w:r>
          </w:p>
          <w:p w:rsidR="00C43B7C" w:rsidRPr="00551E55" w:rsidRDefault="00C43B7C" w:rsidP="003C275D">
            <w:pPr>
              <w:rPr>
                <w:rFonts w:cstheme="minorHAnsi"/>
                <w:sz w:val="18"/>
                <w:szCs w:val="18"/>
              </w:rPr>
            </w:pPr>
            <w:r w:rsidRPr="00551E55">
              <w:rPr>
                <w:rFonts w:cstheme="minorHAnsi"/>
                <w:sz w:val="18"/>
                <w:szCs w:val="18"/>
              </w:rPr>
              <w:t>Q -3weeks</w:t>
            </w:r>
          </w:p>
          <w:p w:rsidR="00C43B7C" w:rsidRPr="00551E55" w:rsidRDefault="00C43B7C" w:rsidP="003C275D">
            <w:pPr>
              <w:rPr>
                <w:rFonts w:cstheme="minorHAnsi"/>
                <w:sz w:val="18"/>
                <w:szCs w:val="18"/>
              </w:rPr>
            </w:pPr>
            <w:r w:rsidRPr="00551E55">
              <w:rPr>
                <w:rFonts w:cstheme="minorHAnsi"/>
                <w:sz w:val="18"/>
                <w:szCs w:val="18"/>
              </w:rPr>
              <w:t>For 9 weeks</w:t>
            </w:r>
          </w:p>
        </w:tc>
        <w:tc>
          <w:tcPr>
            <w:tcW w:w="2582" w:type="dxa"/>
          </w:tcPr>
          <w:p w:rsidR="00C43B7C" w:rsidRPr="00551E55" w:rsidRDefault="00C43B7C" w:rsidP="003C275D">
            <w:pPr>
              <w:rPr>
                <w:rFonts w:cstheme="minorHAnsi"/>
                <w:sz w:val="18"/>
                <w:szCs w:val="18"/>
              </w:rPr>
            </w:pPr>
            <w:r w:rsidRPr="0070443E">
              <w:rPr>
                <w:rFonts w:cs="Times New Roman"/>
                <w:sz w:val="18"/>
                <w:szCs w:val="18"/>
              </w:rPr>
              <w:t>Radiotherapy to the primary tumor (</w:t>
            </w:r>
            <w:proofErr w:type="gramStart"/>
            <w:r w:rsidRPr="0070443E">
              <w:rPr>
                <w:rFonts w:cs="Times New Roman"/>
                <w:sz w:val="18"/>
                <w:szCs w:val="18"/>
              </w:rPr>
              <w:t>GTV )</w:t>
            </w:r>
            <w:proofErr w:type="gramEnd"/>
            <w:r w:rsidRPr="0070443E">
              <w:rPr>
                <w:rFonts w:cs="Times New Roman"/>
                <w:sz w:val="18"/>
                <w:szCs w:val="18"/>
              </w:rPr>
              <w:t xml:space="preserve"> was between 70 </w:t>
            </w:r>
            <w:proofErr w:type="spellStart"/>
            <w:r w:rsidRPr="0070443E">
              <w:rPr>
                <w:rFonts w:cs="Times New Roman"/>
                <w:sz w:val="18"/>
                <w:szCs w:val="18"/>
              </w:rPr>
              <w:t>Gy</w:t>
            </w:r>
            <w:proofErr w:type="spellEnd"/>
            <w:r w:rsidRPr="0070443E">
              <w:rPr>
                <w:rFonts w:cs="Times New Roman"/>
                <w:sz w:val="18"/>
                <w:szCs w:val="18"/>
              </w:rPr>
              <w:t xml:space="preserve"> and 74 </w:t>
            </w:r>
            <w:proofErr w:type="spellStart"/>
            <w:r w:rsidRPr="0070443E">
              <w:rPr>
                <w:rFonts w:cs="Times New Roman"/>
                <w:sz w:val="18"/>
                <w:szCs w:val="18"/>
              </w:rPr>
              <w:t>Gy</w:t>
            </w:r>
            <w:proofErr w:type="spellEnd"/>
            <w:r w:rsidRPr="0070443E">
              <w:rPr>
                <w:rFonts w:cs="Times New Roman"/>
                <w:sz w:val="18"/>
                <w:szCs w:val="18"/>
              </w:rPr>
              <w:t xml:space="preserve"> in fractions of 2 </w:t>
            </w:r>
            <w:proofErr w:type="spellStart"/>
            <w:r w:rsidRPr="0070443E">
              <w:rPr>
                <w:rFonts w:cs="Times New Roman"/>
                <w:sz w:val="18"/>
                <w:szCs w:val="18"/>
              </w:rPr>
              <w:t>Gy</w:t>
            </w:r>
            <w:proofErr w:type="spellEnd"/>
            <w:r w:rsidRPr="0070443E">
              <w:rPr>
                <w:rFonts w:cs="Times New Roman"/>
                <w:sz w:val="18"/>
                <w:szCs w:val="18"/>
              </w:rPr>
              <w:t xml:space="preserve"> per day, 5 days per week. CTV of the uninvolved lymph nodes were treated with at least 50 </w:t>
            </w:r>
            <w:proofErr w:type="spellStart"/>
            <w:r w:rsidRPr="0070443E">
              <w:rPr>
                <w:rFonts w:cs="Times New Roman"/>
                <w:sz w:val="18"/>
                <w:szCs w:val="18"/>
              </w:rPr>
              <w:t>Gy</w:t>
            </w:r>
            <w:proofErr w:type="spellEnd"/>
            <w:r w:rsidRPr="0070443E">
              <w:rPr>
                <w:rFonts w:cs="Times New Roman"/>
                <w:sz w:val="18"/>
                <w:szCs w:val="18"/>
              </w:rPr>
              <w:t xml:space="preserve"> and involved lymph nodes received 60–74 </w:t>
            </w:r>
            <w:proofErr w:type="spellStart"/>
            <w:r w:rsidRPr="0070443E">
              <w:rPr>
                <w:rFonts w:cs="Times New Roman"/>
                <w:sz w:val="18"/>
                <w:szCs w:val="18"/>
              </w:rPr>
              <w:t>Gy</w:t>
            </w:r>
            <w:proofErr w:type="spellEnd"/>
            <w:r w:rsidRPr="0070443E">
              <w:rPr>
                <w:rFonts w:cs="Times New Roman"/>
                <w:sz w:val="18"/>
                <w:szCs w:val="18"/>
              </w:rPr>
              <w:t>, dependent on whether an elective neck dissection was indicated after completion of treatment. All patients were treated with a three-field technique; no intensity modulated radiation therapy was used</w:t>
            </w:r>
          </w:p>
        </w:tc>
        <w:tc>
          <w:tcPr>
            <w:tcW w:w="939"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255/246</w:t>
            </w:r>
          </w:p>
        </w:tc>
        <w:tc>
          <w:tcPr>
            <w:tcW w:w="1009"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TPF – 79%</w:t>
            </w:r>
          </w:p>
          <w:p w:rsidR="00C43B7C" w:rsidRPr="00551E55" w:rsidRDefault="00C43B7C" w:rsidP="003C275D">
            <w:pPr>
              <w:rPr>
                <w:rFonts w:cstheme="minorHAnsi"/>
                <w:sz w:val="18"/>
                <w:szCs w:val="18"/>
              </w:rPr>
            </w:pPr>
            <w:r w:rsidRPr="00551E55">
              <w:rPr>
                <w:rFonts w:cstheme="minorHAnsi"/>
                <w:sz w:val="18"/>
                <w:szCs w:val="18"/>
              </w:rPr>
              <w:t>PF – 75%</w:t>
            </w:r>
          </w:p>
        </w:tc>
        <w:tc>
          <w:tcPr>
            <w:tcW w:w="602"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72.2  months</w:t>
            </w:r>
          </w:p>
        </w:tc>
        <w:tc>
          <w:tcPr>
            <w:tcW w:w="1692"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 xml:space="preserve">TPF  </w:t>
            </w:r>
            <w:proofErr w:type="spellStart"/>
            <w:r w:rsidRPr="00551E55">
              <w:rPr>
                <w:rFonts w:cstheme="minorHAnsi"/>
                <w:sz w:val="18"/>
                <w:szCs w:val="18"/>
              </w:rPr>
              <w:t>oropharynx</w:t>
            </w:r>
            <w:proofErr w:type="spellEnd"/>
            <w:r w:rsidRPr="00551E55">
              <w:rPr>
                <w:rFonts w:cstheme="minorHAnsi"/>
                <w:sz w:val="18"/>
                <w:szCs w:val="18"/>
              </w:rPr>
              <w:t xml:space="preserve"> – 52%</w:t>
            </w:r>
          </w:p>
          <w:p w:rsidR="00C43B7C" w:rsidRPr="00551E55" w:rsidRDefault="00C43B7C" w:rsidP="003C275D">
            <w:pPr>
              <w:rPr>
                <w:rFonts w:cstheme="minorHAnsi"/>
                <w:sz w:val="18"/>
                <w:szCs w:val="18"/>
              </w:rPr>
            </w:pPr>
            <w:r w:rsidRPr="00551E55">
              <w:rPr>
                <w:rFonts w:cstheme="minorHAnsi"/>
                <w:sz w:val="18"/>
                <w:szCs w:val="18"/>
              </w:rPr>
              <w:t xml:space="preserve">PF </w:t>
            </w:r>
            <w:proofErr w:type="spellStart"/>
            <w:r w:rsidRPr="00551E55">
              <w:rPr>
                <w:rFonts w:cstheme="minorHAnsi"/>
                <w:sz w:val="18"/>
                <w:szCs w:val="18"/>
              </w:rPr>
              <w:t>oropharynx</w:t>
            </w:r>
            <w:proofErr w:type="spellEnd"/>
            <w:r w:rsidRPr="00551E55">
              <w:rPr>
                <w:rFonts w:cstheme="minorHAnsi"/>
                <w:sz w:val="18"/>
                <w:szCs w:val="18"/>
              </w:rPr>
              <w:t xml:space="preserve"> – 53%</w:t>
            </w:r>
          </w:p>
        </w:tc>
        <w:tc>
          <w:tcPr>
            <w:tcW w:w="932"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TPF–T4</w:t>
            </w:r>
          </w:p>
          <w:p w:rsidR="00C43B7C" w:rsidRPr="00551E55" w:rsidRDefault="00C43B7C" w:rsidP="003C275D">
            <w:pPr>
              <w:rPr>
                <w:rFonts w:cstheme="minorHAnsi"/>
                <w:sz w:val="18"/>
                <w:szCs w:val="18"/>
              </w:rPr>
            </w:pPr>
            <w:r w:rsidRPr="00551E55">
              <w:rPr>
                <w:rFonts w:cstheme="minorHAnsi"/>
                <w:sz w:val="18"/>
                <w:szCs w:val="18"/>
              </w:rPr>
              <w:t>(n-125)</w:t>
            </w:r>
          </w:p>
          <w:p w:rsidR="00C43B7C" w:rsidRPr="00551E55" w:rsidRDefault="00C43B7C" w:rsidP="003C275D">
            <w:pPr>
              <w:rPr>
                <w:rFonts w:cstheme="minorHAnsi"/>
                <w:sz w:val="18"/>
                <w:szCs w:val="18"/>
              </w:rPr>
            </w:pPr>
            <w:r w:rsidRPr="00551E55">
              <w:rPr>
                <w:rFonts w:cstheme="minorHAnsi"/>
                <w:sz w:val="18"/>
                <w:szCs w:val="18"/>
              </w:rPr>
              <w:t>PF–T4</w:t>
            </w:r>
          </w:p>
          <w:p w:rsidR="00C43B7C" w:rsidRPr="00551E55" w:rsidRDefault="00C43B7C" w:rsidP="003C275D">
            <w:pPr>
              <w:rPr>
                <w:rFonts w:cstheme="minorHAnsi"/>
                <w:sz w:val="18"/>
                <w:szCs w:val="18"/>
              </w:rPr>
            </w:pPr>
            <w:r w:rsidRPr="00551E55">
              <w:rPr>
                <w:rFonts w:cstheme="minorHAnsi"/>
                <w:sz w:val="18"/>
                <w:szCs w:val="18"/>
              </w:rPr>
              <w:t>(n-92)</w:t>
            </w:r>
          </w:p>
        </w:tc>
        <w:tc>
          <w:tcPr>
            <w:tcW w:w="1093" w:type="dxa"/>
          </w:tcPr>
          <w:p w:rsidR="00C43B7C" w:rsidRPr="00551E55" w:rsidRDefault="00C43B7C" w:rsidP="003C275D">
            <w:pPr>
              <w:rPr>
                <w:rFonts w:cstheme="minorHAnsi"/>
                <w:sz w:val="18"/>
                <w:szCs w:val="18"/>
              </w:rPr>
            </w:pPr>
            <w:proofErr w:type="spellStart"/>
            <w:r w:rsidRPr="00551E55">
              <w:rPr>
                <w:rFonts w:cstheme="minorHAnsi"/>
                <w:sz w:val="18"/>
                <w:szCs w:val="18"/>
              </w:rPr>
              <w:t>ABx</w:t>
            </w:r>
            <w:proofErr w:type="spellEnd"/>
            <w:r w:rsidRPr="00551E55">
              <w:rPr>
                <w:rFonts w:cstheme="minorHAnsi"/>
                <w:sz w:val="18"/>
                <w:szCs w:val="18"/>
              </w:rPr>
              <w:t xml:space="preserve"> </w:t>
            </w:r>
          </w:p>
        </w:tc>
        <w:tc>
          <w:tcPr>
            <w:tcW w:w="1509" w:type="dxa"/>
          </w:tcPr>
          <w:p w:rsidR="00C43B7C" w:rsidRPr="00551E55" w:rsidRDefault="00C43B7C" w:rsidP="003C275D">
            <w:pPr>
              <w:rPr>
                <w:rFonts w:cstheme="minorHAnsi"/>
                <w:sz w:val="18"/>
                <w:szCs w:val="18"/>
              </w:rPr>
            </w:pPr>
            <w:r>
              <w:rPr>
                <w:rFonts w:cstheme="minorHAnsi"/>
                <w:sz w:val="18"/>
                <w:szCs w:val="18"/>
              </w:rPr>
              <w:t>Not reported</w:t>
            </w:r>
          </w:p>
        </w:tc>
        <w:tc>
          <w:tcPr>
            <w:tcW w:w="1065" w:type="dxa"/>
            <w:tcMar>
              <w:top w:w="14" w:type="dxa"/>
              <w:left w:w="14" w:type="dxa"/>
              <w:bottom w:w="14" w:type="dxa"/>
              <w:right w:w="14" w:type="dxa"/>
            </w:tcMar>
          </w:tcPr>
          <w:p w:rsidR="00C43B7C" w:rsidRPr="00551E55" w:rsidRDefault="00C43B7C" w:rsidP="003C275D">
            <w:pPr>
              <w:rPr>
                <w:rFonts w:cstheme="minorHAnsi"/>
                <w:sz w:val="18"/>
                <w:szCs w:val="18"/>
              </w:rPr>
            </w:pPr>
            <w:r>
              <w:rPr>
                <w:rFonts w:cstheme="minorHAnsi"/>
                <w:sz w:val="18"/>
                <w:szCs w:val="18"/>
              </w:rPr>
              <w:t>Not reported</w:t>
            </w:r>
          </w:p>
        </w:tc>
      </w:tr>
      <w:tr w:rsidR="00C43B7C" w:rsidRPr="00551E55" w:rsidTr="003C275D">
        <w:tc>
          <w:tcPr>
            <w:tcW w:w="944" w:type="dxa"/>
            <w:tcMar>
              <w:top w:w="14" w:type="dxa"/>
              <w:left w:w="14" w:type="dxa"/>
              <w:bottom w:w="14" w:type="dxa"/>
              <w:right w:w="14" w:type="dxa"/>
            </w:tcMar>
          </w:tcPr>
          <w:p w:rsidR="00C43B7C" w:rsidRPr="00551E55" w:rsidRDefault="00C43B7C" w:rsidP="003C275D">
            <w:pPr>
              <w:rPr>
                <w:rFonts w:cstheme="minorHAnsi"/>
                <w:sz w:val="18"/>
                <w:szCs w:val="18"/>
              </w:rPr>
            </w:pPr>
            <w:proofErr w:type="spellStart"/>
            <w:r w:rsidRPr="00551E55">
              <w:rPr>
                <w:rFonts w:cstheme="minorHAnsi"/>
                <w:sz w:val="18"/>
                <w:szCs w:val="18"/>
              </w:rPr>
              <w:t>Vermoken</w:t>
            </w:r>
            <w:proofErr w:type="spellEnd"/>
            <w:r w:rsidRPr="00551E55">
              <w:rPr>
                <w:rFonts w:cstheme="minorHAnsi"/>
                <w:sz w:val="18"/>
                <w:szCs w:val="18"/>
              </w:rPr>
              <w:t>, 2007</w:t>
            </w:r>
          </w:p>
          <w:p w:rsidR="00C43B7C" w:rsidRPr="00551E55" w:rsidRDefault="00C43B7C" w:rsidP="003C275D">
            <w:pPr>
              <w:rPr>
                <w:rFonts w:cstheme="minorHAnsi"/>
                <w:sz w:val="18"/>
                <w:szCs w:val="18"/>
              </w:rPr>
            </w:pPr>
          </w:p>
        </w:tc>
        <w:tc>
          <w:tcPr>
            <w:tcW w:w="1100" w:type="dxa"/>
            <w:tcMar>
              <w:top w:w="14" w:type="dxa"/>
              <w:left w:w="14" w:type="dxa"/>
              <w:bottom w:w="14" w:type="dxa"/>
              <w:right w:w="14" w:type="dxa"/>
            </w:tcMar>
          </w:tcPr>
          <w:p w:rsidR="00C43B7C" w:rsidRPr="00551E55" w:rsidRDefault="00C43B7C" w:rsidP="003C275D">
            <w:pPr>
              <w:rPr>
                <w:rFonts w:cstheme="minorHAnsi"/>
                <w:sz w:val="18"/>
                <w:szCs w:val="18"/>
              </w:rPr>
            </w:pPr>
            <w:proofErr w:type="spellStart"/>
            <w:r w:rsidRPr="00551E55">
              <w:rPr>
                <w:rFonts w:cstheme="minorHAnsi"/>
                <w:sz w:val="18"/>
                <w:szCs w:val="18"/>
              </w:rPr>
              <w:t>Docetaxel</w:t>
            </w:r>
            <w:proofErr w:type="spellEnd"/>
            <w:r w:rsidRPr="00551E55">
              <w:rPr>
                <w:rFonts w:cstheme="minorHAnsi"/>
                <w:sz w:val="18"/>
                <w:szCs w:val="18"/>
              </w:rPr>
              <w:t xml:space="preserve"> – 75 mg/m</w:t>
            </w:r>
            <w:r w:rsidRPr="00551E55">
              <w:rPr>
                <w:rFonts w:cstheme="minorHAnsi"/>
                <w:sz w:val="18"/>
                <w:szCs w:val="18"/>
                <w:vertAlign w:val="superscript"/>
              </w:rPr>
              <w:t xml:space="preserve">2  </w:t>
            </w:r>
            <w:r w:rsidRPr="00551E55">
              <w:rPr>
                <w:rFonts w:cstheme="minorHAnsi"/>
                <w:sz w:val="18"/>
                <w:szCs w:val="18"/>
              </w:rPr>
              <w:t>day1</w:t>
            </w:r>
          </w:p>
          <w:p w:rsidR="00C43B7C" w:rsidRPr="00551E55" w:rsidRDefault="00C43B7C" w:rsidP="003C275D">
            <w:pPr>
              <w:rPr>
                <w:rFonts w:cstheme="minorHAnsi"/>
                <w:sz w:val="18"/>
                <w:szCs w:val="18"/>
              </w:rPr>
            </w:pPr>
            <w:r w:rsidRPr="00551E55">
              <w:rPr>
                <w:rFonts w:cstheme="minorHAnsi"/>
                <w:sz w:val="18"/>
                <w:szCs w:val="18"/>
              </w:rPr>
              <w:t>Q – 3weeks</w:t>
            </w:r>
          </w:p>
          <w:p w:rsidR="00C43B7C" w:rsidRPr="00551E55" w:rsidRDefault="00C43B7C" w:rsidP="003C275D">
            <w:pPr>
              <w:rPr>
                <w:rFonts w:cstheme="minorHAnsi"/>
                <w:sz w:val="18"/>
                <w:szCs w:val="18"/>
              </w:rPr>
            </w:pPr>
          </w:p>
          <w:p w:rsidR="00C43B7C" w:rsidRPr="00551E55" w:rsidRDefault="00C43B7C" w:rsidP="003C275D">
            <w:pPr>
              <w:rPr>
                <w:rFonts w:cstheme="minorHAnsi"/>
                <w:sz w:val="18"/>
                <w:szCs w:val="18"/>
              </w:rPr>
            </w:pPr>
          </w:p>
          <w:p w:rsidR="00C43B7C" w:rsidRPr="00551E55" w:rsidRDefault="00C43B7C" w:rsidP="003C275D">
            <w:pPr>
              <w:rPr>
                <w:rFonts w:cstheme="minorHAnsi"/>
                <w:sz w:val="18"/>
                <w:szCs w:val="18"/>
              </w:rPr>
            </w:pPr>
            <w:r w:rsidRPr="00551E55">
              <w:rPr>
                <w:rFonts w:cstheme="minorHAnsi"/>
                <w:sz w:val="18"/>
                <w:szCs w:val="18"/>
              </w:rPr>
              <w:t>For 9-12 weeks</w:t>
            </w:r>
          </w:p>
        </w:tc>
        <w:tc>
          <w:tcPr>
            <w:tcW w:w="1568"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Research – 75/750 mg/m</w:t>
            </w:r>
            <w:r w:rsidRPr="00551E55">
              <w:rPr>
                <w:rFonts w:cstheme="minorHAnsi"/>
                <w:sz w:val="18"/>
                <w:szCs w:val="18"/>
                <w:vertAlign w:val="superscript"/>
              </w:rPr>
              <w:t xml:space="preserve">2  </w:t>
            </w:r>
            <w:r w:rsidRPr="00551E55">
              <w:rPr>
                <w:rFonts w:cstheme="minorHAnsi"/>
                <w:sz w:val="18"/>
                <w:szCs w:val="18"/>
              </w:rPr>
              <w:t>day1 /day1-5</w:t>
            </w:r>
          </w:p>
          <w:p w:rsidR="00C43B7C" w:rsidRPr="00551E55" w:rsidRDefault="00C43B7C" w:rsidP="003C275D">
            <w:pPr>
              <w:rPr>
                <w:rFonts w:cstheme="minorHAnsi"/>
                <w:sz w:val="18"/>
                <w:szCs w:val="18"/>
              </w:rPr>
            </w:pPr>
            <w:r w:rsidRPr="00551E55">
              <w:rPr>
                <w:rFonts w:cstheme="minorHAnsi"/>
                <w:sz w:val="18"/>
                <w:szCs w:val="18"/>
              </w:rPr>
              <w:t>Control  – 100/1000 mg/m</w:t>
            </w:r>
            <w:r w:rsidRPr="00551E55">
              <w:rPr>
                <w:rFonts w:cstheme="minorHAnsi"/>
                <w:sz w:val="18"/>
                <w:szCs w:val="18"/>
                <w:vertAlign w:val="superscript"/>
              </w:rPr>
              <w:t xml:space="preserve">2 </w:t>
            </w:r>
            <w:r w:rsidRPr="00551E55">
              <w:rPr>
                <w:rFonts w:cstheme="minorHAnsi"/>
                <w:sz w:val="18"/>
                <w:szCs w:val="18"/>
              </w:rPr>
              <w:t>day1/day1-5</w:t>
            </w:r>
          </w:p>
          <w:p w:rsidR="00C43B7C" w:rsidRPr="00551E55" w:rsidRDefault="00C43B7C" w:rsidP="003C275D">
            <w:pPr>
              <w:rPr>
                <w:rFonts w:cstheme="minorHAnsi"/>
                <w:sz w:val="18"/>
                <w:szCs w:val="18"/>
              </w:rPr>
            </w:pPr>
            <w:r w:rsidRPr="00551E55">
              <w:rPr>
                <w:rFonts w:cstheme="minorHAnsi"/>
                <w:sz w:val="18"/>
                <w:szCs w:val="18"/>
              </w:rPr>
              <w:t>Q-3weeks</w:t>
            </w:r>
          </w:p>
          <w:p w:rsidR="00C43B7C" w:rsidRPr="00551E55" w:rsidRDefault="00C43B7C" w:rsidP="003C275D">
            <w:pPr>
              <w:rPr>
                <w:rFonts w:cstheme="minorHAnsi"/>
                <w:sz w:val="18"/>
                <w:szCs w:val="18"/>
              </w:rPr>
            </w:pPr>
            <w:r w:rsidRPr="00551E55">
              <w:rPr>
                <w:rFonts w:cstheme="minorHAnsi"/>
                <w:sz w:val="18"/>
                <w:szCs w:val="18"/>
              </w:rPr>
              <w:t>For 9-12 weeks</w:t>
            </w:r>
          </w:p>
        </w:tc>
        <w:tc>
          <w:tcPr>
            <w:tcW w:w="2582" w:type="dxa"/>
          </w:tcPr>
          <w:p w:rsidR="00C43B7C" w:rsidRPr="00551E55" w:rsidRDefault="00C43B7C" w:rsidP="003C275D">
            <w:pPr>
              <w:rPr>
                <w:rFonts w:cstheme="minorHAnsi"/>
                <w:sz w:val="18"/>
                <w:szCs w:val="18"/>
              </w:rPr>
            </w:pPr>
            <w:r w:rsidRPr="0070443E">
              <w:rPr>
                <w:rFonts w:eastAsia="OTNEJMQuadraat" w:cs="Times New Roman"/>
                <w:sz w:val="18"/>
                <w:szCs w:val="18"/>
              </w:rPr>
              <w:t xml:space="preserve">Radiation was delivered during a 7-week period with the use of either conventional fractionation (total dose, 66 to 70 </w:t>
            </w:r>
            <w:proofErr w:type="spellStart"/>
            <w:r w:rsidRPr="0070443E">
              <w:rPr>
                <w:rFonts w:eastAsia="OTNEJMQuadraat" w:cs="Times New Roman"/>
                <w:sz w:val="18"/>
                <w:szCs w:val="18"/>
              </w:rPr>
              <w:t>Gy</w:t>
            </w:r>
            <w:proofErr w:type="spellEnd"/>
            <w:r w:rsidRPr="0070443E">
              <w:rPr>
                <w:rFonts w:eastAsia="OTNEJMQuadraat" w:cs="Times New Roman"/>
                <w:sz w:val="18"/>
                <w:szCs w:val="18"/>
              </w:rPr>
              <w:t xml:space="preserve">) or accelerated or </w:t>
            </w:r>
            <w:proofErr w:type="spellStart"/>
            <w:r w:rsidRPr="0070443E">
              <w:rPr>
                <w:rFonts w:eastAsia="OTNEJMQuadraat" w:cs="Times New Roman"/>
                <w:sz w:val="18"/>
                <w:szCs w:val="18"/>
              </w:rPr>
              <w:t>hyperfractionated</w:t>
            </w:r>
            <w:proofErr w:type="spellEnd"/>
            <w:r w:rsidRPr="0070443E">
              <w:rPr>
                <w:rFonts w:eastAsia="OTNEJMQuadraat" w:cs="Times New Roman"/>
                <w:sz w:val="18"/>
                <w:szCs w:val="18"/>
              </w:rPr>
              <w:t xml:space="preserve"> regimens (total maximum dose of 70 </w:t>
            </w:r>
            <w:proofErr w:type="spellStart"/>
            <w:r w:rsidRPr="0070443E">
              <w:rPr>
                <w:rFonts w:eastAsia="OTNEJMQuadraat" w:cs="Times New Roman"/>
                <w:sz w:val="18"/>
                <w:szCs w:val="18"/>
              </w:rPr>
              <w:t>Gy</w:t>
            </w:r>
            <w:proofErr w:type="spellEnd"/>
            <w:r w:rsidRPr="0070443E">
              <w:rPr>
                <w:rFonts w:eastAsia="OTNEJMQuadraat" w:cs="Times New Roman"/>
                <w:sz w:val="18"/>
                <w:szCs w:val="18"/>
              </w:rPr>
              <w:t xml:space="preserve"> for the accelerated regimen and </w:t>
            </w:r>
            <w:r w:rsidRPr="0070443E">
              <w:rPr>
                <w:rFonts w:eastAsia="OTNEJMQuadraat" w:cs="Times New Roman"/>
                <w:sz w:val="18"/>
                <w:szCs w:val="18"/>
              </w:rPr>
              <w:lastRenderedPageBreak/>
              <w:t xml:space="preserve">74 </w:t>
            </w:r>
            <w:proofErr w:type="spellStart"/>
            <w:r w:rsidRPr="0070443E">
              <w:rPr>
                <w:rFonts w:eastAsia="OTNEJMQuadraat" w:cs="Times New Roman"/>
                <w:sz w:val="18"/>
                <w:szCs w:val="18"/>
              </w:rPr>
              <w:t>Gy</w:t>
            </w:r>
            <w:proofErr w:type="spellEnd"/>
            <w:r w:rsidRPr="0070443E">
              <w:rPr>
                <w:rFonts w:eastAsia="OTNEJMQuadraat" w:cs="Times New Roman"/>
                <w:sz w:val="18"/>
                <w:szCs w:val="18"/>
              </w:rPr>
              <w:t xml:space="preserve"> for the </w:t>
            </w:r>
            <w:proofErr w:type="spellStart"/>
            <w:r w:rsidRPr="0070443E">
              <w:rPr>
                <w:rFonts w:eastAsia="OTNEJMQuadraat" w:cs="Times New Roman"/>
                <w:sz w:val="18"/>
                <w:szCs w:val="18"/>
              </w:rPr>
              <w:t>hyperfractionated</w:t>
            </w:r>
            <w:proofErr w:type="spellEnd"/>
            <w:r w:rsidRPr="0070443E">
              <w:rPr>
                <w:rFonts w:eastAsia="OTNEJMQuadraat" w:cs="Times New Roman"/>
                <w:sz w:val="18"/>
                <w:szCs w:val="18"/>
              </w:rPr>
              <w:t xml:space="preserve"> regimen)</w:t>
            </w:r>
          </w:p>
        </w:tc>
        <w:tc>
          <w:tcPr>
            <w:tcW w:w="939"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lastRenderedPageBreak/>
              <w:t>177/181</w:t>
            </w:r>
          </w:p>
        </w:tc>
        <w:tc>
          <w:tcPr>
            <w:tcW w:w="1009"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TPF – 90%</w:t>
            </w:r>
          </w:p>
          <w:p w:rsidR="00C43B7C" w:rsidRPr="00551E55" w:rsidRDefault="00C43B7C" w:rsidP="003C275D">
            <w:pPr>
              <w:rPr>
                <w:rFonts w:cstheme="minorHAnsi"/>
                <w:sz w:val="18"/>
                <w:szCs w:val="18"/>
              </w:rPr>
            </w:pPr>
            <w:r w:rsidRPr="00551E55">
              <w:rPr>
                <w:rFonts w:cstheme="minorHAnsi"/>
                <w:sz w:val="18"/>
                <w:szCs w:val="18"/>
              </w:rPr>
              <w:t>PF – 85%</w:t>
            </w:r>
          </w:p>
        </w:tc>
        <w:tc>
          <w:tcPr>
            <w:tcW w:w="602"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32.5 months</w:t>
            </w:r>
          </w:p>
        </w:tc>
        <w:tc>
          <w:tcPr>
            <w:tcW w:w="1692"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 xml:space="preserve">TPF  </w:t>
            </w:r>
            <w:proofErr w:type="spellStart"/>
            <w:r w:rsidRPr="00551E55">
              <w:rPr>
                <w:rFonts w:cstheme="minorHAnsi"/>
                <w:sz w:val="18"/>
                <w:szCs w:val="18"/>
              </w:rPr>
              <w:t>oropharynx</w:t>
            </w:r>
            <w:proofErr w:type="spellEnd"/>
            <w:r w:rsidRPr="00551E55">
              <w:rPr>
                <w:rFonts w:cstheme="minorHAnsi"/>
                <w:sz w:val="18"/>
                <w:szCs w:val="18"/>
              </w:rPr>
              <w:t xml:space="preserve"> -45.8%</w:t>
            </w:r>
          </w:p>
          <w:p w:rsidR="00C43B7C" w:rsidRPr="00551E55" w:rsidRDefault="00C43B7C" w:rsidP="003C275D">
            <w:pPr>
              <w:rPr>
                <w:rFonts w:cstheme="minorHAnsi"/>
                <w:sz w:val="18"/>
                <w:szCs w:val="18"/>
              </w:rPr>
            </w:pPr>
            <w:r w:rsidRPr="00551E55">
              <w:rPr>
                <w:rFonts w:cstheme="minorHAnsi"/>
                <w:sz w:val="18"/>
                <w:szCs w:val="18"/>
              </w:rPr>
              <w:t xml:space="preserve">PF </w:t>
            </w:r>
            <w:proofErr w:type="spellStart"/>
            <w:r w:rsidRPr="00551E55">
              <w:rPr>
                <w:rFonts w:cstheme="minorHAnsi"/>
                <w:sz w:val="18"/>
                <w:szCs w:val="18"/>
              </w:rPr>
              <w:t>oropharynx</w:t>
            </w:r>
            <w:proofErr w:type="spellEnd"/>
            <w:r w:rsidRPr="00551E55">
              <w:rPr>
                <w:rFonts w:cstheme="minorHAnsi"/>
                <w:sz w:val="18"/>
                <w:szCs w:val="18"/>
              </w:rPr>
              <w:t xml:space="preserve"> -46.4%</w:t>
            </w:r>
          </w:p>
        </w:tc>
        <w:tc>
          <w:tcPr>
            <w:tcW w:w="932"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TPF-T4</w:t>
            </w:r>
          </w:p>
          <w:p w:rsidR="00C43B7C" w:rsidRPr="00551E55" w:rsidRDefault="00C43B7C" w:rsidP="003C275D">
            <w:pPr>
              <w:rPr>
                <w:rFonts w:cstheme="minorHAnsi"/>
                <w:sz w:val="18"/>
                <w:szCs w:val="18"/>
              </w:rPr>
            </w:pPr>
            <w:r w:rsidRPr="00551E55">
              <w:rPr>
                <w:rFonts w:cstheme="minorHAnsi"/>
                <w:sz w:val="18"/>
                <w:szCs w:val="18"/>
              </w:rPr>
              <w:t>(n-123)</w:t>
            </w:r>
          </w:p>
          <w:p w:rsidR="00C43B7C" w:rsidRPr="00551E55" w:rsidRDefault="00C43B7C" w:rsidP="003C275D">
            <w:pPr>
              <w:rPr>
                <w:rFonts w:cstheme="minorHAnsi"/>
                <w:sz w:val="18"/>
                <w:szCs w:val="18"/>
              </w:rPr>
            </w:pPr>
            <w:r w:rsidRPr="00551E55">
              <w:rPr>
                <w:rFonts w:cstheme="minorHAnsi"/>
                <w:sz w:val="18"/>
                <w:szCs w:val="18"/>
              </w:rPr>
              <w:t>PF-T4</w:t>
            </w:r>
          </w:p>
          <w:p w:rsidR="00C43B7C" w:rsidRPr="00551E55" w:rsidRDefault="00C43B7C" w:rsidP="003C275D">
            <w:pPr>
              <w:rPr>
                <w:rFonts w:cstheme="minorHAnsi"/>
                <w:sz w:val="18"/>
                <w:szCs w:val="18"/>
              </w:rPr>
            </w:pPr>
            <w:r w:rsidRPr="00551E55">
              <w:rPr>
                <w:rFonts w:cstheme="minorHAnsi"/>
                <w:sz w:val="18"/>
                <w:szCs w:val="18"/>
              </w:rPr>
              <w:t>(n-129)</w:t>
            </w:r>
          </w:p>
        </w:tc>
        <w:tc>
          <w:tcPr>
            <w:tcW w:w="1093" w:type="dxa"/>
          </w:tcPr>
          <w:p w:rsidR="00C43B7C" w:rsidRPr="00551E55" w:rsidRDefault="00C43B7C" w:rsidP="003C275D">
            <w:pPr>
              <w:rPr>
                <w:rFonts w:cstheme="minorHAnsi"/>
                <w:sz w:val="18"/>
                <w:szCs w:val="18"/>
              </w:rPr>
            </w:pPr>
            <w:proofErr w:type="spellStart"/>
            <w:r w:rsidRPr="00551E55">
              <w:rPr>
                <w:rFonts w:cstheme="minorHAnsi"/>
                <w:sz w:val="18"/>
                <w:szCs w:val="18"/>
              </w:rPr>
              <w:t>ABx</w:t>
            </w:r>
            <w:proofErr w:type="spellEnd"/>
          </w:p>
        </w:tc>
        <w:tc>
          <w:tcPr>
            <w:tcW w:w="1509" w:type="dxa"/>
          </w:tcPr>
          <w:p w:rsidR="00C43B7C" w:rsidRPr="00551E55" w:rsidRDefault="00C43B7C" w:rsidP="003C275D">
            <w:pPr>
              <w:rPr>
                <w:rFonts w:cstheme="minorHAnsi"/>
                <w:sz w:val="18"/>
                <w:szCs w:val="18"/>
              </w:rPr>
            </w:pPr>
            <w:r w:rsidRPr="00551E55">
              <w:rPr>
                <w:rFonts w:cstheme="minorHAnsi"/>
                <w:sz w:val="18"/>
                <w:szCs w:val="18"/>
              </w:rPr>
              <w:t>TPF – 6</w:t>
            </w:r>
          </w:p>
          <w:p w:rsidR="00C43B7C" w:rsidRPr="00551E55" w:rsidRDefault="00C43B7C" w:rsidP="003C275D">
            <w:pPr>
              <w:rPr>
                <w:rFonts w:cstheme="minorHAnsi"/>
                <w:sz w:val="18"/>
                <w:szCs w:val="18"/>
              </w:rPr>
            </w:pPr>
            <w:r w:rsidRPr="00551E55">
              <w:rPr>
                <w:rFonts w:cstheme="minorHAnsi"/>
                <w:sz w:val="18"/>
                <w:szCs w:val="18"/>
              </w:rPr>
              <w:t>PF - 12</w:t>
            </w:r>
          </w:p>
        </w:tc>
        <w:tc>
          <w:tcPr>
            <w:tcW w:w="1065" w:type="dxa"/>
            <w:tcMar>
              <w:top w:w="14" w:type="dxa"/>
              <w:left w:w="14" w:type="dxa"/>
              <w:bottom w:w="14" w:type="dxa"/>
              <w:right w:w="14" w:type="dxa"/>
            </w:tcMar>
          </w:tcPr>
          <w:p w:rsidR="00C43B7C" w:rsidRPr="00551E55" w:rsidRDefault="00C43B7C" w:rsidP="003C275D">
            <w:pPr>
              <w:rPr>
                <w:rFonts w:cstheme="minorHAnsi"/>
                <w:sz w:val="18"/>
                <w:szCs w:val="18"/>
              </w:rPr>
            </w:pPr>
            <w:r>
              <w:rPr>
                <w:rFonts w:cstheme="minorHAnsi"/>
                <w:sz w:val="18"/>
                <w:szCs w:val="18"/>
              </w:rPr>
              <w:t>Not reported</w:t>
            </w:r>
          </w:p>
        </w:tc>
      </w:tr>
      <w:tr w:rsidR="00C43B7C" w:rsidRPr="00551E55" w:rsidTr="003C275D">
        <w:trPr>
          <w:trHeight w:val="1214"/>
        </w:trPr>
        <w:tc>
          <w:tcPr>
            <w:tcW w:w="944" w:type="dxa"/>
            <w:tcMar>
              <w:top w:w="14" w:type="dxa"/>
              <w:left w:w="14" w:type="dxa"/>
              <w:bottom w:w="14" w:type="dxa"/>
              <w:right w:w="14" w:type="dxa"/>
            </w:tcMar>
          </w:tcPr>
          <w:p w:rsidR="00C43B7C" w:rsidRPr="00551E55" w:rsidRDefault="00C43B7C" w:rsidP="003C275D">
            <w:pPr>
              <w:rPr>
                <w:rFonts w:cstheme="minorHAnsi"/>
                <w:sz w:val="18"/>
                <w:szCs w:val="18"/>
              </w:rPr>
            </w:pPr>
            <w:proofErr w:type="spellStart"/>
            <w:r w:rsidRPr="00551E55">
              <w:rPr>
                <w:rFonts w:cstheme="minorHAnsi"/>
                <w:sz w:val="18"/>
                <w:szCs w:val="18"/>
              </w:rPr>
              <w:lastRenderedPageBreak/>
              <w:t>Pointreau</w:t>
            </w:r>
            <w:proofErr w:type="spellEnd"/>
            <w:r w:rsidRPr="00551E55">
              <w:rPr>
                <w:rFonts w:cstheme="minorHAnsi"/>
                <w:sz w:val="18"/>
                <w:szCs w:val="18"/>
              </w:rPr>
              <w:t xml:space="preserve">, </w:t>
            </w:r>
          </w:p>
          <w:p w:rsidR="00C43B7C" w:rsidRPr="00551E55" w:rsidRDefault="00C43B7C" w:rsidP="003C275D">
            <w:pPr>
              <w:rPr>
                <w:rFonts w:cstheme="minorHAnsi"/>
                <w:sz w:val="18"/>
                <w:szCs w:val="18"/>
              </w:rPr>
            </w:pPr>
            <w:r w:rsidRPr="00551E55">
              <w:rPr>
                <w:rFonts w:cstheme="minorHAnsi"/>
                <w:sz w:val="18"/>
                <w:szCs w:val="18"/>
              </w:rPr>
              <w:t>2009</w:t>
            </w:r>
          </w:p>
          <w:p w:rsidR="00C43B7C" w:rsidRPr="00551E55" w:rsidRDefault="00C43B7C" w:rsidP="003C275D">
            <w:pPr>
              <w:rPr>
                <w:sz w:val="18"/>
                <w:szCs w:val="18"/>
              </w:rPr>
            </w:pPr>
          </w:p>
        </w:tc>
        <w:tc>
          <w:tcPr>
            <w:tcW w:w="1100" w:type="dxa"/>
            <w:tcMar>
              <w:top w:w="14" w:type="dxa"/>
              <w:left w:w="14" w:type="dxa"/>
              <w:bottom w:w="14" w:type="dxa"/>
              <w:right w:w="14" w:type="dxa"/>
            </w:tcMar>
          </w:tcPr>
          <w:p w:rsidR="00C43B7C" w:rsidRPr="00551E55" w:rsidRDefault="00C43B7C" w:rsidP="003C275D">
            <w:pPr>
              <w:rPr>
                <w:rFonts w:cstheme="minorHAnsi"/>
                <w:sz w:val="18"/>
                <w:szCs w:val="18"/>
              </w:rPr>
            </w:pPr>
            <w:proofErr w:type="spellStart"/>
            <w:r w:rsidRPr="00551E55">
              <w:rPr>
                <w:rFonts w:cstheme="minorHAnsi"/>
                <w:sz w:val="18"/>
                <w:szCs w:val="18"/>
              </w:rPr>
              <w:t>Docetaxel</w:t>
            </w:r>
            <w:proofErr w:type="spellEnd"/>
            <w:r w:rsidRPr="00551E55">
              <w:rPr>
                <w:rFonts w:cstheme="minorHAnsi"/>
                <w:sz w:val="18"/>
                <w:szCs w:val="18"/>
              </w:rPr>
              <w:t xml:space="preserve"> – 75 mg/m</w:t>
            </w:r>
            <w:r w:rsidRPr="00551E55">
              <w:rPr>
                <w:rFonts w:cstheme="minorHAnsi"/>
                <w:sz w:val="18"/>
                <w:szCs w:val="18"/>
                <w:vertAlign w:val="superscript"/>
              </w:rPr>
              <w:t xml:space="preserve">2 </w:t>
            </w:r>
            <w:r w:rsidRPr="00551E55">
              <w:rPr>
                <w:rFonts w:cstheme="minorHAnsi"/>
                <w:sz w:val="18"/>
                <w:szCs w:val="18"/>
              </w:rPr>
              <w:t>day 1</w:t>
            </w:r>
          </w:p>
          <w:p w:rsidR="00C43B7C" w:rsidRPr="00551E55" w:rsidRDefault="00C43B7C" w:rsidP="003C275D">
            <w:pPr>
              <w:rPr>
                <w:rFonts w:cstheme="minorHAnsi"/>
                <w:sz w:val="18"/>
                <w:szCs w:val="18"/>
              </w:rPr>
            </w:pPr>
            <w:r w:rsidRPr="00551E55">
              <w:rPr>
                <w:rFonts w:cstheme="minorHAnsi"/>
                <w:sz w:val="18"/>
                <w:szCs w:val="18"/>
              </w:rPr>
              <w:t>Q-3weeks</w:t>
            </w:r>
          </w:p>
          <w:p w:rsidR="00C43B7C" w:rsidRPr="00551E55" w:rsidRDefault="00C43B7C" w:rsidP="003C275D">
            <w:pPr>
              <w:rPr>
                <w:rFonts w:cstheme="minorHAnsi"/>
                <w:sz w:val="18"/>
                <w:szCs w:val="18"/>
              </w:rPr>
            </w:pPr>
          </w:p>
          <w:p w:rsidR="00C43B7C" w:rsidRPr="00551E55" w:rsidRDefault="00C43B7C" w:rsidP="003C275D">
            <w:pPr>
              <w:rPr>
                <w:rFonts w:cstheme="minorHAnsi"/>
                <w:sz w:val="18"/>
                <w:szCs w:val="18"/>
              </w:rPr>
            </w:pPr>
          </w:p>
          <w:p w:rsidR="00C43B7C" w:rsidRPr="00551E55" w:rsidRDefault="00C43B7C" w:rsidP="003C275D">
            <w:pPr>
              <w:rPr>
                <w:rFonts w:cstheme="minorHAnsi"/>
                <w:sz w:val="18"/>
                <w:szCs w:val="18"/>
              </w:rPr>
            </w:pPr>
            <w:r w:rsidRPr="00551E55">
              <w:rPr>
                <w:rFonts w:cstheme="minorHAnsi"/>
                <w:sz w:val="18"/>
                <w:szCs w:val="18"/>
              </w:rPr>
              <w:t>For 9 weeks</w:t>
            </w:r>
          </w:p>
        </w:tc>
        <w:tc>
          <w:tcPr>
            <w:tcW w:w="1568"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Research – 75/750 mg/m</w:t>
            </w:r>
            <w:r w:rsidRPr="00551E55">
              <w:rPr>
                <w:rFonts w:cstheme="minorHAnsi"/>
                <w:sz w:val="18"/>
                <w:szCs w:val="18"/>
                <w:vertAlign w:val="superscript"/>
              </w:rPr>
              <w:t xml:space="preserve">2 </w:t>
            </w:r>
            <w:r w:rsidRPr="00551E55">
              <w:rPr>
                <w:rFonts w:cstheme="minorHAnsi"/>
                <w:sz w:val="18"/>
                <w:szCs w:val="18"/>
              </w:rPr>
              <w:t>day1/day1-5</w:t>
            </w:r>
          </w:p>
          <w:p w:rsidR="00C43B7C" w:rsidRPr="00551E55" w:rsidRDefault="00C43B7C" w:rsidP="003C275D">
            <w:pPr>
              <w:rPr>
                <w:rFonts w:cstheme="minorHAnsi"/>
                <w:sz w:val="18"/>
                <w:szCs w:val="18"/>
              </w:rPr>
            </w:pPr>
            <w:r w:rsidRPr="00551E55">
              <w:rPr>
                <w:rFonts w:cstheme="minorHAnsi"/>
                <w:sz w:val="18"/>
                <w:szCs w:val="18"/>
              </w:rPr>
              <w:t>Control -100/1000 mg/m</w:t>
            </w:r>
            <w:r w:rsidRPr="00551E55">
              <w:rPr>
                <w:rFonts w:cstheme="minorHAnsi"/>
                <w:sz w:val="18"/>
                <w:szCs w:val="18"/>
                <w:vertAlign w:val="superscript"/>
              </w:rPr>
              <w:t xml:space="preserve">2 </w:t>
            </w:r>
            <w:r w:rsidRPr="00551E55">
              <w:rPr>
                <w:rFonts w:cstheme="minorHAnsi"/>
                <w:sz w:val="18"/>
                <w:szCs w:val="18"/>
              </w:rPr>
              <w:t>day1/day1-5</w:t>
            </w:r>
          </w:p>
          <w:p w:rsidR="00C43B7C" w:rsidRPr="00551E55" w:rsidRDefault="00C43B7C" w:rsidP="003C275D">
            <w:pPr>
              <w:rPr>
                <w:rFonts w:cstheme="minorHAnsi"/>
                <w:sz w:val="18"/>
                <w:szCs w:val="18"/>
              </w:rPr>
            </w:pPr>
            <w:r w:rsidRPr="00551E55">
              <w:rPr>
                <w:rFonts w:cstheme="minorHAnsi"/>
                <w:sz w:val="18"/>
                <w:szCs w:val="18"/>
              </w:rPr>
              <w:t>Q-3weeks</w:t>
            </w:r>
          </w:p>
          <w:p w:rsidR="00C43B7C" w:rsidRPr="00551E55" w:rsidRDefault="00C43B7C" w:rsidP="003C275D">
            <w:pPr>
              <w:rPr>
                <w:rFonts w:cstheme="minorHAnsi"/>
                <w:sz w:val="18"/>
                <w:szCs w:val="18"/>
              </w:rPr>
            </w:pPr>
            <w:r w:rsidRPr="00551E55">
              <w:rPr>
                <w:rFonts w:cstheme="minorHAnsi"/>
                <w:sz w:val="18"/>
                <w:szCs w:val="18"/>
              </w:rPr>
              <w:t>For 9 weeks</w:t>
            </w:r>
          </w:p>
        </w:tc>
        <w:tc>
          <w:tcPr>
            <w:tcW w:w="2582" w:type="dxa"/>
          </w:tcPr>
          <w:p w:rsidR="00C43B7C" w:rsidRPr="00551E55" w:rsidRDefault="00C43B7C" w:rsidP="003C275D">
            <w:pPr>
              <w:rPr>
                <w:rFonts w:cstheme="minorHAnsi"/>
                <w:sz w:val="18"/>
                <w:szCs w:val="18"/>
              </w:rPr>
            </w:pPr>
            <w:r w:rsidRPr="0070443E">
              <w:rPr>
                <w:color w:val="000000"/>
                <w:sz w:val="18"/>
                <w:szCs w:val="18"/>
              </w:rPr>
              <w:t xml:space="preserve">Radiation </w:t>
            </w:r>
            <w:r w:rsidRPr="0070443E">
              <w:rPr>
                <w:rFonts w:cs="Times New Roman"/>
                <w:color w:val="000000"/>
                <w:sz w:val="18"/>
                <w:szCs w:val="18"/>
              </w:rPr>
              <w:t>was delivered using 4- to 6-MV photon beams. Two target volumes were defined: 1) the GTV (therapeutic planning target volume that encompassed the primary tumor volume and involved lymph nodes as they were before induction therapy)</w:t>
            </w:r>
            <w:r w:rsidRPr="0070443E">
              <w:rPr>
                <w:color w:val="000000"/>
                <w:sz w:val="18"/>
                <w:szCs w:val="18"/>
              </w:rPr>
              <w:t>,</w:t>
            </w:r>
            <w:r w:rsidRPr="0070443E">
              <w:rPr>
                <w:rFonts w:cs="Times New Roman"/>
                <w:color w:val="000000"/>
                <w:sz w:val="18"/>
                <w:szCs w:val="18"/>
              </w:rPr>
              <w:t xml:space="preserve"> and 2) the CTV (prophylactic planning target volume that encompassed the area presumed to be at risk for microscopic disease). The therapeutic and prophylactic planning target volumes received 70 and 50</w:t>
            </w:r>
            <w:r w:rsidRPr="0070443E">
              <w:rPr>
                <w:rStyle w:val="apple-converted-space"/>
                <w:rFonts w:cs="Times New Roman"/>
                <w:color w:val="000000"/>
                <w:sz w:val="18"/>
                <w:szCs w:val="18"/>
              </w:rPr>
              <w:t> </w:t>
            </w:r>
            <w:r w:rsidRPr="0070443E">
              <w:rPr>
                <w:rFonts w:cs="Times New Roman"/>
                <w:color w:val="000000"/>
                <w:sz w:val="18"/>
                <w:szCs w:val="18"/>
              </w:rPr>
              <w:t>–</w:t>
            </w:r>
            <w:r w:rsidRPr="0070443E">
              <w:rPr>
                <w:rStyle w:val="apple-converted-space"/>
                <w:rFonts w:cs="Times New Roman"/>
                <w:color w:val="000000"/>
                <w:sz w:val="18"/>
                <w:szCs w:val="18"/>
              </w:rPr>
              <w:t> </w:t>
            </w:r>
            <w:r w:rsidRPr="0070443E">
              <w:rPr>
                <w:rFonts w:cs="Times New Roman"/>
                <w:color w:val="000000"/>
                <w:sz w:val="18"/>
                <w:szCs w:val="18"/>
              </w:rPr>
              <w:t xml:space="preserve">54 </w:t>
            </w:r>
            <w:proofErr w:type="spellStart"/>
            <w:r w:rsidRPr="0070443E">
              <w:rPr>
                <w:rFonts w:cs="Times New Roman"/>
                <w:color w:val="000000"/>
                <w:sz w:val="18"/>
                <w:szCs w:val="18"/>
              </w:rPr>
              <w:t>Gy</w:t>
            </w:r>
            <w:proofErr w:type="spellEnd"/>
            <w:r w:rsidRPr="0070443E">
              <w:rPr>
                <w:rFonts w:cs="Times New Roman"/>
                <w:color w:val="000000"/>
                <w:sz w:val="18"/>
                <w:szCs w:val="18"/>
              </w:rPr>
              <w:t>, respectivel</w:t>
            </w:r>
            <w:r w:rsidRPr="0070443E">
              <w:rPr>
                <w:color w:val="000000"/>
                <w:sz w:val="18"/>
                <w:szCs w:val="18"/>
              </w:rPr>
              <w:t xml:space="preserve">y. Five daily fractions of 2 </w:t>
            </w:r>
            <w:proofErr w:type="spellStart"/>
            <w:r w:rsidRPr="0070443E">
              <w:rPr>
                <w:color w:val="000000"/>
                <w:sz w:val="18"/>
                <w:szCs w:val="18"/>
              </w:rPr>
              <w:t>Gy</w:t>
            </w:r>
            <w:proofErr w:type="spellEnd"/>
            <w:r w:rsidRPr="0070443E">
              <w:rPr>
                <w:color w:val="000000"/>
                <w:sz w:val="18"/>
                <w:szCs w:val="18"/>
              </w:rPr>
              <w:t xml:space="preserve"> per week</w:t>
            </w:r>
            <w:r w:rsidRPr="0070443E">
              <w:rPr>
                <w:rFonts w:cs="Times New Roman"/>
                <w:color w:val="000000"/>
                <w:sz w:val="18"/>
                <w:szCs w:val="18"/>
              </w:rPr>
              <w:t xml:space="preserve"> were used. The dose to the spinal cord was limited to less than 44 </w:t>
            </w:r>
            <w:proofErr w:type="spellStart"/>
            <w:r w:rsidRPr="0070443E">
              <w:rPr>
                <w:rFonts w:cs="Times New Roman"/>
                <w:color w:val="000000"/>
                <w:sz w:val="18"/>
                <w:szCs w:val="18"/>
              </w:rPr>
              <w:t>Gy</w:t>
            </w:r>
            <w:proofErr w:type="spellEnd"/>
            <w:r w:rsidRPr="0070443E">
              <w:rPr>
                <w:rFonts w:cs="Times New Roman"/>
                <w:color w:val="000000"/>
                <w:sz w:val="18"/>
                <w:szCs w:val="18"/>
              </w:rPr>
              <w:t>. Chemotherapy during radiotherapy was allowed for all patients who were treated at the same institute, according to its practice</w:t>
            </w:r>
          </w:p>
        </w:tc>
        <w:tc>
          <w:tcPr>
            <w:tcW w:w="939"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110/103</w:t>
            </w:r>
          </w:p>
        </w:tc>
        <w:tc>
          <w:tcPr>
            <w:tcW w:w="1009"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TPF – 76%</w:t>
            </w:r>
          </w:p>
          <w:p w:rsidR="00C43B7C" w:rsidRPr="00551E55" w:rsidRDefault="00C43B7C" w:rsidP="003C275D">
            <w:pPr>
              <w:rPr>
                <w:rFonts w:cstheme="minorHAnsi"/>
                <w:sz w:val="18"/>
                <w:szCs w:val="18"/>
              </w:rPr>
            </w:pPr>
            <w:r w:rsidRPr="00551E55">
              <w:rPr>
                <w:rFonts w:cstheme="minorHAnsi"/>
                <w:sz w:val="18"/>
                <w:szCs w:val="18"/>
              </w:rPr>
              <w:t>PF – 61%</w:t>
            </w:r>
          </w:p>
        </w:tc>
        <w:tc>
          <w:tcPr>
            <w:tcW w:w="602"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36 months</w:t>
            </w:r>
          </w:p>
        </w:tc>
        <w:tc>
          <w:tcPr>
            <w:tcW w:w="1692"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 xml:space="preserve">TPF </w:t>
            </w:r>
            <w:proofErr w:type="spellStart"/>
            <w:r w:rsidRPr="00551E55">
              <w:rPr>
                <w:rFonts w:cstheme="minorHAnsi"/>
                <w:sz w:val="18"/>
                <w:szCs w:val="18"/>
              </w:rPr>
              <w:t>hypopharynx</w:t>
            </w:r>
            <w:proofErr w:type="spellEnd"/>
            <w:r w:rsidRPr="00551E55">
              <w:rPr>
                <w:rFonts w:cstheme="minorHAnsi"/>
                <w:sz w:val="18"/>
                <w:szCs w:val="18"/>
              </w:rPr>
              <w:t xml:space="preserve"> 52.4%</w:t>
            </w:r>
          </w:p>
          <w:p w:rsidR="00C43B7C" w:rsidRPr="00551E55" w:rsidRDefault="00C43B7C" w:rsidP="003C275D">
            <w:pPr>
              <w:rPr>
                <w:rFonts w:cstheme="minorHAnsi"/>
                <w:sz w:val="18"/>
                <w:szCs w:val="18"/>
              </w:rPr>
            </w:pPr>
            <w:r w:rsidRPr="00551E55">
              <w:rPr>
                <w:rFonts w:cstheme="minorHAnsi"/>
                <w:sz w:val="18"/>
                <w:szCs w:val="18"/>
              </w:rPr>
              <w:t xml:space="preserve">PF </w:t>
            </w:r>
            <w:proofErr w:type="spellStart"/>
            <w:r w:rsidRPr="00551E55">
              <w:rPr>
                <w:rFonts w:cstheme="minorHAnsi"/>
                <w:sz w:val="18"/>
                <w:szCs w:val="18"/>
              </w:rPr>
              <w:t>hypopharynx</w:t>
            </w:r>
            <w:proofErr w:type="spellEnd"/>
            <w:r w:rsidRPr="00551E55">
              <w:rPr>
                <w:rFonts w:cstheme="minorHAnsi"/>
                <w:sz w:val="18"/>
                <w:szCs w:val="18"/>
              </w:rPr>
              <w:t xml:space="preserve"> 55.5%</w:t>
            </w:r>
          </w:p>
        </w:tc>
        <w:tc>
          <w:tcPr>
            <w:tcW w:w="932" w:type="dxa"/>
            <w:tcMar>
              <w:top w:w="14" w:type="dxa"/>
              <w:left w:w="14" w:type="dxa"/>
              <w:bottom w:w="14" w:type="dxa"/>
              <w:right w:w="14" w:type="dxa"/>
            </w:tcMar>
          </w:tcPr>
          <w:p w:rsidR="00C43B7C" w:rsidRPr="00551E55" w:rsidRDefault="00C43B7C" w:rsidP="003C275D">
            <w:pPr>
              <w:rPr>
                <w:rFonts w:cstheme="minorHAnsi"/>
                <w:sz w:val="18"/>
                <w:szCs w:val="18"/>
              </w:rPr>
            </w:pPr>
            <w:r w:rsidRPr="00551E55">
              <w:rPr>
                <w:rFonts w:cstheme="minorHAnsi"/>
                <w:sz w:val="18"/>
                <w:szCs w:val="18"/>
              </w:rPr>
              <w:t>TPF-T3</w:t>
            </w:r>
          </w:p>
          <w:p w:rsidR="00C43B7C" w:rsidRPr="00551E55" w:rsidRDefault="00C43B7C" w:rsidP="003C275D">
            <w:pPr>
              <w:rPr>
                <w:rFonts w:cstheme="minorHAnsi"/>
                <w:sz w:val="18"/>
                <w:szCs w:val="18"/>
              </w:rPr>
            </w:pPr>
            <w:r w:rsidRPr="00551E55">
              <w:rPr>
                <w:rFonts w:cstheme="minorHAnsi"/>
                <w:sz w:val="18"/>
                <w:szCs w:val="18"/>
              </w:rPr>
              <w:t>(n-80)</w:t>
            </w:r>
          </w:p>
          <w:p w:rsidR="00C43B7C" w:rsidRPr="00551E55" w:rsidRDefault="00C43B7C" w:rsidP="003C275D">
            <w:pPr>
              <w:rPr>
                <w:rFonts w:cstheme="minorHAnsi"/>
                <w:sz w:val="18"/>
                <w:szCs w:val="18"/>
              </w:rPr>
            </w:pPr>
            <w:r w:rsidRPr="00551E55">
              <w:rPr>
                <w:rFonts w:cstheme="minorHAnsi"/>
                <w:sz w:val="18"/>
                <w:szCs w:val="18"/>
              </w:rPr>
              <w:t>PF-T3(n-63)</w:t>
            </w:r>
          </w:p>
        </w:tc>
        <w:tc>
          <w:tcPr>
            <w:tcW w:w="1093" w:type="dxa"/>
          </w:tcPr>
          <w:p w:rsidR="00C43B7C" w:rsidRPr="00551E55" w:rsidRDefault="00C43B7C" w:rsidP="003C275D">
            <w:pPr>
              <w:rPr>
                <w:rFonts w:cstheme="minorHAnsi"/>
                <w:sz w:val="18"/>
                <w:szCs w:val="18"/>
              </w:rPr>
            </w:pPr>
            <w:proofErr w:type="spellStart"/>
            <w:r w:rsidRPr="00551E55">
              <w:rPr>
                <w:rFonts w:cstheme="minorHAnsi"/>
                <w:sz w:val="18"/>
                <w:szCs w:val="18"/>
              </w:rPr>
              <w:t>ABx</w:t>
            </w:r>
            <w:proofErr w:type="spellEnd"/>
          </w:p>
        </w:tc>
        <w:tc>
          <w:tcPr>
            <w:tcW w:w="1509" w:type="dxa"/>
          </w:tcPr>
          <w:p w:rsidR="00C43B7C" w:rsidRPr="00551E55" w:rsidRDefault="00C43B7C" w:rsidP="003C275D">
            <w:pPr>
              <w:rPr>
                <w:rFonts w:cstheme="minorHAnsi"/>
                <w:sz w:val="18"/>
                <w:szCs w:val="18"/>
              </w:rPr>
            </w:pPr>
            <w:r w:rsidRPr="00551E55">
              <w:rPr>
                <w:rFonts w:cstheme="minorHAnsi"/>
                <w:sz w:val="18"/>
                <w:szCs w:val="18"/>
              </w:rPr>
              <w:t>TPF – 3</w:t>
            </w:r>
          </w:p>
          <w:p w:rsidR="00C43B7C" w:rsidRPr="00551E55" w:rsidRDefault="00C43B7C" w:rsidP="003C275D">
            <w:pPr>
              <w:rPr>
                <w:rFonts w:cstheme="minorHAnsi"/>
                <w:sz w:val="18"/>
                <w:szCs w:val="18"/>
              </w:rPr>
            </w:pPr>
            <w:r w:rsidRPr="00551E55">
              <w:rPr>
                <w:rFonts w:cstheme="minorHAnsi"/>
                <w:sz w:val="18"/>
                <w:szCs w:val="18"/>
              </w:rPr>
              <w:t>PF - 2</w:t>
            </w:r>
          </w:p>
        </w:tc>
        <w:tc>
          <w:tcPr>
            <w:tcW w:w="1065" w:type="dxa"/>
            <w:tcMar>
              <w:top w:w="14" w:type="dxa"/>
              <w:left w:w="14" w:type="dxa"/>
              <w:bottom w:w="14" w:type="dxa"/>
              <w:right w:w="14" w:type="dxa"/>
            </w:tcMar>
          </w:tcPr>
          <w:p w:rsidR="00C43B7C" w:rsidRPr="00551E55" w:rsidRDefault="00C43B7C" w:rsidP="003C275D">
            <w:pPr>
              <w:rPr>
                <w:rFonts w:cstheme="minorHAnsi"/>
                <w:sz w:val="18"/>
                <w:szCs w:val="18"/>
              </w:rPr>
            </w:pPr>
            <w:r>
              <w:rPr>
                <w:rFonts w:cstheme="minorHAnsi"/>
                <w:sz w:val="18"/>
                <w:szCs w:val="18"/>
                <w:rtl/>
              </w:rPr>
              <w:t>Not reported</w:t>
            </w:r>
          </w:p>
        </w:tc>
      </w:tr>
    </w:tbl>
    <w:p w:rsidR="00C43B7C" w:rsidRPr="003976BB" w:rsidRDefault="00C43B7C" w:rsidP="003976BB">
      <w:pPr>
        <w:spacing w:line="240" w:lineRule="auto"/>
        <w:rPr>
          <w:sz w:val="20"/>
          <w:szCs w:val="18"/>
        </w:rPr>
      </w:pPr>
    </w:p>
    <w:sectPr w:rsidR="00C43B7C" w:rsidRPr="003976BB" w:rsidSect="003976BB">
      <w:pgSz w:w="20160" w:h="12240" w:orient="landscape"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TNEJMQuadraa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50D4"/>
    <w:multiLevelType w:val="hybridMultilevel"/>
    <w:tmpl w:val="2E2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3976BB"/>
    <w:rsid w:val="000E4667"/>
    <w:rsid w:val="00312712"/>
    <w:rsid w:val="003976BB"/>
    <w:rsid w:val="00AC10A9"/>
    <w:rsid w:val="00C43B7C"/>
    <w:rsid w:val="00F86328"/>
    <w:rsid w:val="00FA3C6F"/>
    <w:rsid w:val="00FE4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6BB"/>
    <w:pPr>
      <w:spacing w:after="0" w:line="240" w:lineRule="auto"/>
    </w:pPr>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76BB"/>
  </w:style>
  <w:style w:type="paragraph" w:customStyle="1" w:styleId="desc2">
    <w:name w:val="desc2"/>
    <w:basedOn w:val="Normal"/>
    <w:rsid w:val="00C43B7C"/>
    <w:pPr>
      <w:spacing w:after="0" w:line="240" w:lineRule="auto"/>
    </w:pPr>
    <w:rPr>
      <w:rFonts w:ascii="Times New Roman" w:eastAsia="Times New Roman" w:hAnsi="Times New Roman" w:cs="Times New Roman"/>
      <w:sz w:val="26"/>
      <w:szCs w:val="26"/>
      <w:lang w:bidi="he-IL"/>
    </w:rPr>
  </w:style>
  <w:style w:type="character" w:customStyle="1" w:styleId="jrnl">
    <w:name w:val="jrnl"/>
    <w:basedOn w:val="DefaultParagraphFont"/>
    <w:rsid w:val="00C43B7C"/>
  </w:style>
  <w:style w:type="character" w:customStyle="1" w:styleId="highlight1">
    <w:name w:val="highlight1"/>
    <w:basedOn w:val="DefaultParagraphFont"/>
    <w:rsid w:val="00C43B7C"/>
    <w:rPr>
      <w:shd w:val="clear" w:color="auto" w:fill="F2F5F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DFE79-BC3E-4F81-A0FB-8A86C0B9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2014-02-26T11:26:00Z</dcterms:created>
  <dcterms:modified xsi:type="dcterms:W3CDTF">2014-03-19T10:47:00Z</dcterms:modified>
</cp:coreProperties>
</file>