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38" w:rsidRPr="00040765" w:rsidRDefault="00081938" w:rsidP="00081938">
      <w:pPr>
        <w:framePr w:hSpace="180" w:wrap="around" w:vAnchor="text" w:hAnchor="margin" w:xAlign="center" w:y="361"/>
        <w:spacing w:after="120" w:line="240" w:lineRule="auto"/>
        <w:contextualSpacing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Supplementary Table 1</w:t>
      </w:r>
      <w:r w:rsidRPr="00040765">
        <w:rPr>
          <w:rFonts w:cs="Arial"/>
          <w:b/>
          <w:sz w:val="24"/>
          <w:szCs w:val="24"/>
          <w:lang w:val="en-US"/>
        </w:rPr>
        <w:t>: Definitions of complications</w:t>
      </w:r>
    </w:p>
    <w:p w:rsidR="00081938" w:rsidRDefault="00081938" w:rsidP="00081938">
      <w:pPr>
        <w:framePr w:hSpace="180" w:wrap="around" w:vAnchor="text" w:hAnchor="margin" w:xAlign="center" w:y="361"/>
        <w:contextualSpacing/>
        <w:rPr>
          <w:b/>
          <w:sz w:val="24"/>
          <w:szCs w:val="24"/>
          <w:lang w:val="en-US"/>
        </w:rPr>
      </w:pPr>
    </w:p>
    <w:p w:rsidR="00081938" w:rsidRDefault="00081938" w:rsidP="00081938">
      <w:pPr>
        <w:framePr w:hSpace="180" w:wrap="around" w:vAnchor="text" w:hAnchor="margin" w:xAlign="center" w:y="361"/>
        <w:contextualSpacing/>
        <w:rPr>
          <w:b/>
          <w:sz w:val="24"/>
          <w:szCs w:val="24"/>
          <w:lang w:val="en-US"/>
        </w:rPr>
      </w:pPr>
    </w:p>
    <w:p w:rsidR="00081938" w:rsidRDefault="00081938" w:rsidP="00081938">
      <w:pPr>
        <w:rPr>
          <w:lang w:val="en-US"/>
        </w:rPr>
      </w:pPr>
    </w:p>
    <w:p w:rsidR="00081938" w:rsidRPr="00692ED9" w:rsidRDefault="00081938" w:rsidP="00081938">
      <w:pPr>
        <w:rPr>
          <w:lang w:val="en-US"/>
        </w:rPr>
      </w:pPr>
    </w:p>
    <w:tbl>
      <w:tblPr>
        <w:tblStyle w:val="Tabellenraster"/>
        <w:tblpPr w:leftFromText="141" w:rightFromText="141" w:vertAnchor="page" w:horzAnchor="page" w:tblpX="1909" w:tblpY="306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09"/>
      </w:tblGrid>
      <w:tr w:rsidR="00081938" w:rsidRPr="00B251BA" w:rsidTr="0082369E">
        <w:trPr>
          <w:trHeight w:val="9005"/>
        </w:trPr>
        <w:tc>
          <w:tcPr>
            <w:tcW w:w="8109" w:type="dxa"/>
            <w:shd w:val="clear" w:color="auto" w:fill="EEECE1" w:themeFill="background2"/>
          </w:tcPr>
          <w:p w:rsidR="00081938" w:rsidRDefault="00081938" w:rsidP="0082369E">
            <w:pPr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81938" w:rsidRPr="00040765" w:rsidRDefault="00081938" w:rsidP="0082369E">
            <w:pPr>
              <w:contextualSpacing/>
              <w:rPr>
                <w:rFonts w:cs="Arial"/>
                <w:iCs/>
                <w:sz w:val="16"/>
                <w:szCs w:val="16"/>
                <w:lang w:val="en-GB"/>
              </w:rPr>
            </w:pPr>
            <w:r w:rsidRPr="00040765">
              <w:rPr>
                <w:rFonts w:cs="Arial"/>
                <w:b/>
                <w:sz w:val="16"/>
                <w:szCs w:val="16"/>
                <w:lang w:val="en-US"/>
              </w:rPr>
              <w:t xml:space="preserve">Mortality   </w:t>
            </w:r>
            <w:r w:rsidRPr="00040765">
              <w:rPr>
                <w:rFonts w:cs="Arial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Pr="00040765">
              <w:rPr>
                <w:rFonts w:cs="Arial"/>
                <w:iCs/>
                <w:sz w:val="16"/>
                <w:szCs w:val="16"/>
                <w:lang w:val="en-GB"/>
              </w:rPr>
              <w:t>Death of a patient, during or within 90 days after the initial surgical procedure that is related to the surgical procedure.</w:t>
            </w:r>
          </w:p>
          <w:p w:rsidR="00081938" w:rsidRPr="00040765" w:rsidRDefault="00081938" w:rsidP="0082369E">
            <w:pPr>
              <w:contextualSpacing/>
              <w:rPr>
                <w:rFonts w:cs="Arial"/>
                <w:b/>
                <w:sz w:val="16"/>
                <w:szCs w:val="16"/>
                <w:lang w:val="en-US"/>
              </w:rPr>
            </w:pPr>
          </w:p>
          <w:p w:rsidR="00081938" w:rsidRPr="00040765" w:rsidRDefault="00081938" w:rsidP="0082369E">
            <w:pPr>
              <w:contextualSpacing/>
              <w:rPr>
                <w:rFonts w:cs="Arial"/>
                <w:iCs/>
                <w:sz w:val="16"/>
                <w:szCs w:val="16"/>
                <w:lang w:val="en-GB"/>
              </w:rPr>
            </w:pPr>
            <w:r w:rsidRPr="00040765">
              <w:rPr>
                <w:rFonts w:cs="Arial"/>
                <w:b/>
                <w:sz w:val="16"/>
                <w:szCs w:val="16"/>
                <w:lang w:val="en-US"/>
              </w:rPr>
              <w:t xml:space="preserve">Readmission </w:t>
            </w:r>
            <w:r w:rsidRPr="00040765">
              <w:rPr>
                <w:rFonts w:cs="Arial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Every re-hospitalization due to a complication of the index hospitalization within the first 6 months.                                                                 </w:t>
            </w:r>
          </w:p>
          <w:p w:rsidR="00081938" w:rsidRPr="00040765" w:rsidRDefault="00081938" w:rsidP="0082369E">
            <w:pPr>
              <w:contextualSpacing/>
              <w:rPr>
                <w:rFonts w:cs="Arial"/>
                <w:b/>
                <w:sz w:val="16"/>
                <w:szCs w:val="16"/>
                <w:lang w:val="en-US"/>
              </w:rPr>
            </w:pPr>
          </w:p>
          <w:p w:rsidR="00081938" w:rsidRPr="00040765" w:rsidRDefault="00081938" w:rsidP="0082369E">
            <w:pPr>
              <w:contextualSpacing/>
              <w:rPr>
                <w:rFonts w:cs="Arial"/>
                <w:sz w:val="16"/>
                <w:szCs w:val="16"/>
                <w:lang w:val="en-US"/>
              </w:rPr>
            </w:pPr>
            <w:r w:rsidRPr="00040765">
              <w:rPr>
                <w:rFonts w:cs="Arial"/>
                <w:b/>
                <w:sz w:val="16"/>
                <w:szCs w:val="16"/>
                <w:lang w:val="en-US"/>
              </w:rPr>
              <w:t xml:space="preserve">Intra-abdominal abscess                                                                                                                                                                                         </w:t>
            </w:r>
            <w:r w:rsidRPr="00040765">
              <w:rPr>
                <w:rFonts w:cs="Arial"/>
                <w:sz w:val="16"/>
                <w:szCs w:val="16"/>
                <w:lang w:val="en-US"/>
              </w:rPr>
              <w:t xml:space="preserve">Any quantity of purulent fluid leaking via the abdominal drain; </w:t>
            </w:r>
            <w:proofErr w:type="gramStart"/>
            <w:r w:rsidRPr="00040765">
              <w:rPr>
                <w:rFonts w:cs="Arial"/>
                <w:sz w:val="16"/>
                <w:szCs w:val="16"/>
                <w:lang w:val="en-US"/>
              </w:rPr>
              <w:t>walled</w:t>
            </w:r>
            <w:proofErr w:type="gramEnd"/>
            <w:r w:rsidRPr="00040765">
              <w:rPr>
                <w:rFonts w:cs="Arial"/>
                <w:sz w:val="16"/>
                <w:szCs w:val="16"/>
                <w:lang w:val="en-US"/>
              </w:rPr>
              <w:t xml:space="preserve"> off collection of pus in the abdominal cavity at the time of radiological imaging, reoperation or percutaneous drainage; </w:t>
            </w:r>
            <w:proofErr w:type="gramStart"/>
            <w:r w:rsidRPr="00040765">
              <w:rPr>
                <w:rFonts w:cs="Arial"/>
                <w:sz w:val="16"/>
                <w:szCs w:val="16"/>
                <w:lang w:val="en-US"/>
              </w:rPr>
              <w:t>fluid</w:t>
            </w:r>
            <w:proofErr w:type="gramEnd"/>
            <w:r w:rsidRPr="00040765">
              <w:rPr>
                <w:rFonts w:cs="Arial"/>
                <w:sz w:val="16"/>
                <w:szCs w:val="16"/>
                <w:lang w:val="en-US"/>
              </w:rPr>
              <w:t xml:space="preserve"> in drain or intra-abdominal collection should be culture positive.</w:t>
            </w:r>
          </w:p>
          <w:p w:rsidR="00081938" w:rsidRPr="00040765" w:rsidRDefault="00081938" w:rsidP="0082369E">
            <w:pPr>
              <w:contextualSpacing/>
              <w:rPr>
                <w:rFonts w:cs="Arial"/>
                <w:b/>
                <w:sz w:val="16"/>
                <w:szCs w:val="16"/>
                <w:lang w:val="en-US"/>
              </w:rPr>
            </w:pPr>
          </w:p>
          <w:p w:rsidR="00081938" w:rsidRPr="00040765" w:rsidRDefault="00081938" w:rsidP="0082369E">
            <w:pPr>
              <w:contextualSpacing/>
              <w:rPr>
                <w:rFonts w:cs="Arial"/>
                <w:sz w:val="16"/>
                <w:szCs w:val="16"/>
                <w:lang w:val="en-GB"/>
              </w:rPr>
            </w:pPr>
            <w:r w:rsidRPr="00040765">
              <w:rPr>
                <w:rFonts w:cs="Arial"/>
                <w:b/>
                <w:sz w:val="16"/>
                <w:szCs w:val="16"/>
                <w:lang w:val="en-US"/>
              </w:rPr>
              <w:t xml:space="preserve">Wound infection   </w:t>
            </w:r>
            <w:r w:rsidRPr="00040765">
              <w:rPr>
                <w:rFonts w:cs="Arial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Arial"/>
                <w:sz w:val="16"/>
                <w:szCs w:val="16"/>
                <w:lang w:val="en-GB"/>
              </w:rPr>
              <w:t>Defined according to the Centre</w:t>
            </w:r>
            <w:r w:rsidRPr="00040765">
              <w:rPr>
                <w:rFonts w:cs="Arial"/>
                <w:sz w:val="16"/>
                <w:szCs w:val="16"/>
                <w:lang w:val="en-GB"/>
              </w:rPr>
              <w:t>s for Disease Control and Prevention</w:t>
            </w:r>
            <w:r>
              <w:rPr>
                <w:rFonts w:cs="Arial"/>
                <w:sz w:val="16"/>
                <w:szCs w:val="16"/>
                <w:vertAlign w:val="superscript"/>
                <w:lang w:val="en-GB"/>
              </w:rPr>
              <w:t>18</w:t>
            </w:r>
            <w:r w:rsidRPr="00040765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040765">
              <w:rPr>
                <w:rFonts w:cs="Arial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</w:t>
            </w:r>
            <w:r w:rsidRPr="00040765">
              <w:rPr>
                <w:rFonts w:cs="Arial"/>
                <w:sz w:val="16"/>
                <w:szCs w:val="16"/>
                <w:lang w:val="en-GB"/>
              </w:rPr>
              <w:t xml:space="preserve">Superficial incisional surgical-site infection and deep incisional surgical site infection, which occurs                                                                within 30 days after surgery.  This includes both the superficial surgical-site infections and the                                                        deep incisional surgical site infections. Most of these wound infections were opened at bedside                                                        by the physician or surgeon. </w:t>
            </w:r>
          </w:p>
          <w:p w:rsidR="00081938" w:rsidRPr="00040765" w:rsidRDefault="00081938" w:rsidP="0082369E">
            <w:pPr>
              <w:contextualSpacing/>
              <w:rPr>
                <w:rFonts w:cs="Arial"/>
                <w:b/>
                <w:sz w:val="16"/>
                <w:szCs w:val="16"/>
                <w:lang w:val="en-US"/>
              </w:rPr>
            </w:pPr>
          </w:p>
          <w:p w:rsidR="00081938" w:rsidRPr="00040765" w:rsidRDefault="00081938" w:rsidP="0082369E">
            <w:pPr>
              <w:contextualSpacing/>
              <w:rPr>
                <w:rFonts w:cs="Arial"/>
                <w:sz w:val="16"/>
                <w:szCs w:val="16"/>
                <w:lang w:val="en-GB"/>
              </w:rPr>
            </w:pPr>
            <w:r w:rsidRPr="00040765">
              <w:rPr>
                <w:rFonts w:cs="Arial"/>
                <w:b/>
                <w:sz w:val="16"/>
                <w:szCs w:val="16"/>
                <w:lang w:val="en-US"/>
              </w:rPr>
              <w:t>Pancreatic fistula/</w:t>
            </w:r>
            <w:proofErr w:type="spellStart"/>
            <w:r w:rsidRPr="00040765">
              <w:rPr>
                <w:rFonts w:cs="Arial"/>
                <w:b/>
                <w:sz w:val="16"/>
                <w:szCs w:val="16"/>
                <w:lang w:val="en-US"/>
              </w:rPr>
              <w:t>pancreaticojejunostomy</w:t>
            </w:r>
            <w:proofErr w:type="spellEnd"/>
            <w:r w:rsidRPr="00040765">
              <w:rPr>
                <w:rFonts w:cs="Arial"/>
                <w:b/>
                <w:sz w:val="16"/>
                <w:szCs w:val="16"/>
                <w:lang w:val="en-US"/>
              </w:rPr>
              <w:t xml:space="preserve"> leakage                                                                                                                                                                                  </w:t>
            </w:r>
            <w:r w:rsidRPr="00040765">
              <w:rPr>
                <w:rFonts w:cs="Arial"/>
                <w:sz w:val="16"/>
                <w:szCs w:val="16"/>
                <w:lang w:val="en-GB"/>
              </w:rPr>
              <w:t xml:space="preserve">Defined according to the International Study Group of Pancreatic Fistula </w:t>
            </w:r>
            <w:r>
              <w:rPr>
                <w:rFonts w:cs="Arial"/>
                <w:sz w:val="16"/>
                <w:szCs w:val="16"/>
                <w:vertAlign w:val="superscript"/>
                <w:lang w:val="en-GB"/>
              </w:rPr>
              <w:t>19</w:t>
            </w:r>
            <w:r w:rsidRPr="00040765">
              <w:rPr>
                <w:rFonts w:cs="Arial"/>
                <w:sz w:val="16"/>
                <w:szCs w:val="16"/>
                <w:lang w:val="en-GB"/>
              </w:rPr>
              <w:t xml:space="preserve">(Grade A, B and C)                                                                </w:t>
            </w:r>
          </w:p>
          <w:p w:rsidR="00081938" w:rsidRPr="00040765" w:rsidRDefault="00081938" w:rsidP="0082369E">
            <w:pPr>
              <w:contextualSpacing/>
              <w:rPr>
                <w:rFonts w:cs="Arial"/>
                <w:b/>
                <w:sz w:val="16"/>
                <w:szCs w:val="16"/>
                <w:lang w:val="en-US"/>
              </w:rPr>
            </w:pPr>
          </w:p>
          <w:p w:rsidR="00081938" w:rsidRPr="00040765" w:rsidRDefault="00081938" w:rsidP="0082369E">
            <w:pPr>
              <w:contextualSpacing/>
              <w:rPr>
                <w:rFonts w:cs="Arial"/>
                <w:b/>
                <w:sz w:val="16"/>
                <w:szCs w:val="16"/>
                <w:lang w:val="en-US"/>
              </w:rPr>
            </w:pPr>
            <w:r w:rsidRPr="00040765">
              <w:rPr>
                <w:rFonts w:cs="Arial"/>
                <w:b/>
                <w:sz w:val="16"/>
                <w:szCs w:val="16"/>
                <w:lang w:val="en-US"/>
              </w:rPr>
              <w:t xml:space="preserve">Delayed gastric emptying                                                                                                                                                                   </w:t>
            </w:r>
          </w:p>
          <w:p w:rsidR="00081938" w:rsidRPr="00040765" w:rsidRDefault="00081938" w:rsidP="0082369E">
            <w:pPr>
              <w:contextualSpacing/>
              <w:rPr>
                <w:rFonts w:cs="Arial"/>
                <w:sz w:val="16"/>
                <w:szCs w:val="16"/>
                <w:lang w:val="en-GB"/>
              </w:rPr>
            </w:pPr>
            <w:r w:rsidRPr="00040765">
              <w:rPr>
                <w:rFonts w:cs="Arial"/>
                <w:sz w:val="16"/>
                <w:szCs w:val="16"/>
                <w:lang w:val="en-GB"/>
              </w:rPr>
              <w:t xml:space="preserve">Defined according to the International Study Group of Pancreatic Surgery </w:t>
            </w:r>
            <w:r>
              <w:rPr>
                <w:rFonts w:cs="Arial"/>
                <w:sz w:val="16"/>
                <w:szCs w:val="16"/>
                <w:vertAlign w:val="superscript"/>
                <w:lang w:val="en-GB"/>
              </w:rPr>
              <w:t xml:space="preserve">20 </w:t>
            </w:r>
            <w:r w:rsidRPr="00040765">
              <w:rPr>
                <w:rFonts w:cs="Arial"/>
                <w:sz w:val="16"/>
                <w:szCs w:val="16"/>
                <w:lang w:val="en-GB"/>
              </w:rPr>
              <w:t xml:space="preserve">(Grade A,B and C)                                                                                 </w:t>
            </w:r>
            <w:r w:rsidRPr="00040765">
              <w:rPr>
                <w:rFonts w:cs="Arial"/>
                <w:sz w:val="16"/>
                <w:szCs w:val="16"/>
                <w:vertAlign w:val="superscript"/>
                <w:lang w:val="en-GB"/>
              </w:rPr>
              <w:t xml:space="preserve">             </w:t>
            </w:r>
            <w:r w:rsidRPr="00040765">
              <w:rPr>
                <w:rFonts w:cs="Arial"/>
                <w:b/>
                <w:iCs/>
                <w:color w:val="3399FF"/>
                <w:sz w:val="16"/>
                <w:szCs w:val="16"/>
                <w:lang w:val="en-GB"/>
              </w:rPr>
              <w:t xml:space="preserve">                                                                                                                                     </w:t>
            </w:r>
          </w:p>
          <w:p w:rsidR="00081938" w:rsidRPr="00040765" w:rsidRDefault="00081938" w:rsidP="0082369E">
            <w:pPr>
              <w:contextualSpacing/>
              <w:rPr>
                <w:rFonts w:cs="Arial"/>
                <w:b/>
                <w:sz w:val="16"/>
                <w:szCs w:val="16"/>
                <w:lang w:val="en-US"/>
              </w:rPr>
            </w:pPr>
          </w:p>
          <w:p w:rsidR="00081938" w:rsidRPr="00040765" w:rsidRDefault="00081938" w:rsidP="0082369E">
            <w:pPr>
              <w:contextualSpacing/>
              <w:rPr>
                <w:rFonts w:cs="Arial"/>
                <w:iCs/>
                <w:sz w:val="16"/>
                <w:szCs w:val="16"/>
                <w:lang w:val="en-GB"/>
              </w:rPr>
            </w:pPr>
            <w:proofErr w:type="spellStart"/>
            <w:r w:rsidRPr="00040765">
              <w:rPr>
                <w:rFonts w:cs="Arial"/>
                <w:b/>
                <w:sz w:val="16"/>
                <w:szCs w:val="16"/>
                <w:lang w:val="en-US"/>
              </w:rPr>
              <w:t>Biliodigestive</w:t>
            </w:r>
            <w:proofErr w:type="spellEnd"/>
            <w:r w:rsidRPr="00040765">
              <w:rPr>
                <w:rFonts w:cs="Arial"/>
                <w:b/>
                <w:sz w:val="16"/>
                <w:szCs w:val="16"/>
                <w:lang w:val="en-US"/>
              </w:rPr>
              <w:t xml:space="preserve"> anastomosis leakage                                                                                                                                                                                                                        </w:t>
            </w:r>
            <w:r w:rsidRPr="00040765">
              <w:rPr>
                <w:rFonts w:cs="Arial"/>
                <w:b/>
                <w:sz w:val="16"/>
                <w:szCs w:val="16"/>
                <w:lang w:val="en-GB"/>
              </w:rPr>
              <w:t xml:space="preserve"> </w:t>
            </w:r>
            <w:r w:rsidRPr="00040765">
              <w:rPr>
                <w:rFonts w:cs="Arial"/>
                <w:sz w:val="16"/>
                <w:szCs w:val="16"/>
                <w:lang w:val="en-GB"/>
              </w:rPr>
              <w:t xml:space="preserve">Any quantity of bile leaking via the abdominal wound or drains at least </w:t>
            </w:r>
            <w:r w:rsidRPr="00040765">
              <w:rPr>
                <w:rFonts w:cs="Arial"/>
                <w:iCs/>
                <w:sz w:val="16"/>
                <w:szCs w:val="16"/>
                <w:lang w:val="en-GB"/>
              </w:rPr>
              <w:t xml:space="preserve">48 h </w:t>
            </w:r>
            <w:r w:rsidRPr="00040765">
              <w:rPr>
                <w:rFonts w:cs="Arial"/>
                <w:sz w:val="16"/>
                <w:szCs w:val="16"/>
                <w:lang w:val="en-GB"/>
              </w:rPr>
              <w:t xml:space="preserve">after surgery, intra-                                            abdominal collection of bile (confirmed </w:t>
            </w:r>
            <w:proofErr w:type="spellStart"/>
            <w:r w:rsidRPr="00040765">
              <w:rPr>
                <w:rFonts w:cs="Arial"/>
                <w:iCs/>
                <w:sz w:val="16"/>
                <w:szCs w:val="16"/>
                <w:lang w:val="en-GB"/>
              </w:rPr>
              <w:t>radiologically</w:t>
            </w:r>
            <w:proofErr w:type="spellEnd"/>
            <w:r w:rsidRPr="00040765">
              <w:rPr>
                <w:rFonts w:cs="Arial"/>
                <w:sz w:val="16"/>
                <w:szCs w:val="16"/>
                <w:lang w:val="en-GB"/>
              </w:rPr>
              <w:t xml:space="preserve">) or </w:t>
            </w:r>
            <w:proofErr w:type="spellStart"/>
            <w:r w:rsidRPr="00040765">
              <w:rPr>
                <w:rFonts w:cs="Arial"/>
                <w:iCs/>
                <w:sz w:val="16"/>
                <w:szCs w:val="16"/>
                <w:lang w:val="en-GB"/>
              </w:rPr>
              <w:t>cholangiographic</w:t>
            </w:r>
            <w:proofErr w:type="spellEnd"/>
            <w:r w:rsidRPr="00040765">
              <w:rPr>
                <w:rFonts w:cs="Arial"/>
                <w:iCs/>
                <w:sz w:val="16"/>
                <w:szCs w:val="16"/>
                <w:lang w:val="en-GB"/>
              </w:rPr>
              <w:t xml:space="preserve"> evidence of contrast                                                                        leakage</w:t>
            </w:r>
            <w:r w:rsidRPr="00040765">
              <w:rPr>
                <w:rFonts w:cs="Arial"/>
                <w:sz w:val="16"/>
                <w:szCs w:val="16"/>
                <w:lang w:val="en-GB"/>
              </w:rPr>
              <w:t xml:space="preserve">. Laboratory: three times higher bilirubin in the drain or intra-abdominal collection                                                                       </w:t>
            </w:r>
            <w:r w:rsidRPr="00040765">
              <w:rPr>
                <w:rFonts w:cs="Arial"/>
                <w:iCs/>
                <w:sz w:val="16"/>
                <w:szCs w:val="16"/>
                <w:lang w:val="en-GB"/>
              </w:rPr>
              <w:t>compared with normal serum</w:t>
            </w:r>
            <w:r w:rsidRPr="00040765">
              <w:rPr>
                <w:rFonts w:cs="Arial"/>
                <w:sz w:val="16"/>
                <w:szCs w:val="16"/>
                <w:lang w:val="en-GB"/>
              </w:rPr>
              <w:t xml:space="preserve"> bilirubin </w:t>
            </w:r>
            <w:r w:rsidRPr="00040765">
              <w:rPr>
                <w:rFonts w:cs="Arial"/>
                <w:iCs/>
                <w:sz w:val="16"/>
                <w:szCs w:val="16"/>
                <w:lang w:val="en-GB"/>
              </w:rPr>
              <w:t xml:space="preserve">levels. </w:t>
            </w:r>
          </w:p>
          <w:p w:rsidR="00081938" w:rsidRPr="00040765" w:rsidRDefault="00081938" w:rsidP="0082369E">
            <w:pPr>
              <w:contextualSpacing/>
              <w:rPr>
                <w:rFonts w:cs="Arial"/>
                <w:b/>
                <w:sz w:val="16"/>
                <w:szCs w:val="16"/>
                <w:lang w:val="en-US"/>
              </w:rPr>
            </w:pPr>
          </w:p>
          <w:p w:rsidR="00081938" w:rsidRPr="00040765" w:rsidRDefault="00081938" w:rsidP="0082369E">
            <w:pPr>
              <w:contextualSpacing/>
              <w:rPr>
                <w:rFonts w:cs="Arial"/>
                <w:sz w:val="16"/>
                <w:szCs w:val="16"/>
                <w:vertAlign w:val="superscript"/>
                <w:lang w:val="en-GB"/>
              </w:rPr>
            </w:pPr>
            <w:r w:rsidRPr="00040765">
              <w:rPr>
                <w:rFonts w:cs="Arial"/>
                <w:b/>
                <w:sz w:val="16"/>
                <w:szCs w:val="16"/>
                <w:lang w:val="en-US"/>
              </w:rPr>
              <w:t xml:space="preserve">Sepsis/multi organ failure                                                                                                                                                                                   </w:t>
            </w:r>
            <w:r w:rsidRPr="00040765">
              <w:rPr>
                <w:rFonts w:cs="Arial"/>
                <w:sz w:val="16"/>
                <w:szCs w:val="16"/>
                <w:lang w:val="en-GB"/>
              </w:rPr>
              <w:t>Definition from the 2001 International Sepsis Definitions Conference</w:t>
            </w:r>
            <w:r>
              <w:rPr>
                <w:rFonts w:cs="Arial"/>
                <w:sz w:val="16"/>
                <w:szCs w:val="16"/>
                <w:vertAlign w:val="superscript"/>
                <w:lang w:val="en-GB"/>
              </w:rPr>
              <w:t>21</w:t>
            </w:r>
          </w:p>
          <w:p w:rsidR="00081938" w:rsidRPr="00040765" w:rsidRDefault="00081938" w:rsidP="0082369E">
            <w:pPr>
              <w:contextualSpacing/>
              <w:rPr>
                <w:rFonts w:cs="Arial"/>
                <w:b/>
                <w:sz w:val="16"/>
                <w:szCs w:val="16"/>
                <w:lang w:val="en-US"/>
              </w:rPr>
            </w:pPr>
          </w:p>
          <w:p w:rsidR="00081938" w:rsidRPr="00040765" w:rsidRDefault="00081938" w:rsidP="0082369E">
            <w:pPr>
              <w:contextualSpacing/>
              <w:rPr>
                <w:rFonts w:cs="Arial"/>
                <w:b/>
                <w:sz w:val="16"/>
                <w:szCs w:val="16"/>
                <w:lang w:val="en-US"/>
              </w:rPr>
            </w:pPr>
            <w:r w:rsidRPr="00040765">
              <w:rPr>
                <w:rFonts w:cs="Arial"/>
                <w:b/>
                <w:sz w:val="16"/>
                <w:szCs w:val="16"/>
                <w:lang w:val="en-US"/>
              </w:rPr>
              <w:t xml:space="preserve">Post </w:t>
            </w:r>
            <w:proofErr w:type="spellStart"/>
            <w:r w:rsidRPr="00040765">
              <w:rPr>
                <w:rFonts w:cs="Arial"/>
                <w:b/>
                <w:sz w:val="16"/>
                <w:szCs w:val="16"/>
                <w:lang w:val="en-US"/>
              </w:rPr>
              <w:t>pancreaticoduodenectomy</w:t>
            </w:r>
            <w:proofErr w:type="spellEnd"/>
            <w:r w:rsidRPr="00040765">
              <w:rPr>
                <w:rFonts w:cs="Arial"/>
                <w:b/>
                <w:sz w:val="16"/>
                <w:szCs w:val="16"/>
                <w:lang w:val="en-US"/>
              </w:rPr>
              <w:t xml:space="preserve"> hemorrhage</w:t>
            </w:r>
            <w:r w:rsidRPr="00040765">
              <w:rPr>
                <w:rFonts w:cs="Arial"/>
                <w:b/>
                <w:sz w:val="16"/>
                <w:szCs w:val="16"/>
                <w:lang w:val="en-US"/>
              </w:rPr>
              <w:br/>
            </w:r>
            <w:r w:rsidRPr="00040765">
              <w:rPr>
                <w:rFonts w:cs="Arial"/>
                <w:sz w:val="16"/>
                <w:szCs w:val="16"/>
                <w:lang w:val="en-US"/>
              </w:rPr>
              <w:t xml:space="preserve">Definition according to the ISGPS classification of post </w:t>
            </w:r>
            <w:proofErr w:type="spellStart"/>
            <w:r w:rsidRPr="00040765">
              <w:rPr>
                <w:rFonts w:cs="Arial"/>
                <w:sz w:val="16"/>
                <w:szCs w:val="16"/>
                <w:lang w:val="en-US"/>
              </w:rPr>
              <w:t>pancreaticoduodenectomy</w:t>
            </w:r>
            <w:proofErr w:type="spellEnd"/>
            <w:r w:rsidRPr="00040765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0765">
              <w:rPr>
                <w:rFonts w:cs="Arial"/>
                <w:sz w:val="16"/>
                <w:szCs w:val="16"/>
                <w:lang w:val="en-US"/>
              </w:rPr>
              <w:t>haemorrhage</w:t>
            </w:r>
            <w:proofErr w:type="spellEnd"/>
            <w:r w:rsidRPr="00040765">
              <w:rPr>
                <w:rFonts w:cs="Arial"/>
                <w:sz w:val="16"/>
                <w:szCs w:val="16"/>
                <w:vertAlign w:val="superscript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  <w:vertAlign w:val="superscript"/>
                <w:lang w:val="en-GB"/>
              </w:rPr>
              <w:t>2</w:t>
            </w:r>
          </w:p>
          <w:p w:rsidR="00081938" w:rsidRPr="00040765" w:rsidRDefault="00081938" w:rsidP="0082369E">
            <w:pPr>
              <w:contextualSpacing/>
              <w:rPr>
                <w:rFonts w:cs="Arial"/>
                <w:b/>
                <w:sz w:val="16"/>
                <w:szCs w:val="16"/>
                <w:lang w:val="en-US"/>
              </w:rPr>
            </w:pPr>
          </w:p>
          <w:p w:rsidR="00081938" w:rsidRPr="00040765" w:rsidRDefault="00081938" w:rsidP="0082369E">
            <w:pPr>
              <w:contextualSpacing/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 w:rsidRPr="00040765">
              <w:rPr>
                <w:rFonts w:cs="Arial"/>
                <w:b/>
                <w:sz w:val="16"/>
                <w:szCs w:val="16"/>
                <w:lang w:val="en-US"/>
              </w:rPr>
              <w:t>Gastrojejunostomy</w:t>
            </w:r>
            <w:proofErr w:type="spellEnd"/>
            <w:r w:rsidRPr="00040765">
              <w:rPr>
                <w:rFonts w:cs="Arial"/>
                <w:b/>
                <w:sz w:val="16"/>
                <w:szCs w:val="16"/>
                <w:lang w:val="en-US"/>
              </w:rPr>
              <w:t xml:space="preserve"> leakage</w:t>
            </w:r>
            <w:r w:rsidRPr="00040765">
              <w:rPr>
                <w:rFonts w:cs="Arial"/>
                <w:b/>
                <w:sz w:val="16"/>
                <w:szCs w:val="16"/>
                <w:lang w:val="en-US"/>
              </w:rPr>
              <w:br/>
            </w:r>
            <w:proofErr w:type="spellStart"/>
            <w:r w:rsidRPr="00040765">
              <w:rPr>
                <w:rFonts w:cs="Arial"/>
                <w:sz w:val="16"/>
                <w:szCs w:val="16"/>
                <w:lang w:val="en-US"/>
              </w:rPr>
              <w:t>Leakage</w:t>
            </w:r>
            <w:proofErr w:type="spellEnd"/>
            <w:r w:rsidRPr="00040765">
              <w:rPr>
                <w:rFonts w:cs="Arial"/>
                <w:sz w:val="16"/>
                <w:szCs w:val="16"/>
                <w:lang w:val="en-US"/>
              </w:rPr>
              <w:t xml:space="preserve"> of the </w:t>
            </w:r>
            <w:proofErr w:type="spellStart"/>
            <w:r w:rsidRPr="00040765">
              <w:rPr>
                <w:rFonts w:cs="Arial"/>
                <w:sz w:val="16"/>
                <w:szCs w:val="16"/>
                <w:lang w:val="en-US"/>
              </w:rPr>
              <w:t>gastrojejunostomy</w:t>
            </w:r>
            <w:proofErr w:type="spellEnd"/>
            <w:r w:rsidRPr="00040765">
              <w:rPr>
                <w:rFonts w:cs="Arial"/>
                <w:sz w:val="16"/>
                <w:szCs w:val="16"/>
                <w:lang w:val="en-US"/>
              </w:rPr>
              <w:t xml:space="preserve"> anastomosis documented either by confirmatory upper gastrointestinal contrast x-rays. CT scans, or reoperation</w:t>
            </w:r>
            <w:r w:rsidRPr="00040765">
              <w:rPr>
                <w:rFonts w:cs="Arial"/>
                <w:sz w:val="16"/>
                <w:szCs w:val="16"/>
                <w:vertAlign w:val="superscript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  <w:vertAlign w:val="superscript"/>
                <w:lang w:val="en-GB"/>
              </w:rPr>
              <w:t>3</w:t>
            </w:r>
            <w:r w:rsidRPr="00040765">
              <w:rPr>
                <w:rFonts w:cs="Arial"/>
                <w:sz w:val="16"/>
                <w:szCs w:val="16"/>
                <w:lang w:val="en-US"/>
              </w:rPr>
              <w:t>.</w:t>
            </w:r>
          </w:p>
          <w:p w:rsidR="00081938" w:rsidRPr="00040765" w:rsidRDefault="00081938" w:rsidP="0082369E">
            <w:pPr>
              <w:contextualSpacing/>
              <w:rPr>
                <w:rFonts w:cs="Arial"/>
                <w:b/>
                <w:sz w:val="16"/>
                <w:szCs w:val="16"/>
                <w:lang w:val="en-US"/>
              </w:rPr>
            </w:pPr>
          </w:p>
          <w:p w:rsidR="00081938" w:rsidRPr="00040765" w:rsidRDefault="00081938" w:rsidP="0082369E">
            <w:pPr>
              <w:contextualSpacing/>
              <w:rPr>
                <w:rFonts w:cs="Arial"/>
                <w:sz w:val="16"/>
                <w:szCs w:val="16"/>
                <w:lang w:val="en-US"/>
              </w:rPr>
            </w:pPr>
            <w:r w:rsidRPr="00040765">
              <w:rPr>
                <w:rFonts w:cs="Arial"/>
                <w:b/>
                <w:sz w:val="16"/>
                <w:szCs w:val="16"/>
                <w:lang w:val="en-US"/>
              </w:rPr>
              <w:t xml:space="preserve">CT-drainage </w:t>
            </w:r>
            <w:r w:rsidRPr="00040765">
              <w:rPr>
                <w:rFonts w:cs="Arial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Drainage of intra-abdominal fluid collections during CT by inserting a percutaneous drain during                                                             the hospitalization or readmission period. </w:t>
            </w:r>
            <w:r w:rsidRPr="00040765">
              <w:rPr>
                <w:rFonts w:cs="Arial"/>
                <w:sz w:val="16"/>
                <w:szCs w:val="16"/>
                <w:lang w:val="en-US"/>
              </w:rPr>
              <w:br/>
            </w:r>
          </w:p>
          <w:p w:rsidR="00081938" w:rsidRPr="00040765" w:rsidRDefault="00081938" w:rsidP="0082369E">
            <w:pPr>
              <w:spacing w:after="120"/>
              <w:contextualSpacing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040765">
              <w:rPr>
                <w:rFonts w:cs="Arial"/>
                <w:b/>
                <w:sz w:val="16"/>
                <w:szCs w:val="16"/>
                <w:lang w:val="en-US"/>
              </w:rPr>
              <w:t>Relaparotomy</w:t>
            </w:r>
            <w:proofErr w:type="spellEnd"/>
            <w:r w:rsidRPr="00040765">
              <w:rPr>
                <w:rFonts w:cs="Arial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Any complication after the initial PPPD or Whipple operation leading to a laparotomy as an                                                     intervention, during the index hospitalization or the readmission period.   </w:t>
            </w:r>
          </w:p>
          <w:p w:rsidR="00081938" w:rsidRPr="00E46147" w:rsidRDefault="00081938" w:rsidP="0082369E">
            <w:pPr>
              <w:contextualSpacing/>
              <w:rPr>
                <w:lang w:val="en-US"/>
              </w:rPr>
            </w:pPr>
          </w:p>
          <w:p w:rsidR="00081938" w:rsidRPr="00EA702D" w:rsidRDefault="00081938" w:rsidP="0082369E">
            <w:pPr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A0C2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081938" w:rsidRDefault="00081938" w:rsidP="0008193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1938" w:rsidRDefault="00081938" w:rsidP="0008193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1938" w:rsidRDefault="00081938" w:rsidP="0008193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1938" w:rsidRDefault="00081938" w:rsidP="0008193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1938" w:rsidRDefault="00081938" w:rsidP="0008193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1938" w:rsidRDefault="00081938" w:rsidP="0008193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1938" w:rsidRDefault="00081938" w:rsidP="0008193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1938" w:rsidRDefault="00081938" w:rsidP="0008193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1938" w:rsidRDefault="00081938" w:rsidP="0008193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1938" w:rsidRDefault="00081938" w:rsidP="0008193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1938" w:rsidRDefault="00081938" w:rsidP="0008193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1938" w:rsidRDefault="00081938" w:rsidP="0008193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1938" w:rsidRDefault="00081938" w:rsidP="0008193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1938" w:rsidRDefault="00081938" w:rsidP="0008193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1938" w:rsidRDefault="00081938" w:rsidP="0008193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1938" w:rsidRDefault="00081938" w:rsidP="0008193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1938" w:rsidRDefault="00081938" w:rsidP="0008193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1938" w:rsidRDefault="00081938" w:rsidP="0008193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1938" w:rsidRDefault="00081938" w:rsidP="0008193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1938" w:rsidRDefault="00081938" w:rsidP="0008193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1938" w:rsidRDefault="00081938" w:rsidP="0008193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1938" w:rsidRDefault="00081938" w:rsidP="0008193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1938" w:rsidRDefault="00081938" w:rsidP="0008193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1938" w:rsidRDefault="00081938" w:rsidP="0008193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1938" w:rsidRDefault="00081938" w:rsidP="0008193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1938" w:rsidRDefault="00081938" w:rsidP="0008193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1938" w:rsidRDefault="00081938" w:rsidP="0008193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1938" w:rsidRPr="003B6519" w:rsidRDefault="00081938" w:rsidP="00081938">
      <w:pPr>
        <w:rPr>
          <w:b/>
          <w:sz w:val="24"/>
          <w:szCs w:val="24"/>
          <w:lang w:val="en-US"/>
        </w:rPr>
      </w:pPr>
      <w:r w:rsidRPr="003B6519">
        <w:rPr>
          <w:b/>
          <w:sz w:val="24"/>
          <w:szCs w:val="24"/>
          <w:lang w:val="en-US"/>
        </w:rPr>
        <w:lastRenderedPageBreak/>
        <w:t>Supplementary table</w:t>
      </w:r>
      <w:r>
        <w:rPr>
          <w:b/>
          <w:sz w:val="24"/>
          <w:szCs w:val="24"/>
          <w:lang w:val="en-US"/>
        </w:rPr>
        <w:t xml:space="preserve"> 2</w:t>
      </w:r>
      <w:r w:rsidRPr="003B6519">
        <w:rPr>
          <w:b/>
          <w:sz w:val="24"/>
          <w:szCs w:val="24"/>
          <w:lang w:val="en-US"/>
        </w:rPr>
        <w:t>: Complications by type of resection</w:t>
      </w:r>
    </w:p>
    <w:tbl>
      <w:tblPr>
        <w:tblStyle w:val="HelleSchattierung"/>
        <w:tblpPr w:leftFromText="180" w:rightFromText="180" w:vertAnchor="page" w:horzAnchor="page" w:tblpX="1549" w:tblpY="1981"/>
        <w:tblW w:w="8151" w:type="dxa"/>
        <w:tblLayout w:type="fixed"/>
        <w:tblLook w:val="04A0" w:firstRow="1" w:lastRow="0" w:firstColumn="1" w:lastColumn="0" w:noHBand="0" w:noVBand="1"/>
      </w:tblPr>
      <w:tblGrid>
        <w:gridCol w:w="2943"/>
        <w:gridCol w:w="2720"/>
        <w:gridCol w:w="2488"/>
      </w:tblGrid>
      <w:tr w:rsidR="00081938" w:rsidRPr="003B6519" w:rsidTr="00823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081938" w:rsidRPr="003B6519" w:rsidRDefault="00081938" w:rsidP="0082369E">
            <w:pPr>
              <w:contextualSpacing/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720" w:type="dxa"/>
            <w:noWrap/>
            <w:hideMark/>
          </w:tcPr>
          <w:p w:rsidR="00081938" w:rsidRPr="003B6519" w:rsidRDefault="00081938" w:rsidP="0082369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Whipple (n=53)</w:t>
            </w:r>
          </w:p>
        </w:tc>
        <w:tc>
          <w:tcPr>
            <w:tcW w:w="2488" w:type="dxa"/>
            <w:noWrap/>
            <w:hideMark/>
          </w:tcPr>
          <w:p w:rsidR="00081938" w:rsidRPr="003B6519" w:rsidRDefault="00081938" w:rsidP="0082369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PPPD (n=177)</w:t>
            </w:r>
          </w:p>
        </w:tc>
      </w:tr>
      <w:tr w:rsidR="00081938" w:rsidRPr="003B6519" w:rsidTr="00823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081938" w:rsidRPr="003B6519" w:rsidRDefault="00081938" w:rsidP="0082369E">
            <w:pPr>
              <w:contextualSpacing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3B6519">
              <w:rPr>
                <w:rFonts w:eastAsia="Times New Roman" w:cs="Times New Roman"/>
                <w:color w:val="000000"/>
                <w:lang w:val="en-US"/>
              </w:rPr>
              <w:t>Intra abdominal</w:t>
            </w:r>
            <w:proofErr w:type="spellEnd"/>
            <w:r w:rsidRPr="003B6519">
              <w:rPr>
                <w:rFonts w:eastAsia="Times New Roman" w:cs="Times New Roman"/>
                <w:color w:val="000000"/>
                <w:lang w:val="en-US"/>
              </w:rPr>
              <w:t xml:space="preserve"> abscess</w:t>
            </w:r>
          </w:p>
        </w:tc>
        <w:tc>
          <w:tcPr>
            <w:tcW w:w="2720" w:type="dxa"/>
            <w:noWrap/>
            <w:hideMark/>
          </w:tcPr>
          <w:p w:rsidR="00081938" w:rsidRPr="003B6519" w:rsidRDefault="00081938" w:rsidP="0082369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7 (13.2)</w:t>
            </w:r>
          </w:p>
        </w:tc>
        <w:tc>
          <w:tcPr>
            <w:tcW w:w="2488" w:type="dxa"/>
            <w:noWrap/>
            <w:hideMark/>
          </w:tcPr>
          <w:p w:rsidR="00081938" w:rsidRPr="003B6519" w:rsidRDefault="00081938" w:rsidP="0082369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28 (15.8)</w:t>
            </w:r>
          </w:p>
        </w:tc>
      </w:tr>
      <w:tr w:rsidR="00081938" w:rsidRPr="003B6519" w:rsidTr="0082369E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081938" w:rsidRPr="003B6519" w:rsidRDefault="00081938" w:rsidP="0082369E">
            <w:pPr>
              <w:contextualSpacing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DGE</w:t>
            </w:r>
          </w:p>
        </w:tc>
        <w:tc>
          <w:tcPr>
            <w:tcW w:w="2720" w:type="dxa"/>
            <w:noWrap/>
            <w:hideMark/>
          </w:tcPr>
          <w:p w:rsidR="00081938" w:rsidRPr="003B6519" w:rsidRDefault="00081938" w:rsidP="0082369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3 (5.7)</w:t>
            </w:r>
          </w:p>
        </w:tc>
        <w:tc>
          <w:tcPr>
            <w:tcW w:w="2488" w:type="dxa"/>
            <w:noWrap/>
            <w:hideMark/>
          </w:tcPr>
          <w:p w:rsidR="00081938" w:rsidRPr="003B6519" w:rsidRDefault="00081938" w:rsidP="0082369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19 (10.7)</w:t>
            </w:r>
          </w:p>
        </w:tc>
      </w:tr>
      <w:tr w:rsidR="00081938" w:rsidRPr="003B6519" w:rsidTr="00823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081938" w:rsidRPr="003B6519" w:rsidRDefault="00081938" w:rsidP="0082369E">
            <w:pPr>
              <w:contextualSpacing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Pancreatic fistula</w:t>
            </w:r>
          </w:p>
        </w:tc>
        <w:tc>
          <w:tcPr>
            <w:tcW w:w="2720" w:type="dxa"/>
            <w:noWrap/>
            <w:hideMark/>
          </w:tcPr>
          <w:p w:rsidR="00081938" w:rsidRPr="003B6519" w:rsidRDefault="00081938" w:rsidP="0082369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10 (18.9)</w:t>
            </w:r>
          </w:p>
        </w:tc>
        <w:tc>
          <w:tcPr>
            <w:tcW w:w="2488" w:type="dxa"/>
            <w:noWrap/>
            <w:hideMark/>
          </w:tcPr>
          <w:p w:rsidR="00081938" w:rsidRPr="003B6519" w:rsidRDefault="00081938" w:rsidP="0082369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19 (10.7)</w:t>
            </w:r>
          </w:p>
        </w:tc>
      </w:tr>
      <w:tr w:rsidR="00081938" w:rsidRPr="003B6519" w:rsidTr="0082369E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081938" w:rsidRPr="003B6519" w:rsidRDefault="00081938" w:rsidP="0082369E">
            <w:pPr>
              <w:contextualSpacing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3B6519">
              <w:rPr>
                <w:rFonts w:eastAsia="Times New Roman" w:cs="Times New Roman"/>
                <w:color w:val="000000"/>
                <w:lang w:val="en-US"/>
              </w:rPr>
              <w:t>Gastrojejunostomy</w:t>
            </w:r>
            <w:proofErr w:type="spellEnd"/>
            <w:r w:rsidRPr="003B6519">
              <w:rPr>
                <w:rFonts w:eastAsia="Times New Roman" w:cs="Times New Roman"/>
                <w:color w:val="000000"/>
                <w:lang w:val="en-US"/>
              </w:rPr>
              <w:t xml:space="preserve"> leakage</w:t>
            </w:r>
          </w:p>
        </w:tc>
        <w:tc>
          <w:tcPr>
            <w:tcW w:w="2720" w:type="dxa"/>
            <w:noWrap/>
            <w:hideMark/>
          </w:tcPr>
          <w:p w:rsidR="00081938" w:rsidRPr="003B6519" w:rsidRDefault="00081938" w:rsidP="0082369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1 (1.9)</w:t>
            </w:r>
          </w:p>
        </w:tc>
        <w:tc>
          <w:tcPr>
            <w:tcW w:w="2488" w:type="dxa"/>
            <w:noWrap/>
            <w:hideMark/>
          </w:tcPr>
          <w:p w:rsidR="00081938" w:rsidRPr="003B6519" w:rsidRDefault="00081938" w:rsidP="0082369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3 (1.7)</w:t>
            </w:r>
          </w:p>
        </w:tc>
      </w:tr>
      <w:tr w:rsidR="00081938" w:rsidRPr="003B6519" w:rsidTr="00823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081938" w:rsidRPr="003B6519" w:rsidRDefault="00081938" w:rsidP="0082369E">
            <w:pPr>
              <w:contextualSpacing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Bile/</w:t>
            </w:r>
            <w:proofErr w:type="spellStart"/>
            <w:r w:rsidRPr="003B6519">
              <w:rPr>
                <w:rFonts w:eastAsia="Times New Roman" w:cs="Times New Roman"/>
                <w:color w:val="000000"/>
                <w:lang w:val="en-US"/>
              </w:rPr>
              <w:t>hepaticojejunostomy</w:t>
            </w:r>
            <w:proofErr w:type="spellEnd"/>
            <w:r w:rsidRPr="003B6519">
              <w:rPr>
                <w:rFonts w:eastAsia="Times New Roman" w:cs="Times New Roman"/>
                <w:color w:val="000000"/>
                <w:lang w:val="en-US"/>
              </w:rPr>
              <w:t xml:space="preserve"> leakage </w:t>
            </w:r>
          </w:p>
        </w:tc>
        <w:tc>
          <w:tcPr>
            <w:tcW w:w="2720" w:type="dxa"/>
            <w:noWrap/>
            <w:hideMark/>
          </w:tcPr>
          <w:p w:rsidR="00081938" w:rsidRPr="003B6519" w:rsidRDefault="00081938" w:rsidP="0082369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2 (3.8)</w:t>
            </w:r>
          </w:p>
        </w:tc>
        <w:tc>
          <w:tcPr>
            <w:tcW w:w="2488" w:type="dxa"/>
            <w:noWrap/>
            <w:hideMark/>
          </w:tcPr>
          <w:p w:rsidR="00081938" w:rsidRPr="003B6519" w:rsidRDefault="00081938" w:rsidP="0082369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11 (6.2)</w:t>
            </w:r>
          </w:p>
        </w:tc>
      </w:tr>
      <w:tr w:rsidR="00081938" w:rsidRPr="003B6519" w:rsidTr="0082369E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081938" w:rsidRPr="003B6519" w:rsidRDefault="00081938" w:rsidP="0082369E">
            <w:pPr>
              <w:contextualSpacing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Post-</w:t>
            </w:r>
            <w:proofErr w:type="spellStart"/>
            <w:r w:rsidRPr="003B6519">
              <w:rPr>
                <w:rFonts w:eastAsia="Times New Roman" w:cs="Times New Roman"/>
                <w:color w:val="000000"/>
                <w:lang w:val="en-US"/>
              </w:rPr>
              <w:t>pancreatectomy</w:t>
            </w:r>
            <w:proofErr w:type="spellEnd"/>
            <w:r w:rsidRPr="003B6519">
              <w:rPr>
                <w:rFonts w:eastAsia="Times New Roman" w:cs="Times New Roman"/>
                <w:color w:val="000000"/>
                <w:lang w:val="en-US"/>
              </w:rPr>
              <w:t xml:space="preserve"> hemorrhage</w:t>
            </w:r>
          </w:p>
        </w:tc>
        <w:tc>
          <w:tcPr>
            <w:tcW w:w="2720" w:type="dxa"/>
            <w:noWrap/>
            <w:hideMark/>
          </w:tcPr>
          <w:p w:rsidR="00081938" w:rsidRPr="003B6519" w:rsidRDefault="00081938" w:rsidP="0082369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4 (7.5)</w:t>
            </w:r>
          </w:p>
        </w:tc>
        <w:tc>
          <w:tcPr>
            <w:tcW w:w="2488" w:type="dxa"/>
            <w:noWrap/>
            <w:hideMark/>
          </w:tcPr>
          <w:p w:rsidR="00081938" w:rsidRPr="003B6519" w:rsidRDefault="00081938" w:rsidP="0082369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7 (4.0)</w:t>
            </w:r>
          </w:p>
        </w:tc>
      </w:tr>
      <w:tr w:rsidR="00081938" w:rsidRPr="003B6519" w:rsidTr="00823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081938" w:rsidRPr="003B6519" w:rsidRDefault="00081938" w:rsidP="0082369E">
            <w:pPr>
              <w:contextualSpacing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Sepsis</w:t>
            </w:r>
          </w:p>
        </w:tc>
        <w:tc>
          <w:tcPr>
            <w:tcW w:w="2720" w:type="dxa"/>
            <w:noWrap/>
            <w:hideMark/>
          </w:tcPr>
          <w:p w:rsidR="00081938" w:rsidRPr="003B6519" w:rsidRDefault="00081938" w:rsidP="0082369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2 (3.8)</w:t>
            </w:r>
          </w:p>
        </w:tc>
        <w:tc>
          <w:tcPr>
            <w:tcW w:w="2488" w:type="dxa"/>
            <w:noWrap/>
            <w:hideMark/>
          </w:tcPr>
          <w:p w:rsidR="00081938" w:rsidRPr="003B6519" w:rsidRDefault="00081938" w:rsidP="0082369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9 (5.1)</w:t>
            </w:r>
          </w:p>
        </w:tc>
      </w:tr>
      <w:tr w:rsidR="00081938" w:rsidRPr="003B6519" w:rsidTr="0082369E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081938" w:rsidRPr="003B6519" w:rsidRDefault="00081938" w:rsidP="0082369E">
            <w:pPr>
              <w:contextualSpacing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Mortality</w:t>
            </w:r>
          </w:p>
        </w:tc>
        <w:tc>
          <w:tcPr>
            <w:tcW w:w="2720" w:type="dxa"/>
            <w:noWrap/>
            <w:hideMark/>
          </w:tcPr>
          <w:p w:rsidR="00081938" w:rsidRPr="003B6519" w:rsidRDefault="00081938" w:rsidP="0082369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4 (7.5)</w:t>
            </w:r>
          </w:p>
        </w:tc>
        <w:tc>
          <w:tcPr>
            <w:tcW w:w="2488" w:type="dxa"/>
            <w:noWrap/>
            <w:hideMark/>
          </w:tcPr>
          <w:p w:rsidR="00081938" w:rsidRPr="003B6519" w:rsidRDefault="00081938" w:rsidP="0082369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7 (4.0)</w:t>
            </w:r>
          </w:p>
        </w:tc>
      </w:tr>
      <w:tr w:rsidR="00081938" w:rsidRPr="003B6519" w:rsidTr="00823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081938" w:rsidRPr="003B6519" w:rsidRDefault="00081938" w:rsidP="0082369E">
            <w:pPr>
              <w:contextualSpacing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Urinary tract infection</w:t>
            </w:r>
          </w:p>
        </w:tc>
        <w:tc>
          <w:tcPr>
            <w:tcW w:w="2720" w:type="dxa"/>
            <w:noWrap/>
            <w:hideMark/>
          </w:tcPr>
          <w:p w:rsidR="00081938" w:rsidRPr="003B6519" w:rsidRDefault="00081938" w:rsidP="0082369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3 (5.7)</w:t>
            </w:r>
          </w:p>
        </w:tc>
        <w:tc>
          <w:tcPr>
            <w:tcW w:w="2488" w:type="dxa"/>
            <w:noWrap/>
            <w:hideMark/>
          </w:tcPr>
          <w:p w:rsidR="00081938" w:rsidRPr="003B6519" w:rsidRDefault="00081938" w:rsidP="0082369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6 (3.4)</w:t>
            </w:r>
          </w:p>
        </w:tc>
      </w:tr>
      <w:tr w:rsidR="00081938" w:rsidRPr="003B6519" w:rsidTr="0082369E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081938" w:rsidRPr="003B6519" w:rsidRDefault="00081938" w:rsidP="0082369E">
            <w:pPr>
              <w:contextualSpacing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Ileus</w:t>
            </w:r>
          </w:p>
        </w:tc>
        <w:tc>
          <w:tcPr>
            <w:tcW w:w="2720" w:type="dxa"/>
            <w:noWrap/>
            <w:hideMark/>
          </w:tcPr>
          <w:p w:rsidR="00081938" w:rsidRPr="003B6519" w:rsidRDefault="00081938" w:rsidP="0082369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2 (3.8)</w:t>
            </w:r>
          </w:p>
        </w:tc>
        <w:tc>
          <w:tcPr>
            <w:tcW w:w="2488" w:type="dxa"/>
            <w:noWrap/>
            <w:hideMark/>
          </w:tcPr>
          <w:p w:rsidR="00081938" w:rsidRPr="003B6519" w:rsidRDefault="00081938" w:rsidP="0082369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7 (4.0)</w:t>
            </w:r>
          </w:p>
        </w:tc>
      </w:tr>
      <w:tr w:rsidR="00081938" w:rsidRPr="003B6519" w:rsidTr="00823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081938" w:rsidRPr="003B6519" w:rsidRDefault="00081938" w:rsidP="0082369E">
            <w:pPr>
              <w:contextualSpacing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Abdominal wound dehiscence</w:t>
            </w:r>
          </w:p>
        </w:tc>
        <w:tc>
          <w:tcPr>
            <w:tcW w:w="2720" w:type="dxa"/>
            <w:noWrap/>
            <w:hideMark/>
          </w:tcPr>
          <w:p w:rsidR="00081938" w:rsidRPr="003B6519" w:rsidRDefault="00081938" w:rsidP="0082369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2 (3.8)</w:t>
            </w:r>
          </w:p>
        </w:tc>
        <w:tc>
          <w:tcPr>
            <w:tcW w:w="2488" w:type="dxa"/>
            <w:noWrap/>
            <w:hideMark/>
          </w:tcPr>
          <w:p w:rsidR="00081938" w:rsidRPr="003B6519" w:rsidRDefault="00081938" w:rsidP="0082369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4 (2.3)</w:t>
            </w:r>
          </w:p>
        </w:tc>
      </w:tr>
      <w:tr w:rsidR="00081938" w:rsidRPr="003B6519" w:rsidTr="0082369E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081938" w:rsidRPr="003B6519" w:rsidRDefault="00081938" w:rsidP="0082369E">
            <w:pPr>
              <w:contextualSpacing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Pneumonia</w:t>
            </w:r>
          </w:p>
        </w:tc>
        <w:tc>
          <w:tcPr>
            <w:tcW w:w="2720" w:type="dxa"/>
            <w:noWrap/>
            <w:hideMark/>
          </w:tcPr>
          <w:p w:rsidR="00081938" w:rsidRPr="003B6519" w:rsidRDefault="00081938" w:rsidP="0082369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4 (7.5)</w:t>
            </w:r>
          </w:p>
        </w:tc>
        <w:tc>
          <w:tcPr>
            <w:tcW w:w="2488" w:type="dxa"/>
            <w:noWrap/>
            <w:hideMark/>
          </w:tcPr>
          <w:p w:rsidR="00081938" w:rsidRPr="003B6519" w:rsidRDefault="00081938" w:rsidP="0082369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12 (6.8)</w:t>
            </w:r>
          </w:p>
        </w:tc>
      </w:tr>
      <w:tr w:rsidR="00081938" w:rsidRPr="003B6519" w:rsidTr="00823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081938" w:rsidRPr="003B6519" w:rsidRDefault="00081938" w:rsidP="0082369E">
            <w:pPr>
              <w:contextualSpacing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Wound infection</w:t>
            </w:r>
          </w:p>
        </w:tc>
        <w:tc>
          <w:tcPr>
            <w:tcW w:w="2720" w:type="dxa"/>
            <w:noWrap/>
            <w:hideMark/>
          </w:tcPr>
          <w:p w:rsidR="00081938" w:rsidRPr="003B6519" w:rsidRDefault="00081938" w:rsidP="0082369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7 (13.2)</w:t>
            </w:r>
          </w:p>
        </w:tc>
        <w:tc>
          <w:tcPr>
            <w:tcW w:w="2488" w:type="dxa"/>
            <w:noWrap/>
            <w:hideMark/>
          </w:tcPr>
          <w:p w:rsidR="00081938" w:rsidRPr="003B6519" w:rsidRDefault="00081938" w:rsidP="0082369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23 (13.0)</w:t>
            </w:r>
          </w:p>
        </w:tc>
      </w:tr>
      <w:tr w:rsidR="00081938" w:rsidRPr="003B6519" w:rsidTr="0082369E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081938" w:rsidRPr="003B6519" w:rsidRDefault="00081938" w:rsidP="0082369E">
            <w:pPr>
              <w:contextualSpacing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Diabetes Mellitus de novo</w:t>
            </w:r>
          </w:p>
        </w:tc>
        <w:tc>
          <w:tcPr>
            <w:tcW w:w="2720" w:type="dxa"/>
            <w:noWrap/>
            <w:hideMark/>
          </w:tcPr>
          <w:p w:rsidR="00081938" w:rsidRPr="003B6519" w:rsidRDefault="00081938" w:rsidP="0082369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488" w:type="dxa"/>
            <w:noWrap/>
            <w:hideMark/>
          </w:tcPr>
          <w:p w:rsidR="00081938" w:rsidRPr="003B6519" w:rsidRDefault="00081938" w:rsidP="0082369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3 (1.7)</w:t>
            </w:r>
          </w:p>
        </w:tc>
      </w:tr>
      <w:tr w:rsidR="00081938" w:rsidRPr="003B6519" w:rsidTr="00823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081938" w:rsidRPr="003B6519" w:rsidRDefault="00081938" w:rsidP="0082369E">
            <w:pPr>
              <w:contextualSpacing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Cerebrovascular accident</w:t>
            </w:r>
          </w:p>
        </w:tc>
        <w:tc>
          <w:tcPr>
            <w:tcW w:w="2720" w:type="dxa"/>
            <w:noWrap/>
            <w:hideMark/>
          </w:tcPr>
          <w:p w:rsidR="00081938" w:rsidRPr="003B6519" w:rsidRDefault="00081938" w:rsidP="0082369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488" w:type="dxa"/>
            <w:noWrap/>
            <w:hideMark/>
          </w:tcPr>
          <w:p w:rsidR="00081938" w:rsidRPr="003B6519" w:rsidRDefault="00081938" w:rsidP="0082369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2 (1.1)</w:t>
            </w:r>
          </w:p>
        </w:tc>
      </w:tr>
      <w:tr w:rsidR="00081938" w:rsidRPr="003B6519" w:rsidTr="0082369E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081938" w:rsidRPr="003B6519" w:rsidRDefault="00081938" w:rsidP="0082369E">
            <w:pPr>
              <w:contextualSpacing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Gastro-intestinal ulcer</w:t>
            </w:r>
          </w:p>
        </w:tc>
        <w:tc>
          <w:tcPr>
            <w:tcW w:w="2720" w:type="dxa"/>
            <w:noWrap/>
            <w:hideMark/>
          </w:tcPr>
          <w:p w:rsidR="00081938" w:rsidRPr="003B6519" w:rsidRDefault="00081938" w:rsidP="0082369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488" w:type="dxa"/>
            <w:noWrap/>
            <w:hideMark/>
          </w:tcPr>
          <w:p w:rsidR="00081938" w:rsidRPr="003B6519" w:rsidRDefault="00081938" w:rsidP="0082369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1 (0.6)</w:t>
            </w:r>
          </w:p>
        </w:tc>
      </w:tr>
      <w:tr w:rsidR="00081938" w:rsidRPr="003B6519" w:rsidTr="00823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081938" w:rsidRPr="003B6519" w:rsidRDefault="00081938" w:rsidP="0082369E">
            <w:pPr>
              <w:contextualSpacing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Cholangitis</w:t>
            </w:r>
          </w:p>
        </w:tc>
        <w:tc>
          <w:tcPr>
            <w:tcW w:w="2720" w:type="dxa"/>
            <w:noWrap/>
            <w:hideMark/>
          </w:tcPr>
          <w:p w:rsidR="00081938" w:rsidRPr="003B6519" w:rsidRDefault="00081938" w:rsidP="0082369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2 (3.8)</w:t>
            </w:r>
          </w:p>
        </w:tc>
        <w:tc>
          <w:tcPr>
            <w:tcW w:w="2488" w:type="dxa"/>
            <w:noWrap/>
            <w:hideMark/>
          </w:tcPr>
          <w:p w:rsidR="00081938" w:rsidRPr="003B6519" w:rsidRDefault="00081938" w:rsidP="0082369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1 (0.6)</w:t>
            </w:r>
          </w:p>
        </w:tc>
      </w:tr>
      <w:tr w:rsidR="00081938" w:rsidRPr="003B6519" w:rsidTr="0082369E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081938" w:rsidRPr="003B6519" w:rsidRDefault="00081938" w:rsidP="0082369E">
            <w:pPr>
              <w:contextualSpacing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Dumping</w:t>
            </w:r>
          </w:p>
        </w:tc>
        <w:tc>
          <w:tcPr>
            <w:tcW w:w="2720" w:type="dxa"/>
            <w:noWrap/>
            <w:hideMark/>
          </w:tcPr>
          <w:p w:rsidR="00081938" w:rsidRPr="003B6519" w:rsidRDefault="00081938" w:rsidP="0082369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488" w:type="dxa"/>
            <w:noWrap/>
            <w:hideMark/>
          </w:tcPr>
          <w:p w:rsidR="00081938" w:rsidRPr="003B6519" w:rsidRDefault="00081938" w:rsidP="0082369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rPr>
                <w:rFonts w:eastAsia="Times New Roman" w:cs="Times New Roman"/>
                <w:color w:val="000000"/>
                <w:lang w:val="en-US"/>
              </w:rPr>
              <w:t>1 (0.6)</w:t>
            </w:r>
          </w:p>
        </w:tc>
      </w:tr>
      <w:tr w:rsidR="00081938" w:rsidRPr="003B6519" w:rsidTr="00823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081938" w:rsidRPr="003B6519" w:rsidRDefault="00081938" w:rsidP="0082369E">
            <w:pPr>
              <w:contextualSpacing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t>Patients without complications</w:t>
            </w:r>
            <w:r w:rsidRPr="003B6519">
              <w:tab/>
            </w:r>
            <w:r w:rsidRPr="003B6519">
              <w:tab/>
            </w:r>
          </w:p>
        </w:tc>
        <w:tc>
          <w:tcPr>
            <w:tcW w:w="2720" w:type="dxa"/>
            <w:noWrap/>
            <w:hideMark/>
          </w:tcPr>
          <w:p w:rsidR="00081938" w:rsidRPr="003B6519" w:rsidRDefault="00081938" w:rsidP="0082369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t>35 (66)</w:t>
            </w:r>
            <w:r w:rsidRPr="003B6519">
              <w:tab/>
            </w:r>
          </w:p>
        </w:tc>
        <w:tc>
          <w:tcPr>
            <w:tcW w:w="2488" w:type="dxa"/>
            <w:noWrap/>
            <w:hideMark/>
          </w:tcPr>
          <w:p w:rsidR="00081938" w:rsidRPr="003B6519" w:rsidRDefault="00081938" w:rsidP="0082369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/>
              </w:rPr>
            </w:pPr>
            <w:r w:rsidRPr="003B6519">
              <w:t>102 (58)</w:t>
            </w:r>
          </w:p>
        </w:tc>
      </w:tr>
    </w:tbl>
    <w:p w:rsidR="00081938" w:rsidRPr="003B6519" w:rsidRDefault="00081938" w:rsidP="00081938">
      <w:pPr>
        <w:rPr>
          <w:b/>
          <w:lang w:val="en-US"/>
        </w:rPr>
      </w:pPr>
    </w:p>
    <w:p w:rsidR="00081938" w:rsidRPr="003B6519" w:rsidRDefault="00081938" w:rsidP="00081938">
      <w:pPr>
        <w:rPr>
          <w:b/>
          <w:lang w:val="en-US"/>
        </w:rPr>
      </w:pPr>
    </w:p>
    <w:p w:rsidR="00081938" w:rsidRPr="003B6519" w:rsidRDefault="00081938" w:rsidP="00081938">
      <w:pPr>
        <w:rPr>
          <w:b/>
          <w:lang w:val="en-US"/>
        </w:rPr>
      </w:pPr>
    </w:p>
    <w:p w:rsidR="00081938" w:rsidRPr="003B6519" w:rsidRDefault="00081938" w:rsidP="00081938">
      <w:pPr>
        <w:rPr>
          <w:b/>
          <w:lang w:val="en-US"/>
        </w:rPr>
      </w:pPr>
    </w:p>
    <w:p w:rsidR="00081938" w:rsidRPr="003B6519" w:rsidRDefault="00081938" w:rsidP="00081938">
      <w:pPr>
        <w:rPr>
          <w:b/>
          <w:lang w:val="en-US"/>
        </w:rPr>
      </w:pPr>
    </w:p>
    <w:p w:rsidR="00081938" w:rsidRPr="003B6519" w:rsidRDefault="00081938" w:rsidP="00081938">
      <w:pPr>
        <w:rPr>
          <w:b/>
          <w:lang w:val="en-US"/>
        </w:rPr>
      </w:pPr>
    </w:p>
    <w:p w:rsidR="00081938" w:rsidRPr="003B6519" w:rsidRDefault="00081938" w:rsidP="00081938">
      <w:pPr>
        <w:rPr>
          <w:b/>
          <w:lang w:val="en-US"/>
        </w:rPr>
      </w:pPr>
    </w:p>
    <w:p w:rsidR="00081938" w:rsidRPr="003B6519" w:rsidRDefault="00081938" w:rsidP="00081938">
      <w:pPr>
        <w:rPr>
          <w:b/>
          <w:lang w:val="en-US"/>
        </w:rPr>
      </w:pPr>
    </w:p>
    <w:p w:rsidR="00081938" w:rsidRPr="003B6519" w:rsidRDefault="00081938" w:rsidP="00081938">
      <w:pPr>
        <w:rPr>
          <w:b/>
          <w:lang w:val="en-US"/>
        </w:rPr>
      </w:pPr>
    </w:p>
    <w:p w:rsidR="00081938" w:rsidRPr="003B6519" w:rsidRDefault="00081938" w:rsidP="00081938">
      <w:pPr>
        <w:rPr>
          <w:b/>
          <w:lang w:val="en-US"/>
        </w:rPr>
      </w:pPr>
    </w:p>
    <w:p w:rsidR="00081938" w:rsidRPr="003B6519" w:rsidRDefault="00081938" w:rsidP="00081938">
      <w:pPr>
        <w:rPr>
          <w:b/>
          <w:lang w:val="en-US"/>
        </w:rPr>
      </w:pPr>
    </w:p>
    <w:p w:rsidR="00081938" w:rsidRPr="003B6519" w:rsidRDefault="00081938" w:rsidP="00081938">
      <w:pPr>
        <w:rPr>
          <w:b/>
          <w:lang w:val="en-US"/>
        </w:rPr>
      </w:pPr>
    </w:p>
    <w:p w:rsidR="00081938" w:rsidRPr="003B6519" w:rsidRDefault="00081938" w:rsidP="00081938">
      <w:pPr>
        <w:rPr>
          <w:lang w:val="en-US"/>
        </w:rPr>
      </w:pPr>
      <w:r w:rsidRPr="003B6519">
        <w:rPr>
          <w:b/>
          <w:lang w:val="en-US"/>
        </w:rPr>
        <w:br/>
      </w:r>
    </w:p>
    <w:p w:rsidR="00081938" w:rsidRPr="003B6519" w:rsidRDefault="00081938" w:rsidP="00081938">
      <w:pPr>
        <w:rPr>
          <w:lang w:val="en-US"/>
        </w:rPr>
      </w:pPr>
    </w:p>
    <w:p w:rsidR="00081938" w:rsidRPr="003B6519" w:rsidRDefault="00081938" w:rsidP="00081938">
      <w:pPr>
        <w:rPr>
          <w:lang w:val="en-US"/>
        </w:rPr>
      </w:pPr>
    </w:p>
    <w:p w:rsidR="00081938" w:rsidRDefault="00081938" w:rsidP="00081938">
      <w:pPr>
        <w:rPr>
          <w:lang w:val="en-US"/>
        </w:rPr>
      </w:pPr>
    </w:p>
    <w:p w:rsidR="00081938" w:rsidRPr="003B6519" w:rsidRDefault="00081938" w:rsidP="00081938">
      <w:pPr>
        <w:rPr>
          <w:lang w:val="en-US"/>
        </w:rPr>
      </w:pPr>
      <w:r w:rsidRPr="003B6519">
        <w:rPr>
          <w:lang w:val="en-US"/>
        </w:rPr>
        <w:t xml:space="preserve">Values in parentheses are percentages. </w:t>
      </w:r>
      <w:r w:rsidRPr="003B6519">
        <w:rPr>
          <w:rFonts w:eastAsia="Times New Roman" w:cs="Times New Roman"/>
          <w:i/>
          <w:iCs/>
          <w:color w:val="000000"/>
          <w:sz w:val="24"/>
          <w:szCs w:val="24"/>
          <w:lang w:val="en-US"/>
        </w:rPr>
        <w:t xml:space="preserve">† p&lt;0.05 </w:t>
      </w:r>
      <w:r w:rsidRPr="003B6519">
        <w:rPr>
          <w:lang w:val="en-US"/>
        </w:rPr>
        <w:t xml:space="preserve"> </w:t>
      </w:r>
    </w:p>
    <w:p w:rsidR="00081938" w:rsidRPr="003B6519" w:rsidRDefault="00081938" w:rsidP="00081938">
      <w:pPr>
        <w:rPr>
          <w:lang w:val="en-US"/>
        </w:rPr>
      </w:pPr>
      <w:r w:rsidRPr="003B6519">
        <w:rPr>
          <w:lang w:val="en-US"/>
        </w:rPr>
        <w:t>DGE: delayed gastric emptying</w:t>
      </w:r>
    </w:p>
    <w:p w:rsidR="00081938" w:rsidRDefault="00081938" w:rsidP="0008193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1938" w:rsidRPr="00DE7BCE" w:rsidRDefault="00081938" w:rsidP="0008193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69D8" w:rsidRDefault="00CA69D8">
      <w:bookmarkStart w:id="0" w:name="_GoBack"/>
      <w:bookmarkEnd w:id="0"/>
    </w:p>
    <w:sectPr w:rsidR="00CA69D8" w:rsidSect="00C05D48">
      <w:footerReference w:type="even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AB" w:rsidRDefault="00081938" w:rsidP="0060510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375AB" w:rsidRDefault="00081938" w:rsidP="0060510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AB" w:rsidRDefault="00081938" w:rsidP="0060510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0375AB" w:rsidRDefault="00081938" w:rsidP="00605107">
    <w:pPr>
      <w:pStyle w:val="Fuzeile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E7"/>
    <w:rsid w:val="00081938"/>
    <w:rsid w:val="000909E7"/>
    <w:rsid w:val="00CA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1938"/>
    <w:rPr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193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08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1938"/>
    <w:rPr>
      <w:lang w:val="nl-NL"/>
    </w:rPr>
  </w:style>
  <w:style w:type="character" w:styleId="Seitenzahl">
    <w:name w:val="page number"/>
    <w:basedOn w:val="Absatz-Standardschriftart"/>
    <w:uiPriority w:val="99"/>
    <w:semiHidden/>
    <w:unhideWhenUsed/>
    <w:rsid w:val="00081938"/>
  </w:style>
  <w:style w:type="table" w:styleId="HelleSchattierung">
    <w:name w:val="Light Shading"/>
    <w:basedOn w:val="NormaleTabelle"/>
    <w:uiPriority w:val="60"/>
    <w:rsid w:val="00081938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1938"/>
    <w:rPr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193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08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1938"/>
    <w:rPr>
      <w:lang w:val="nl-NL"/>
    </w:rPr>
  </w:style>
  <w:style w:type="character" w:styleId="Seitenzahl">
    <w:name w:val="page number"/>
    <w:basedOn w:val="Absatz-Standardschriftart"/>
    <w:uiPriority w:val="99"/>
    <w:semiHidden/>
    <w:unhideWhenUsed/>
    <w:rsid w:val="00081938"/>
  </w:style>
  <w:style w:type="table" w:styleId="HelleSchattierung">
    <w:name w:val="Light Shading"/>
    <w:basedOn w:val="NormaleTabelle"/>
    <w:uiPriority w:val="60"/>
    <w:rsid w:val="00081938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5570</Characters>
  <Application>Microsoft Office Word</Application>
  <DocSecurity>0</DocSecurity>
  <Lines>46</Lines>
  <Paragraphs>12</Paragraphs>
  <ScaleCrop>false</ScaleCrop>
  <Company>S.Karger AG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koenigs</dc:creator>
  <cp:keywords/>
  <dc:description/>
  <cp:lastModifiedBy>koenigs</cp:lastModifiedBy>
  <cp:revision>2</cp:revision>
  <dcterms:created xsi:type="dcterms:W3CDTF">2014-05-16T09:07:00Z</dcterms:created>
  <dcterms:modified xsi:type="dcterms:W3CDTF">2014-05-16T09:07:00Z</dcterms:modified>
</cp:coreProperties>
</file>