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F2" w:rsidRPr="00574B06" w:rsidRDefault="005F3DF2" w:rsidP="005F3DF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Supplemental T</w:t>
      </w:r>
      <w:r w:rsidRPr="00574B06">
        <w:rPr>
          <w:rFonts w:ascii="Times New Roman" w:eastAsia="Calibri" w:hAnsi="Times New Roman" w:cs="Times New Roman"/>
          <w:b/>
          <w:sz w:val="24"/>
          <w:szCs w:val="24"/>
        </w:rPr>
        <w:t xml:space="preserve">able Optional: Characteristics of study participants with breastfeeding information at birth and </w:t>
      </w:r>
      <w:r>
        <w:rPr>
          <w:rFonts w:ascii="Times New Roman" w:eastAsia="Calibri" w:hAnsi="Times New Roman" w:cs="Times New Roman"/>
          <w:b/>
          <w:sz w:val="24"/>
          <w:szCs w:val="24"/>
        </w:rPr>
        <w:t>body mass index data</w:t>
      </w:r>
      <w:r w:rsidRPr="00574B06">
        <w:rPr>
          <w:rFonts w:ascii="Times New Roman" w:eastAsia="Calibri" w:hAnsi="Times New Roman" w:cs="Times New Roman"/>
          <w:b/>
          <w:sz w:val="24"/>
          <w:szCs w:val="24"/>
        </w:rPr>
        <w:t xml:space="preserve"> at 20 years of age</w:t>
      </w:r>
    </w:p>
    <w:p w:rsidR="005F3DF2" w:rsidRPr="00302804" w:rsidRDefault="005F3DF2" w:rsidP="005F3D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205" w:type="dxa"/>
        <w:tblInd w:w="108" w:type="dxa"/>
        <w:tblLook w:val="0000" w:firstRow="0" w:lastRow="0" w:firstColumn="0" w:lastColumn="0" w:noHBand="0" w:noVBand="0"/>
      </w:tblPr>
      <w:tblGrid>
        <w:gridCol w:w="3119"/>
        <w:gridCol w:w="709"/>
        <w:gridCol w:w="2682"/>
        <w:gridCol w:w="1695"/>
      </w:tblGrid>
      <w:tr w:rsidR="005F3DF2" w:rsidRPr="00302804" w:rsidTr="00E645FE">
        <w:trPr>
          <w:trHeight w:val="328"/>
        </w:trPr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Child factors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Column %</w:t>
            </w: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Birthweight</w:t>
            </w:r>
            <w:proofErr w:type="spellEnd"/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</w:p>
          <w:p w:rsidR="005F3DF2" w:rsidRPr="00302804" w:rsidRDefault="005F3DF2" w:rsidP="00E645FE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&lt;  2500g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3DF2" w:rsidRPr="00302804" w:rsidRDefault="005F3DF2" w:rsidP="00E645F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6.6</w:t>
            </w: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≥ 2500g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93.4</w:t>
            </w: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Gestational age                          </w:t>
            </w:r>
          </w:p>
          <w:p w:rsidR="005F3DF2" w:rsidRPr="00302804" w:rsidRDefault="005F3DF2" w:rsidP="00E645FE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&lt;  37 weeks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8.4</w:t>
            </w: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≥  37 weeks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91.6</w:t>
            </w: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Gender                                         </w:t>
            </w:r>
          </w:p>
          <w:p w:rsidR="005F3DF2" w:rsidRPr="00302804" w:rsidRDefault="005F3DF2" w:rsidP="00E645FE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51.3</w:t>
            </w: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48.7</w:t>
            </w:r>
          </w:p>
        </w:tc>
      </w:tr>
      <w:tr w:rsidR="005F3DF2" w:rsidRPr="00302804" w:rsidTr="00E645FE">
        <w:trPr>
          <w:trHeight w:val="300"/>
        </w:trPr>
        <w:tc>
          <w:tcPr>
            <w:tcW w:w="3828" w:type="dxa"/>
            <w:gridSpan w:val="2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Maternal and family factors </w:t>
            </w: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Maternal age at birth                 </w:t>
            </w:r>
          </w:p>
          <w:p w:rsidR="005F3DF2" w:rsidRPr="00302804" w:rsidRDefault="005F3DF2" w:rsidP="00E645FE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  20 years 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≥  20 years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95.8</w:t>
            </w: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Maternal education                   </w:t>
            </w:r>
          </w:p>
          <w:p w:rsidR="005F3DF2" w:rsidRPr="00302804" w:rsidRDefault="005F3DF2" w:rsidP="00E645FE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  year 12 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54.4</w:t>
            </w: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≥  year 12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45.6</w:t>
            </w:r>
          </w:p>
        </w:tc>
      </w:tr>
      <w:tr w:rsidR="005F3DF2" w:rsidRPr="00302804" w:rsidTr="00E645F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Family income at birth               </w:t>
            </w:r>
          </w:p>
          <w:p w:rsidR="005F3DF2" w:rsidRPr="00302804" w:rsidRDefault="005F3DF2" w:rsidP="00E645FE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&lt;  $12000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11.9</w:t>
            </w:r>
          </w:p>
        </w:tc>
      </w:tr>
      <w:tr w:rsidR="005F3DF2" w:rsidRPr="00302804" w:rsidTr="00E645F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≥  $12000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88.1</w:t>
            </w:r>
          </w:p>
        </w:tc>
      </w:tr>
      <w:tr w:rsidR="005F3DF2" w:rsidRPr="00302804" w:rsidTr="00E645F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Maternal pre-pregnancy BMI   </w:t>
            </w:r>
          </w:p>
          <w:p w:rsidR="005F3DF2" w:rsidRPr="00302804" w:rsidRDefault="005F3DF2" w:rsidP="00E645FE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 25kg/m2    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17.1</w:t>
            </w:r>
          </w:p>
        </w:tc>
      </w:tr>
      <w:tr w:rsidR="005F3DF2" w:rsidRPr="00302804" w:rsidTr="00E645F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  25kg/m2    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82.9</w:t>
            </w:r>
          </w:p>
        </w:tc>
      </w:tr>
      <w:tr w:rsidR="005F3DF2" w:rsidRPr="00302804" w:rsidTr="00E645FE">
        <w:trPr>
          <w:trHeight w:val="347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Breastfeeding stopped by 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Cumulative %</w:t>
            </w: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4 months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29.9</w:t>
            </w: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6 months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39.3</w:t>
            </w: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Other milk introduced before 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4 months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41.5</w:t>
            </w:r>
          </w:p>
        </w:tc>
      </w:tr>
      <w:tr w:rsidR="005F3DF2" w:rsidRPr="00302804" w:rsidTr="00E645FE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6 months</w:t>
            </w:r>
          </w:p>
        </w:tc>
        <w:tc>
          <w:tcPr>
            <w:tcW w:w="709" w:type="dxa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5F3DF2" w:rsidRPr="00302804" w:rsidRDefault="005F3DF2" w:rsidP="00E64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04">
              <w:rPr>
                <w:rFonts w:ascii="Times New Roman" w:eastAsia="Calibri" w:hAnsi="Times New Roman" w:cs="Times New Roman"/>
                <w:sz w:val="20"/>
                <w:szCs w:val="20"/>
              </w:rPr>
              <w:t>54.9</w:t>
            </w:r>
          </w:p>
        </w:tc>
      </w:tr>
    </w:tbl>
    <w:p w:rsidR="005F3DF2" w:rsidRPr="00302804" w:rsidRDefault="005F3DF2" w:rsidP="005F3DF2">
      <w:pPr>
        <w:pBdr>
          <w:top w:val="single" w:sz="4" w:space="1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en-US" w:eastAsia="ja-JP"/>
        </w:rPr>
      </w:pPr>
      <w:r w:rsidRPr="00302804">
        <w:rPr>
          <w:rFonts w:ascii="Times New Roman" w:eastAsia="MS Mincho" w:hAnsi="Times New Roman" w:cs="Times New Roman"/>
          <w:bCs/>
          <w:sz w:val="20"/>
          <w:szCs w:val="20"/>
          <w:lang w:val="en-US" w:eastAsia="ja-JP"/>
        </w:rPr>
        <w:t xml:space="preserve">Complete data available for breastfeeding duration, time other milk introduced, </w:t>
      </w:r>
      <w:r>
        <w:rPr>
          <w:rFonts w:ascii="Times New Roman" w:eastAsia="MS Mincho" w:hAnsi="Times New Roman" w:cs="Times New Roman"/>
          <w:bCs/>
          <w:sz w:val="20"/>
          <w:szCs w:val="20"/>
          <w:lang w:val="en-US" w:eastAsia="ja-JP"/>
        </w:rPr>
        <w:t xml:space="preserve">body mass index </w:t>
      </w:r>
      <w:r w:rsidRPr="00302804">
        <w:rPr>
          <w:rFonts w:ascii="Times New Roman" w:eastAsia="MS Mincho" w:hAnsi="Times New Roman" w:cs="Times New Roman"/>
          <w:bCs/>
          <w:sz w:val="20"/>
          <w:szCs w:val="20"/>
          <w:lang w:val="en-US" w:eastAsia="ja-JP"/>
        </w:rPr>
        <w:t xml:space="preserve">at </w:t>
      </w:r>
      <w:r>
        <w:rPr>
          <w:rFonts w:ascii="Times New Roman" w:eastAsia="MS Mincho" w:hAnsi="Times New Roman" w:cs="Times New Roman"/>
          <w:bCs/>
          <w:sz w:val="20"/>
          <w:szCs w:val="20"/>
          <w:lang w:val="en-US" w:eastAsia="ja-JP"/>
        </w:rPr>
        <w:t>20 years</w:t>
      </w:r>
      <w:r w:rsidRPr="00302804">
        <w:rPr>
          <w:rFonts w:ascii="Times New Roman" w:eastAsia="MS Mincho" w:hAnsi="Times New Roman" w:cs="Times New Roman"/>
          <w:bCs/>
          <w:sz w:val="20"/>
          <w:szCs w:val="20"/>
          <w:lang w:val="en-US" w:eastAsia="ja-JP"/>
        </w:rPr>
        <w:t xml:space="preserve"> and covariates of maternal age and education at birth, family income at birth and maternal pre-pregnancy BMI.</w:t>
      </w:r>
    </w:p>
    <w:p w:rsidR="009B3120" w:rsidRPr="005F3DF2" w:rsidRDefault="009B3120">
      <w:pPr>
        <w:rPr>
          <w:lang w:val="en-US"/>
        </w:rPr>
      </w:pPr>
      <w:bookmarkStart w:id="0" w:name="_GoBack"/>
      <w:bookmarkEnd w:id="0"/>
    </w:p>
    <w:sectPr w:rsidR="009B3120" w:rsidRPr="005F3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C"/>
    <w:rsid w:val="005F3DF2"/>
    <w:rsid w:val="009B3120"/>
    <w:rsid w:val="00D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DF2"/>
    <w:rPr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DF2"/>
    <w:rPr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Company>S.Karger AG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koenigs</dc:creator>
  <cp:keywords/>
  <dc:description/>
  <cp:lastModifiedBy>koenigs</cp:lastModifiedBy>
  <cp:revision>2</cp:revision>
  <dcterms:created xsi:type="dcterms:W3CDTF">2014-06-04T08:47:00Z</dcterms:created>
  <dcterms:modified xsi:type="dcterms:W3CDTF">2014-06-04T08:47:00Z</dcterms:modified>
</cp:coreProperties>
</file>