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06" w:rsidRPr="00F12D9E" w:rsidRDefault="000F1B06" w:rsidP="000F1B06">
      <w:pPr>
        <w:wordWrap/>
        <w:adjustRightInd w:val="0"/>
        <w:snapToGrid w:val="0"/>
        <w:spacing w:line="480" w:lineRule="auto"/>
        <w:contextualSpacing/>
        <w:rPr>
          <w:rFonts w:cs="Times New Roman"/>
          <w:b/>
          <w:sz w:val="22"/>
          <w:lang w:val="en-US"/>
        </w:rPr>
      </w:pPr>
      <w:r w:rsidRPr="00F12D9E">
        <w:rPr>
          <w:rFonts w:cs="Times New Roman"/>
          <w:b/>
          <w:sz w:val="22"/>
          <w:lang w:val="en-US"/>
        </w:rPr>
        <w:t>Supplementary Data</w:t>
      </w:r>
    </w:p>
    <w:p w:rsidR="000F1B06" w:rsidRPr="00F12D9E" w:rsidRDefault="0005354E" w:rsidP="000F1B06">
      <w:pPr>
        <w:wordWrap/>
        <w:adjustRightInd w:val="0"/>
        <w:snapToGrid w:val="0"/>
        <w:spacing w:line="480" w:lineRule="auto"/>
        <w:contextualSpacing/>
        <w:rPr>
          <w:rFonts w:cs="Times New Roman"/>
          <w:b/>
          <w:sz w:val="22"/>
          <w:lang w:val="en-US"/>
        </w:rPr>
      </w:pPr>
      <w:proofErr w:type="gramStart"/>
      <w:r w:rsidRPr="00F12D9E">
        <w:rPr>
          <w:rFonts w:cs="Times New Roman"/>
          <w:b/>
          <w:sz w:val="22"/>
          <w:lang w:val="en-US"/>
        </w:rPr>
        <w:t>S</w:t>
      </w:r>
      <w:r w:rsidRPr="00F12D9E">
        <w:rPr>
          <w:rFonts w:cs="Times New Roman" w:hint="eastAsia"/>
          <w:b/>
          <w:sz w:val="22"/>
          <w:lang w:val="en-US"/>
        </w:rPr>
        <w:t>upplementary</w:t>
      </w:r>
      <w:r w:rsidR="00AB62C8" w:rsidRPr="00F12D9E">
        <w:rPr>
          <w:rFonts w:cs="Times New Roman"/>
          <w:b/>
          <w:sz w:val="22"/>
          <w:lang w:val="en-US"/>
        </w:rPr>
        <w:t xml:space="preserve"> </w:t>
      </w:r>
      <w:r w:rsidRPr="00F12D9E">
        <w:rPr>
          <w:rFonts w:cs="Times New Roman" w:hint="eastAsia"/>
          <w:b/>
          <w:sz w:val="22"/>
          <w:lang w:val="en-US"/>
        </w:rPr>
        <w:t>Table</w:t>
      </w:r>
      <w:r w:rsidR="00AB62C8" w:rsidRPr="00F12D9E">
        <w:rPr>
          <w:rFonts w:cs="Times New Roman"/>
          <w:b/>
          <w:sz w:val="22"/>
          <w:lang w:val="en-US"/>
        </w:rPr>
        <w:t xml:space="preserve"> </w:t>
      </w:r>
      <w:r w:rsidRPr="00F12D9E">
        <w:rPr>
          <w:rFonts w:cs="Times New Roman" w:hint="eastAsia"/>
          <w:b/>
          <w:sz w:val="22"/>
          <w:lang w:val="en-US"/>
        </w:rPr>
        <w:t>1</w:t>
      </w:r>
      <w:r w:rsidR="000F1B06" w:rsidRPr="00F12D9E">
        <w:rPr>
          <w:rFonts w:cs="Times New Roman"/>
          <w:b/>
          <w:sz w:val="22"/>
          <w:lang w:val="en-US"/>
        </w:rPr>
        <w:t>.</w:t>
      </w:r>
      <w:proofErr w:type="gramEnd"/>
      <w:r w:rsidR="000F1B06" w:rsidRPr="00F12D9E">
        <w:rPr>
          <w:rFonts w:cs="Times New Roman"/>
          <w:b/>
          <w:sz w:val="22"/>
          <w:lang w:val="en-US"/>
        </w:rPr>
        <w:t xml:space="preserve"> </w:t>
      </w:r>
      <w:proofErr w:type="spellStart"/>
      <w:r w:rsidR="000F1B06" w:rsidRPr="00F12D9E">
        <w:rPr>
          <w:rFonts w:cs="Times New Roman"/>
          <w:b/>
          <w:sz w:val="22"/>
          <w:lang w:val="en-US"/>
        </w:rPr>
        <w:t>Clinico</w:t>
      </w:r>
      <w:proofErr w:type="spellEnd"/>
      <w:r w:rsidR="000F1B06" w:rsidRPr="00F12D9E">
        <w:rPr>
          <w:rFonts w:cs="Times New Roman"/>
          <w:b/>
          <w:sz w:val="22"/>
          <w:lang w:val="en-US"/>
        </w:rPr>
        <w:t xml:space="preserve">-pathological </w:t>
      </w:r>
      <w:r w:rsidR="00AB62C8" w:rsidRPr="00F12D9E">
        <w:rPr>
          <w:rFonts w:cs="Times New Roman"/>
          <w:b/>
          <w:sz w:val="22"/>
          <w:lang w:val="en-US"/>
        </w:rPr>
        <w:t xml:space="preserve">Factors </w:t>
      </w:r>
      <w:r w:rsidR="00AB62C8" w:rsidRPr="00F12D9E">
        <w:rPr>
          <w:rFonts w:cs="Times New Roman" w:hint="eastAsia"/>
          <w:b/>
          <w:sz w:val="22"/>
          <w:lang w:val="en-US"/>
        </w:rPr>
        <w:t>i</w:t>
      </w:r>
      <w:r w:rsidR="00AB62C8" w:rsidRPr="00F12D9E">
        <w:rPr>
          <w:rFonts w:cs="Times New Roman"/>
          <w:b/>
          <w:sz w:val="22"/>
          <w:lang w:val="en-US"/>
        </w:rPr>
        <w:t xml:space="preserve">n </w:t>
      </w:r>
      <w:r w:rsidR="00AB62C8" w:rsidRPr="00F12D9E">
        <w:rPr>
          <w:rFonts w:cs="Times New Roman" w:hint="eastAsia"/>
          <w:b/>
          <w:sz w:val="22"/>
          <w:lang w:val="en-US"/>
        </w:rPr>
        <w:t>t</w:t>
      </w:r>
      <w:r w:rsidR="00AB62C8" w:rsidRPr="00F12D9E">
        <w:rPr>
          <w:rFonts w:cs="Times New Roman"/>
          <w:b/>
          <w:sz w:val="22"/>
          <w:lang w:val="en-US"/>
        </w:rPr>
        <w:t xml:space="preserve">he Metformin </w:t>
      </w:r>
      <w:r w:rsidR="00AB62C8" w:rsidRPr="00F12D9E">
        <w:rPr>
          <w:rFonts w:cs="Times New Roman" w:hint="eastAsia"/>
          <w:b/>
          <w:sz w:val="22"/>
          <w:lang w:val="en-US"/>
        </w:rPr>
        <w:t>a</w:t>
      </w:r>
      <w:r w:rsidR="00AB62C8" w:rsidRPr="00F12D9E">
        <w:rPr>
          <w:rFonts w:cs="Times New Roman"/>
          <w:b/>
          <w:sz w:val="22"/>
          <w:lang w:val="en-US"/>
        </w:rPr>
        <w:t xml:space="preserve">nd Non-Metformin Subgroups </w:t>
      </w:r>
      <w:r w:rsidR="00AB62C8" w:rsidRPr="00F12D9E">
        <w:rPr>
          <w:rFonts w:cs="Times New Roman" w:hint="eastAsia"/>
          <w:b/>
          <w:sz w:val="22"/>
          <w:lang w:val="en-US"/>
        </w:rPr>
        <w:t>o</w:t>
      </w:r>
      <w:r w:rsidR="00AB62C8" w:rsidRPr="00F12D9E">
        <w:rPr>
          <w:rFonts w:cs="Times New Roman"/>
          <w:b/>
          <w:sz w:val="22"/>
          <w:lang w:val="en-US"/>
        </w:rPr>
        <w:t xml:space="preserve">f Diabetic Patients </w:t>
      </w:r>
      <w:r w:rsidR="00AB62C8" w:rsidRPr="00F12D9E">
        <w:rPr>
          <w:rFonts w:cs="Times New Roman" w:hint="eastAsia"/>
          <w:b/>
          <w:sz w:val="22"/>
          <w:lang w:val="en-US"/>
        </w:rPr>
        <w:t>w</w:t>
      </w:r>
      <w:r w:rsidR="00AB62C8" w:rsidRPr="00F12D9E">
        <w:rPr>
          <w:rFonts w:cs="Times New Roman"/>
          <w:b/>
          <w:sz w:val="22"/>
          <w:lang w:val="en-US"/>
        </w:rPr>
        <w:t>ith Cervical Lymph Node Metastasis</w:t>
      </w:r>
      <w:r w:rsidR="002318E7" w:rsidRPr="00F12D9E">
        <w:rPr>
          <w:rFonts w:cs="Times New Roman" w:hint="eastAsia"/>
          <w:b/>
          <w:sz w:val="22"/>
          <w:lang w:val="en-US"/>
        </w:rPr>
        <w:t xml:space="preserve"> of DTC</w:t>
      </w:r>
    </w:p>
    <w:tbl>
      <w:tblPr>
        <w:tblW w:w="7201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1513"/>
        <w:gridCol w:w="1660"/>
        <w:gridCol w:w="728"/>
      </w:tblGrid>
      <w:tr w:rsidR="00F12D9E" w:rsidRPr="00F12D9E" w:rsidTr="00216A3C">
        <w:trPr>
          <w:trHeight w:val="345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Non-metformin (n = 8)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Metformin</w:t>
            </w:r>
          </w:p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 xml:space="preserve"> (n = 22)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i/>
                <w:iCs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i/>
                <w:iCs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Age (y</w:t>
            </w:r>
            <w:r w:rsidR="005E02FD"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ears</w:t>
            </w: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59.2 ± 5.6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58.8 ± 7.1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0.89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Sex (female)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5 (63)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16 (73)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0.67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BMI (kg/m</w:t>
            </w:r>
            <w:r w:rsidRPr="00F12D9E">
              <w:rPr>
                <w:rFonts w:eastAsia="Malgun Gothic" w:cs="Times New Roman"/>
                <w:kern w:val="0"/>
                <w:sz w:val="20"/>
                <w:szCs w:val="20"/>
                <w:vertAlign w:val="superscript"/>
                <w:lang w:val="en-US"/>
              </w:rPr>
              <w:t>2</w:t>
            </w: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24.9 ± 1.6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25.4 ± 2.0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0.49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Duration of diabetes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5.7 ± 5.5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5.6 ± 5.4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0.96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HbA1c (%)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6.9 ± 0.7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7.4 ± 1.2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0.32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C-peptide (ng/mL)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4.6 ± 2.2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 xml:space="preserve">3.9 ± 3.1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0.67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E51349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S</w:t>
            </w:r>
            <w:r w:rsidR="00014F76"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urgeon</w:t>
            </w: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0.8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 xml:space="preserve"> Surgeon 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7 (88)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15 (68)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 xml:space="preserve"> Surgeon B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1 (12)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3 (14)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 xml:space="preserve"> Surgeon 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4 (18)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76" w:rsidRPr="00F12D9E" w:rsidRDefault="00014F7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Extent of surgery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0.59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EF570D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 xml:space="preserve"> TT with CND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6 (75)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19 (86)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EF570D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 xml:space="preserve"> TT with MRND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2 (25)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 w:hint="eastAsia"/>
                <w:kern w:val="0"/>
                <w:sz w:val="20"/>
                <w:szCs w:val="20"/>
                <w:lang w:val="en-US"/>
              </w:rPr>
              <w:t>3 (14)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0D" w:rsidRPr="00F12D9E" w:rsidRDefault="00EF570D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Tumor size (cm)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1.9 ± 0.8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1.9 ± 0.7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0.85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Histology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ind w:left="1120" w:hanging="400"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ind w:left="1120" w:hanging="400"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NA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 xml:space="preserve"> Classical PTC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8 (100)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22 (100)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ind w:left="1120" w:hanging="400"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Extra-thyroidal extension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7 (88)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15 (68)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0.39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 xml:space="preserve">Tumor at resection margin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3 (38)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5 (23)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0.64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N1b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2 (25)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3 (14)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0.59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Radioiodine remnant ablation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8 (100)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21 (95)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0.99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vertAlign w:val="superscript"/>
                <w:lang w:val="en-US"/>
              </w:rPr>
              <w:t>131</w:t>
            </w: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I dose at ablation (</w:t>
            </w:r>
            <w:proofErr w:type="spellStart"/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mCi</w:t>
            </w:r>
            <w:proofErr w:type="spellEnd"/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132 ± 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126 ± 49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0.69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Tg</w:t>
            </w:r>
            <w:proofErr w:type="spellEnd"/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 xml:space="preserve"> at ablation (µg/L)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32.3 ± 73.8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2.7 ± 4.1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0.29</w:t>
            </w:r>
          </w:p>
        </w:tc>
      </w:tr>
      <w:tr w:rsidR="00F12D9E" w:rsidRPr="00F12D9E" w:rsidTr="00216A3C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Recurrence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3 (38)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2 (9)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B06" w:rsidRPr="00F12D9E" w:rsidRDefault="000F1B06" w:rsidP="00216A3C">
            <w:pPr>
              <w:widowControl/>
              <w:wordWrap/>
              <w:autoSpaceDE/>
              <w:autoSpaceDN/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</w:pPr>
            <w:r w:rsidRPr="00F12D9E">
              <w:rPr>
                <w:rFonts w:eastAsia="Malgun Gothic" w:cs="Times New Roman"/>
                <w:kern w:val="0"/>
                <w:sz w:val="20"/>
                <w:szCs w:val="20"/>
                <w:lang w:val="en-US"/>
              </w:rPr>
              <w:t>0.1</w:t>
            </w:r>
          </w:p>
        </w:tc>
      </w:tr>
    </w:tbl>
    <w:p w:rsidR="000F1B06" w:rsidRPr="00F12D9E" w:rsidRDefault="000F1B06" w:rsidP="000F1B06">
      <w:pPr>
        <w:wordWrap/>
        <w:adjustRightInd w:val="0"/>
        <w:snapToGrid w:val="0"/>
        <w:spacing w:line="480" w:lineRule="auto"/>
        <w:contextualSpacing/>
        <w:rPr>
          <w:rFonts w:eastAsia="Malgun Gothic" w:cs="Times New Roman"/>
          <w:kern w:val="0"/>
          <w:sz w:val="20"/>
          <w:szCs w:val="20"/>
          <w:lang w:val="en-US"/>
        </w:rPr>
      </w:pPr>
      <w:r w:rsidRPr="00F12D9E">
        <w:rPr>
          <w:rFonts w:eastAsia="Malgun Gothic" w:cs="Times New Roman"/>
          <w:kern w:val="0"/>
          <w:sz w:val="20"/>
          <w:szCs w:val="20"/>
          <w:lang w:val="en-US"/>
        </w:rPr>
        <w:t>HbA1c data were available for 27 diabetic patients with lymph node metastasis</w:t>
      </w:r>
      <w:r w:rsidR="002318E7" w:rsidRPr="00F12D9E">
        <w:rPr>
          <w:rFonts w:eastAsia="Malgun Gothic" w:cs="Times New Roman"/>
          <w:kern w:val="0"/>
          <w:sz w:val="20"/>
          <w:szCs w:val="20"/>
          <w:lang w:val="en-US"/>
        </w:rPr>
        <w:t xml:space="preserve"> (90%) including 20 patients (9</w:t>
      </w:r>
      <w:r w:rsidR="002318E7" w:rsidRPr="00F12D9E">
        <w:rPr>
          <w:rFonts w:eastAsia="Malgun Gothic" w:cs="Times New Roman" w:hint="eastAsia"/>
          <w:kern w:val="0"/>
          <w:sz w:val="20"/>
          <w:szCs w:val="20"/>
          <w:lang w:val="en-US"/>
        </w:rPr>
        <w:t>1</w:t>
      </w:r>
      <w:r w:rsidRPr="00F12D9E">
        <w:rPr>
          <w:rFonts w:eastAsia="Malgun Gothic" w:cs="Times New Roman"/>
          <w:kern w:val="0"/>
          <w:sz w:val="20"/>
          <w:szCs w:val="20"/>
          <w:lang w:val="en-US"/>
        </w:rPr>
        <w:t>%) in the metformin subgroup and 7 patients (88%) in the non-metformin subgroup. C-peptide was measured in 16 diabetic patients with lymph node metastasis (53%) including 11 patients (50%) in the metformin subgroup and 5 patients (63%) in the non-metformin subgroup.</w:t>
      </w:r>
    </w:p>
    <w:p w:rsidR="000F1B06" w:rsidRPr="00F12D9E" w:rsidRDefault="000F1B06" w:rsidP="000F1B06">
      <w:pPr>
        <w:wordWrap/>
        <w:adjustRightInd w:val="0"/>
        <w:snapToGrid w:val="0"/>
        <w:spacing w:line="480" w:lineRule="auto"/>
        <w:contextualSpacing/>
        <w:rPr>
          <w:rFonts w:eastAsia="Malgun Gothic" w:cs="Times New Roman"/>
          <w:kern w:val="0"/>
          <w:sz w:val="20"/>
          <w:szCs w:val="20"/>
          <w:lang w:val="en-US"/>
        </w:rPr>
      </w:pPr>
      <w:r w:rsidRPr="00F12D9E">
        <w:rPr>
          <w:rFonts w:eastAsia="Malgun Gothic" w:cs="Times New Roman"/>
          <w:kern w:val="0"/>
          <w:sz w:val="20"/>
          <w:szCs w:val="20"/>
          <w:lang w:val="en-US"/>
        </w:rPr>
        <w:t xml:space="preserve">Continuous variables including age, BMI, time interval between diagnosis of diabetes and surgery, HbA1c, C-peptide, tumor size, </w:t>
      </w:r>
      <w:r w:rsidRPr="00F12D9E">
        <w:rPr>
          <w:rFonts w:eastAsia="Malgun Gothic" w:cs="Times New Roman"/>
          <w:kern w:val="0"/>
          <w:sz w:val="20"/>
          <w:szCs w:val="20"/>
          <w:vertAlign w:val="superscript"/>
          <w:lang w:val="en-US"/>
        </w:rPr>
        <w:t>131</w:t>
      </w:r>
      <w:r w:rsidRPr="00F12D9E">
        <w:rPr>
          <w:rFonts w:eastAsia="Malgun Gothic" w:cs="Times New Roman"/>
          <w:kern w:val="0"/>
          <w:sz w:val="20"/>
          <w:szCs w:val="20"/>
          <w:lang w:val="en-US"/>
        </w:rPr>
        <w:t xml:space="preserve">I dose, and </w:t>
      </w:r>
      <w:r w:rsidRPr="00F12D9E">
        <w:rPr>
          <w:rFonts w:eastAsia="Malgun Gothic" w:cs="Times New Roman" w:hint="eastAsia"/>
          <w:kern w:val="0"/>
          <w:sz w:val="20"/>
          <w:szCs w:val="20"/>
          <w:lang w:val="en-US"/>
        </w:rPr>
        <w:t xml:space="preserve">serum </w:t>
      </w:r>
      <w:r w:rsidRPr="00F12D9E">
        <w:rPr>
          <w:rFonts w:eastAsia="Malgun Gothic" w:cs="Times New Roman"/>
          <w:kern w:val="0"/>
          <w:sz w:val="20"/>
          <w:szCs w:val="20"/>
          <w:lang w:val="en-US"/>
        </w:rPr>
        <w:t>thyroglobulin at ablation are reported as mean ± SD.</w:t>
      </w:r>
    </w:p>
    <w:p w:rsidR="000F1B06" w:rsidRPr="00F12D9E" w:rsidRDefault="000F1B06" w:rsidP="000F1B06">
      <w:pPr>
        <w:wordWrap/>
        <w:adjustRightInd w:val="0"/>
        <w:snapToGrid w:val="0"/>
        <w:spacing w:line="480" w:lineRule="auto"/>
        <w:contextualSpacing/>
        <w:rPr>
          <w:rFonts w:eastAsia="Malgun Gothic" w:cs="Times New Roman"/>
          <w:kern w:val="0"/>
          <w:sz w:val="20"/>
          <w:szCs w:val="20"/>
          <w:lang w:val="en-US"/>
        </w:rPr>
      </w:pPr>
    </w:p>
    <w:p w:rsidR="00607B64" w:rsidRPr="00F12D9E" w:rsidRDefault="000F1B06" w:rsidP="00F359AB">
      <w:pPr>
        <w:wordWrap/>
        <w:adjustRightInd w:val="0"/>
        <w:snapToGrid w:val="0"/>
        <w:spacing w:line="480" w:lineRule="auto"/>
        <w:contextualSpacing/>
        <w:rPr>
          <w:rFonts w:cs="Times New Roman"/>
          <w:b/>
          <w:sz w:val="22"/>
          <w:lang w:val="en-US"/>
        </w:rPr>
      </w:pPr>
      <w:r w:rsidRPr="00F12D9E">
        <w:rPr>
          <w:rFonts w:eastAsia="Malgun Gothic" w:cs="Times New Roman"/>
          <w:kern w:val="0"/>
          <w:sz w:val="20"/>
          <w:szCs w:val="20"/>
          <w:lang w:val="en-US"/>
        </w:rPr>
        <w:t xml:space="preserve">DTC, differentiated thyroid cancer; BMI, body mass index at surgery; </w:t>
      </w:r>
      <w:r w:rsidR="00EF570D" w:rsidRPr="00F12D9E">
        <w:rPr>
          <w:rFonts w:eastAsia="Malgun Gothic" w:cs="Times New Roman" w:hint="eastAsia"/>
          <w:kern w:val="0"/>
          <w:sz w:val="20"/>
          <w:szCs w:val="20"/>
          <w:lang w:val="en-US"/>
        </w:rPr>
        <w:t xml:space="preserve">TT, total thyroidectomy; CND, central </w:t>
      </w:r>
      <w:r w:rsidR="00EF570D" w:rsidRPr="00F12D9E">
        <w:rPr>
          <w:rFonts w:eastAsia="Malgun Gothic" w:cs="Times New Roman" w:hint="eastAsia"/>
          <w:kern w:val="0"/>
          <w:sz w:val="20"/>
          <w:szCs w:val="20"/>
          <w:lang w:val="en-US"/>
        </w:rPr>
        <w:lastRenderedPageBreak/>
        <w:t xml:space="preserve">neck dissection; MRND, modified radical neck dissection; </w:t>
      </w:r>
      <w:r w:rsidRPr="00F12D9E">
        <w:rPr>
          <w:rFonts w:eastAsia="Malgun Gothic" w:cs="Times New Roman"/>
          <w:kern w:val="0"/>
          <w:sz w:val="20"/>
          <w:szCs w:val="20"/>
          <w:lang w:val="en-US"/>
        </w:rPr>
        <w:t>NA, not applicable; PTC, papillary thyroid carcinoma; FTC, follicular thyroid carcinoma; ET</w:t>
      </w:r>
      <w:bookmarkStart w:id="0" w:name="_GoBack"/>
      <w:bookmarkEnd w:id="0"/>
      <w:r w:rsidRPr="00F12D9E">
        <w:rPr>
          <w:rFonts w:eastAsia="Malgun Gothic" w:cs="Times New Roman"/>
          <w:kern w:val="0"/>
          <w:sz w:val="20"/>
          <w:szCs w:val="20"/>
          <w:lang w:val="en-US"/>
        </w:rPr>
        <w:t xml:space="preserve">E, extra-thyroid extension; </w:t>
      </w:r>
      <w:proofErr w:type="spellStart"/>
      <w:r w:rsidRPr="00F12D9E">
        <w:rPr>
          <w:rFonts w:eastAsia="Malgun Gothic" w:cs="Times New Roman"/>
          <w:kern w:val="0"/>
          <w:sz w:val="20"/>
          <w:szCs w:val="20"/>
          <w:lang w:val="en-US"/>
        </w:rPr>
        <w:t>Tg</w:t>
      </w:r>
      <w:proofErr w:type="spellEnd"/>
      <w:r w:rsidRPr="00F12D9E">
        <w:rPr>
          <w:rFonts w:eastAsia="Malgun Gothic" w:cs="Times New Roman"/>
          <w:kern w:val="0"/>
          <w:sz w:val="20"/>
          <w:szCs w:val="20"/>
          <w:lang w:val="en-US"/>
        </w:rPr>
        <w:t>, thyroglobulin.</w:t>
      </w:r>
    </w:p>
    <w:sectPr w:rsidR="00607B64" w:rsidRPr="00F12D9E" w:rsidSect="003D40EF">
      <w:footerReference w:type="default" r:id="rId7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B2" w:rsidRDefault="003A0EB2" w:rsidP="00840349">
      <w:r>
        <w:separator/>
      </w:r>
    </w:p>
  </w:endnote>
  <w:endnote w:type="continuationSeparator" w:id="0">
    <w:p w:rsidR="003A0EB2" w:rsidRDefault="003A0EB2" w:rsidP="0084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EF" w:rsidRDefault="00D3162B">
    <w:pPr>
      <w:pStyle w:val="Fuzeile"/>
    </w:pPr>
    <w:r>
      <w:fldChar w:fldCharType="begin"/>
    </w:r>
    <w:r w:rsidR="00857275">
      <w:instrText xml:space="preserve"> PAGE   \* MERGEFORMAT </w:instrText>
    </w:r>
    <w:r>
      <w:fldChar w:fldCharType="separate"/>
    </w:r>
    <w:r w:rsidR="00F12D9E" w:rsidRPr="00F12D9E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3D40EF" w:rsidRDefault="00F12D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B2" w:rsidRDefault="003A0EB2" w:rsidP="00840349">
      <w:r>
        <w:separator/>
      </w:r>
    </w:p>
  </w:footnote>
  <w:footnote w:type="continuationSeparator" w:id="0">
    <w:p w:rsidR="003A0EB2" w:rsidRDefault="003A0EB2" w:rsidP="0084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9AB"/>
    <w:rsid w:val="00014F76"/>
    <w:rsid w:val="00026186"/>
    <w:rsid w:val="0005354E"/>
    <w:rsid w:val="000F1B06"/>
    <w:rsid w:val="00137DD9"/>
    <w:rsid w:val="001D7C13"/>
    <w:rsid w:val="001F3122"/>
    <w:rsid w:val="00207D72"/>
    <w:rsid w:val="002318E7"/>
    <w:rsid w:val="003831D2"/>
    <w:rsid w:val="003A0EB2"/>
    <w:rsid w:val="003F4BD6"/>
    <w:rsid w:val="00503884"/>
    <w:rsid w:val="00512E89"/>
    <w:rsid w:val="00524548"/>
    <w:rsid w:val="005E02FD"/>
    <w:rsid w:val="00607B64"/>
    <w:rsid w:val="0062055F"/>
    <w:rsid w:val="007E633A"/>
    <w:rsid w:val="00840349"/>
    <w:rsid w:val="00840E76"/>
    <w:rsid w:val="00855CF9"/>
    <w:rsid w:val="00857275"/>
    <w:rsid w:val="009058CE"/>
    <w:rsid w:val="009B76F8"/>
    <w:rsid w:val="00A13AA6"/>
    <w:rsid w:val="00A41DE8"/>
    <w:rsid w:val="00A57DA7"/>
    <w:rsid w:val="00AB62C8"/>
    <w:rsid w:val="00AF065E"/>
    <w:rsid w:val="00B71BC8"/>
    <w:rsid w:val="00C31E69"/>
    <w:rsid w:val="00D3162B"/>
    <w:rsid w:val="00E51349"/>
    <w:rsid w:val="00E73946"/>
    <w:rsid w:val="00EF570D"/>
    <w:rsid w:val="00F12D9E"/>
    <w:rsid w:val="00F3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9AB"/>
    <w:pPr>
      <w:widowControl w:val="0"/>
      <w:wordWrap w:val="0"/>
      <w:autoSpaceDE w:val="0"/>
      <w:autoSpaceDN w:val="0"/>
      <w:jc w:val="both"/>
    </w:pPr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359AB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359AB"/>
    <w:rPr>
      <w:rFonts w:ascii="Times New Roman" w:hAnsi="Times New Roman"/>
      <w:sz w:val="24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F359AB"/>
  </w:style>
  <w:style w:type="paragraph" w:styleId="Kopfzeile">
    <w:name w:val="header"/>
    <w:basedOn w:val="Standard"/>
    <w:link w:val="KopfzeileZchn"/>
    <w:uiPriority w:val="99"/>
    <w:semiHidden/>
    <w:unhideWhenUsed/>
    <w:rsid w:val="000F1B0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1B06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naefp</cp:lastModifiedBy>
  <cp:revision>5</cp:revision>
  <dcterms:created xsi:type="dcterms:W3CDTF">2015-06-19T07:14:00Z</dcterms:created>
  <dcterms:modified xsi:type="dcterms:W3CDTF">2015-07-06T15:22:00Z</dcterms:modified>
</cp:coreProperties>
</file>