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E4C6" w14:textId="4E0D009F" w:rsidR="002001DC" w:rsidRPr="005970D2" w:rsidRDefault="008953F1" w:rsidP="002001DC">
      <w:bookmarkStart w:id="0" w:name="_GoBack"/>
      <w:bookmarkEnd w:id="0"/>
      <w:r w:rsidRPr="001D58CC">
        <w:rPr>
          <w:b/>
        </w:rPr>
        <w:t xml:space="preserve">Suppl. </w:t>
      </w:r>
      <w:r w:rsidR="002001DC" w:rsidRPr="001D58CC">
        <w:rPr>
          <w:b/>
        </w:rPr>
        <w:t>Table 3</w:t>
      </w:r>
      <w:r w:rsidR="001D58CC" w:rsidRPr="001D58CC">
        <w:rPr>
          <w:b/>
        </w:rPr>
        <w:t>.</w:t>
      </w:r>
      <w:r w:rsidR="002001DC" w:rsidRPr="005970D2">
        <w:t xml:space="preserve"> Univariate and stepwise multivariate logistic regression analyses to identify independent variables that have a significant association with the mode of delivery (operative delivery versus spontaneous vaginal delivery).</w:t>
      </w:r>
    </w:p>
    <w:tbl>
      <w:tblPr>
        <w:tblpPr w:leftFromText="141" w:rightFromText="141" w:vertAnchor="text" w:tblpY="1"/>
        <w:tblOverlap w:val="never"/>
        <w:tblW w:w="13325" w:type="dxa"/>
        <w:tblLayout w:type="fixed"/>
        <w:tblLook w:val="01E0" w:firstRow="1" w:lastRow="1" w:firstColumn="1" w:lastColumn="1" w:noHBand="0" w:noVBand="0"/>
      </w:tblPr>
      <w:tblGrid>
        <w:gridCol w:w="2042"/>
        <w:gridCol w:w="4052"/>
        <w:gridCol w:w="1417"/>
        <w:gridCol w:w="284"/>
        <w:gridCol w:w="4393"/>
        <w:gridCol w:w="1137"/>
      </w:tblGrid>
      <w:tr w:rsidR="002001DC" w:rsidRPr="005970D2" w14:paraId="61407158" w14:textId="77777777" w:rsidTr="00A4156B">
        <w:tc>
          <w:tcPr>
            <w:tcW w:w="2042" w:type="dxa"/>
            <w:tcBorders>
              <w:top w:val="single" w:sz="4" w:space="0" w:color="auto"/>
            </w:tcBorders>
          </w:tcPr>
          <w:p w14:paraId="5E274F94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both"/>
              <w:rPr>
                <w:b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4BDD4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  <w:rPr>
                <w:b/>
              </w:rPr>
            </w:pPr>
            <w:r w:rsidRPr="005970D2">
              <w:rPr>
                <w:b/>
              </w:rPr>
              <w:t>Univariate 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93386C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848DF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  <w:rPr>
                <w:b/>
              </w:rPr>
            </w:pPr>
            <w:r w:rsidRPr="005970D2">
              <w:rPr>
                <w:b/>
              </w:rPr>
              <w:t>Multivariate analyses</w:t>
            </w:r>
          </w:p>
        </w:tc>
      </w:tr>
      <w:tr w:rsidR="002001DC" w:rsidRPr="005970D2" w14:paraId="187A75E7" w14:textId="77777777" w:rsidTr="00A4156B">
        <w:tc>
          <w:tcPr>
            <w:tcW w:w="2042" w:type="dxa"/>
            <w:tcBorders>
              <w:bottom w:val="single" w:sz="4" w:space="0" w:color="auto"/>
            </w:tcBorders>
          </w:tcPr>
          <w:p w14:paraId="0049311D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both"/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14:paraId="12EDC77B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Odds ratio</w:t>
            </w:r>
            <w:r w:rsidRPr="005970D2">
              <w:br/>
              <w:t>(95% confidence interval)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0A7806" w14:textId="296A9ED6" w:rsidR="002001DC" w:rsidRPr="005970D2" w:rsidRDefault="00EA1702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 xml:space="preserve">p </w:t>
            </w:r>
            <w:r w:rsidR="002001DC" w:rsidRPr="005970D2">
              <w:t>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7AB6B2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63BB070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Odds ratio</w:t>
            </w:r>
            <w:r w:rsidRPr="005970D2">
              <w:br/>
              <w:t>(95% confidence interval)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3AEC5B61" w14:textId="401D708C" w:rsidR="002001DC" w:rsidRPr="005970D2" w:rsidRDefault="00EA1702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 xml:space="preserve">p </w:t>
            </w:r>
            <w:r w:rsidR="002001DC" w:rsidRPr="005970D2">
              <w:t>value</w:t>
            </w:r>
          </w:p>
        </w:tc>
      </w:tr>
      <w:tr w:rsidR="002001DC" w:rsidRPr="005970D2" w14:paraId="5A9B7867" w14:textId="77777777" w:rsidTr="00A4156B">
        <w:tc>
          <w:tcPr>
            <w:tcW w:w="2042" w:type="dxa"/>
            <w:tcBorders>
              <w:top w:val="single" w:sz="4" w:space="0" w:color="auto"/>
            </w:tcBorders>
          </w:tcPr>
          <w:p w14:paraId="2D09D458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both"/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6D23FB00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611056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BC64EB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7C78759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4451DF8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  <w:tr w:rsidR="002001DC" w:rsidRPr="005970D2" w14:paraId="1F2FD2F9" w14:textId="77777777" w:rsidTr="00A4156B">
        <w:tc>
          <w:tcPr>
            <w:tcW w:w="2042" w:type="dxa"/>
          </w:tcPr>
          <w:p w14:paraId="1966E1EF" w14:textId="77777777" w:rsidR="002001DC" w:rsidRPr="005970D2" w:rsidRDefault="002001DC" w:rsidP="00D84FE7">
            <w:r w:rsidRPr="005970D2">
              <w:t>Subpubic angle</w:t>
            </w:r>
          </w:p>
        </w:tc>
        <w:tc>
          <w:tcPr>
            <w:tcW w:w="4052" w:type="dxa"/>
          </w:tcPr>
          <w:p w14:paraId="1AF6517D" w14:textId="370EF894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0.929 (0.894</w:t>
            </w:r>
            <w:r w:rsidR="00E4181A">
              <w:t>–</w:t>
            </w:r>
            <w:r w:rsidRPr="005970D2">
              <w:t>0.966)</w:t>
            </w:r>
          </w:p>
        </w:tc>
        <w:tc>
          <w:tcPr>
            <w:tcW w:w="1417" w:type="dxa"/>
          </w:tcPr>
          <w:p w14:paraId="76A0DCB5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&lt;0.001</w:t>
            </w:r>
          </w:p>
        </w:tc>
        <w:tc>
          <w:tcPr>
            <w:tcW w:w="284" w:type="dxa"/>
          </w:tcPr>
          <w:p w14:paraId="144003B8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76DB55F9" w14:textId="76173923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0.931 (0.895</w:t>
            </w:r>
            <w:r w:rsidR="00E4181A">
              <w:t>–</w:t>
            </w:r>
            <w:r w:rsidRPr="005970D2">
              <w:t>0.969)</w:t>
            </w:r>
          </w:p>
        </w:tc>
        <w:tc>
          <w:tcPr>
            <w:tcW w:w="1137" w:type="dxa"/>
          </w:tcPr>
          <w:p w14:paraId="577E3122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&lt;0.001</w:t>
            </w:r>
          </w:p>
        </w:tc>
      </w:tr>
      <w:tr w:rsidR="002001DC" w:rsidRPr="005970D2" w14:paraId="7E854F1F" w14:textId="77777777" w:rsidTr="00A4156B">
        <w:tc>
          <w:tcPr>
            <w:tcW w:w="2042" w:type="dxa"/>
          </w:tcPr>
          <w:p w14:paraId="08BD6A56" w14:textId="77777777" w:rsidR="002001DC" w:rsidRPr="005970D2" w:rsidRDefault="002001DC" w:rsidP="00D84FE7">
            <w:r w:rsidRPr="005970D2">
              <w:t>Age (years)</w:t>
            </w:r>
          </w:p>
        </w:tc>
        <w:tc>
          <w:tcPr>
            <w:tcW w:w="4052" w:type="dxa"/>
          </w:tcPr>
          <w:p w14:paraId="65A50A7B" w14:textId="0A60CF9B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1.087 (1.025</w:t>
            </w:r>
            <w:r w:rsidR="00E4181A">
              <w:t>–</w:t>
            </w:r>
            <w:r w:rsidRPr="005970D2">
              <w:t>1.153)</w:t>
            </w:r>
          </w:p>
        </w:tc>
        <w:tc>
          <w:tcPr>
            <w:tcW w:w="1417" w:type="dxa"/>
          </w:tcPr>
          <w:p w14:paraId="078FF517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0.006</w:t>
            </w:r>
          </w:p>
        </w:tc>
        <w:tc>
          <w:tcPr>
            <w:tcW w:w="284" w:type="dxa"/>
          </w:tcPr>
          <w:p w14:paraId="38BA361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5ABAF0AB" w14:textId="5AC021C3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1.083 (1.018</w:t>
            </w:r>
            <w:r w:rsidR="00E4181A">
              <w:t>–</w:t>
            </w:r>
            <w:r w:rsidRPr="005970D2">
              <w:t>1.151)</w:t>
            </w:r>
          </w:p>
        </w:tc>
        <w:tc>
          <w:tcPr>
            <w:tcW w:w="1137" w:type="dxa"/>
          </w:tcPr>
          <w:p w14:paraId="50AFACCF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0.012</w:t>
            </w:r>
          </w:p>
        </w:tc>
      </w:tr>
      <w:tr w:rsidR="002001DC" w:rsidRPr="005970D2" w14:paraId="18E90141" w14:textId="77777777" w:rsidTr="00A4156B">
        <w:tc>
          <w:tcPr>
            <w:tcW w:w="2042" w:type="dxa"/>
          </w:tcPr>
          <w:p w14:paraId="5B3954D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Epidural analgesia</w:t>
            </w:r>
          </w:p>
        </w:tc>
        <w:tc>
          <w:tcPr>
            <w:tcW w:w="4052" w:type="dxa"/>
          </w:tcPr>
          <w:p w14:paraId="4179A52F" w14:textId="71498CC2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2.095 (1.067</w:t>
            </w:r>
            <w:r w:rsidR="00E4181A">
              <w:t>–</w:t>
            </w:r>
            <w:r w:rsidRPr="005970D2">
              <w:t>4.114)</w:t>
            </w:r>
          </w:p>
        </w:tc>
        <w:tc>
          <w:tcPr>
            <w:tcW w:w="1417" w:type="dxa"/>
          </w:tcPr>
          <w:p w14:paraId="72C2E26C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0.032</w:t>
            </w:r>
          </w:p>
        </w:tc>
        <w:tc>
          <w:tcPr>
            <w:tcW w:w="284" w:type="dxa"/>
          </w:tcPr>
          <w:p w14:paraId="39754E15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6441576A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</w:tcPr>
          <w:p w14:paraId="39C36AE7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  <w:tr w:rsidR="002001DC" w:rsidRPr="005970D2" w14:paraId="0F3F14A2" w14:textId="77777777" w:rsidTr="00A4156B">
        <w:tc>
          <w:tcPr>
            <w:tcW w:w="2042" w:type="dxa"/>
          </w:tcPr>
          <w:p w14:paraId="3DE1CC37" w14:textId="1CF62CE0" w:rsidR="002001DC" w:rsidRPr="005970D2" w:rsidRDefault="002001DC" w:rsidP="00EA1702">
            <w:pPr>
              <w:tabs>
                <w:tab w:val="left" w:pos="1291"/>
              </w:tabs>
              <w:spacing w:before="80"/>
            </w:pPr>
            <w:r w:rsidRPr="005970D2">
              <w:t>Birth weight (g)</w:t>
            </w:r>
          </w:p>
        </w:tc>
        <w:tc>
          <w:tcPr>
            <w:tcW w:w="4052" w:type="dxa"/>
          </w:tcPr>
          <w:p w14:paraId="1A643D43" w14:textId="69C66B82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1.000 (0.999</w:t>
            </w:r>
            <w:r w:rsidR="00E4181A">
              <w:t>–</w:t>
            </w:r>
            <w:r w:rsidRPr="005970D2">
              <w:t>1.001)</w:t>
            </w:r>
          </w:p>
        </w:tc>
        <w:tc>
          <w:tcPr>
            <w:tcW w:w="1417" w:type="dxa"/>
          </w:tcPr>
          <w:p w14:paraId="128F00AB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0.905</w:t>
            </w:r>
          </w:p>
        </w:tc>
        <w:tc>
          <w:tcPr>
            <w:tcW w:w="284" w:type="dxa"/>
          </w:tcPr>
          <w:p w14:paraId="131964FC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5043C840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</w:tcPr>
          <w:p w14:paraId="53661BA3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  <w:tr w:rsidR="002001DC" w:rsidRPr="005970D2" w14:paraId="3CB81F90" w14:textId="77777777" w:rsidTr="00A4156B">
        <w:tc>
          <w:tcPr>
            <w:tcW w:w="2042" w:type="dxa"/>
          </w:tcPr>
          <w:p w14:paraId="02074B38" w14:textId="58E848A4" w:rsidR="002001DC" w:rsidRPr="005970D2" w:rsidRDefault="002001DC" w:rsidP="00ED0F45">
            <w:r w:rsidRPr="005970D2">
              <w:t>BMI (kg/m</w:t>
            </w:r>
            <w:r w:rsidR="00ED0F45" w:rsidRPr="00ED0F45">
              <w:rPr>
                <w:vertAlign w:val="superscript"/>
              </w:rPr>
              <w:t>2</w:t>
            </w:r>
            <w:r w:rsidRPr="005970D2">
              <w:t>)</w:t>
            </w:r>
          </w:p>
        </w:tc>
        <w:tc>
          <w:tcPr>
            <w:tcW w:w="4052" w:type="dxa"/>
          </w:tcPr>
          <w:p w14:paraId="6CDD57F1" w14:textId="267F24F0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0.942 (0.865</w:t>
            </w:r>
            <w:r w:rsidR="00E4181A">
              <w:t>–</w:t>
            </w:r>
            <w:r w:rsidRPr="005970D2">
              <w:t>1.026)</w:t>
            </w:r>
          </w:p>
        </w:tc>
        <w:tc>
          <w:tcPr>
            <w:tcW w:w="1417" w:type="dxa"/>
          </w:tcPr>
          <w:p w14:paraId="0283A607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0.170</w:t>
            </w:r>
          </w:p>
        </w:tc>
        <w:tc>
          <w:tcPr>
            <w:tcW w:w="284" w:type="dxa"/>
          </w:tcPr>
          <w:p w14:paraId="0F850D1F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7E55290A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</w:tcPr>
          <w:p w14:paraId="2414601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  <w:tr w:rsidR="002001DC" w:rsidRPr="005970D2" w14:paraId="541D091D" w14:textId="77777777" w:rsidTr="00A4156B">
        <w:tc>
          <w:tcPr>
            <w:tcW w:w="2042" w:type="dxa"/>
          </w:tcPr>
          <w:p w14:paraId="7E9FA7C8" w14:textId="77777777" w:rsidR="002001DC" w:rsidRPr="005970D2" w:rsidRDefault="002001DC" w:rsidP="00D84FE7">
            <w:r w:rsidRPr="005970D2">
              <w:t>Gestational age at delivery</w:t>
            </w:r>
          </w:p>
        </w:tc>
        <w:tc>
          <w:tcPr>
            <w:tcW w:w="4052" w:type="dxa"/>
          </w:tcPr>
          <w:p w14:paraId="4DF4A701" w14:textId="2ABBF74F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1.015 (0.664</w:t>
            </w:r>
            <w:r w:rsidR="00E4181A">
              <w:t>–</w:t>
            </w:r>
            <w:r w:rsidRPr="005970D2">
              <w:t>1.552)</w:t>
            </w:r>
          </w:p>
        </w:tc>
        <w:tc>
          <w:tcPr>
            <w:tcW w:w="1417" w:type="dxa"/>
          </w:tcPr>
          <w:p w14:paraId="3DB7BB3D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0.945</w:t>
            </w:r>
          </w:p>
        </w:tc>
        <w:tc>
          <w:tcPr>
            <w:tcW w:w="284" w:type="dxa"/>
          </w:tcPr>
          <w:p w14:paraId="4C96DFE3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</w:tcPr>
          <w:p w14:paraId="5317E14E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</w:tcPr>
          <w:p w14:paraId="562B3F02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  <w:tr w:rsidR="002001DC" w:rsidRPr="005970D2" w14:paraId="7C087F21" w14:textId="77777777" w:rsidTr="00A4156B">
        <w:tc>
          <w:tcPr>
            <w:tcW w:w="2042" w:type="dxa"/>
            <w:tcBorders>
              <w:bottom w:val="single" w:sz="4" w:space="0" w:color="auto"/>
            </w:tcBorders>
          </w:tcPr>
          <w:p w14:paraId="78F3921F" w14:textId="77777777" w:rsidR="002001DC" w:rsidRPr="005970D2" w:rsidRDefault="002001DC" w:rsidP="00D84FE7">
            <w:r w:rsidRPr="005970D2">
              <w:t>Induction of labor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3339A161" w14:textId="35130DE1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1.176 (0.595</w:t>
            </w:r>
            <w:r w:rsidR="00E4181A">
              <w:t>–</w:t>
            </w:r>
            <w:r w:rsidRPr="005970D2">
              <w:t>2.325)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F0D24A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  <w:r w:rsidRPr="005970D2">
              <w:t>0.641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C048BB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CB324B3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F9396AF" w14:textId="77777777" w:rsidR="002001DC" w:rsidRPr="005970D2" w:rsidRDefault="002001DC" w:rsidP="00D84FE7">
            <w:pPr>
              <w:tabs>
                <w:tab w:val="left" w:pos="1291"/>
              </w:tabs>
              <w:spacing w:before="80"/>
              <w:jc w:val="center"/>
            </w:pPr>
          </w:p>
        </w:tc>
      </w:tr>
    </w:tbl>
    <w:p w14:paraId="6D0200BC" w14:textId="58027BFB" w:rsidR="002001DC" w:rsidRDefault="002001DC" w:rsidP="002001DC">
      <w:r w:rsidRPr="005970D2">
        <w:br w:type="textWrapping" w:clear="all"/>
      </w:r>
    </w:p>
    <w:sectPr w:rsidR="002001DC" w:rsidSect="008F516E">
      <w:pgSz w:w="16840" w:h="11900" w:orient="landscape"/>
      <w:pgMar w:top="1134" w:right="141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CE1F" w14:textId="77777777" w:rsidR="00861D47" w:rsidRDefault="00861D47">
      <w:r>
        <w:separator/>
      </w:r>
    </w:p>
  </w:endnote>
  <w:endnote w:type="continuationSeparator" w:id="0">
    <w:p w14:paraId="1EBC74C6" w14:textId="77777777" w:rsidR="00861D47" w:rsidRDefault="008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B8A2" w14:textId="77777777" w:rsidR="00861D47" w:rsidRDefault="00861D47">
      <w:r>
        <w:separator/>
      </w:r>
    </w:p>
  </w:footnote>
  <w:footnote w:type="continuationSeparator" w:id="0">
    <w:p w14:paraId="2DEE67C1" w14:textId="77777777" w:rsidR="00861D47" w:rsidRDefault="0086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SPA.enl&lt;/item&gt;&lt;item&gt;Modalità.enl&lt;/item&gt;&lt;/Libraries&gt;&lt;/ENLibraries&gt;"/>
  </w:docVars>
  <w:rsids>
    <w:rsidRoot w:val="005C055C"/>
    <w:rsid w:val="0003119C"/>
    <w:rsid w:val="000805AC"/>
    <w:rsid w:val="000B5BD7"/>
    <w:rsid w:val="00113B8C"/>
    <w:rsid w:val="00125323"/>
    <w:rsid w:val="0017585F"/>
    <w:rsid w:val="001D58CC"/>
    <w:rsid w:val="002001DC"/>
    <w:rsid w:val="00232F4D"/>
    <w:rsid w:val="00247755"/>
    <w:rsid w:val="002D582B"/>
    <w:rsid w:val="00333328"/>
    <w:rsid w:val="003B5E2E"/>
    <w:rsid w:val="003E1249"/>
    <w:rsid w:val="0040531D"/>
    <w:rsid w:val="00407242"/>
    <w:rsid w:val="00444A8F"/>
    <w:rsid w:val="00460C32"/>
    <w:rsid w:val="00476250"/>
    <w:rsid w:val="00480867"/>
    <w:rsid w:val="004D448B"/>
    <w:rsid w:val="00531984"/>
    <w:rsid w:val="005970D2"/>
    <w:rsid w:val="005A015B"/>
    <w:rsid w:val="005A760B"/>
    <w:rsid w:val="005C055C"/>
    <w:rsid w:val="00602BA0"/>
    <w:rsid w:val="006039D6"/>
    <w:rsid w:val="006124ED"/>
    <w:rsid w:val="0068400D"/>
    <w:rsid w:val="0069212A"/>
    <w:rsid w:val="007972FD"/>
    <w:rsid w:val="008278B8"/>
    <w:rsid w:val="008479D3"/>
    <w:rsid w:val="00861D47"/>
    <w:rsid w:val="008953F1"/>
    <w:rsid w:val="008A739C"/>
    <w:rsid w:val="008B61BD"/>
    <w:rsid w:val="008F516E"/>
    <w:rsid w:val="00921204"/>
    <w:rsid w:val="009E1CD6"/>
    <w:rsid w:val="00A165B5"/>
    <w:rsid w:val="00A4156B"/>
    <w:rsid w:val="00A444C6"/>
    <w:rsid w:val="00AB2119"/>
    <w:rsid w:val="00AB2997"/>
    <w:rsid w:val="00AC5BAD"/>
    <w:rsid w:val="00BB3F8C"/>
    <w:rsid w:val="00C0486E"/>
    <w:rsid w:val="00C069A6"/>
    <w:rsid w:val="00C35F2B"/>
    <w:rsid w:val="00C37357"/>
    <w:rsid w:val="00C807EC"/>
    <w:rsid w:val="00C80FA7"/>
    <w:rsid w:val="00CA631D"/>
    <w:rsid w:val="00CD355C"/>
    <w:rsid w:val="00CE1A4E"/>
    <w:rsid w:val="00D66185"/>
    <w:rsid w:val="00D67899"/>
    <w:rsid w:val="00D74F38"/>
    <w:rsid w:val="00D86772"/>
    <w:rsid w:val="00DA0412"/>
    <w:rsid w:val="00E14763"/>
    <w:rsid w:val="00E4181A"/>
    <w:rsid w:val="00E64C45"/>
    <w:rsid w:val="00EA1702"/>
    <w:rsid w:val="00ED0F45"/>
    <w:rsid w:val="00ED2638"/>
    <w:rsid w:val="00F84ED8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D2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F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FA7"/>
    <w:rPr>
      <w:rFonts w:ascii="Segoe UI" w:hAnsi="Segoe UI" w:cs="Segoe UI"/>
      <w:sz w:val="18"/>
      <w:szCs w:val="18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412"/>
    <w:rPr>
      <w:b/>
      <w:bCs/>
      <w:lang w:val="en-US" w:eastAsia="en-US"/>
    </w:rPr>
  </w:style>
  <w:style w:type="table" w:styleId="Tabellenraster">
    <w:name w:val="Table Grid"/>
    <w:basedOn w:val="NormaleTabelle"/>
    <w:uiPriority w:val="39"/>
    <w:rsid w:val="0020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3F8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F8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B3F8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F8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F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FA7"/>
    <w:rPr>
      <w:rFonts w:ascii="Segoe UI" w:hAnsi="Segoe UI" w:cs="Segoe UI"/>
      <w:sz w:val="18"/>
      <w:szCs w:val="18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412"/>
    <w:rPr>
      <w:b/>
      <w:bCs/>
      <w:lang w:val="en-US" w:eastAsia="en-US"/>
    </w:rPr>
  </w:style>
  <w:style w:type="table" w:styleId="Tabellenraster">
    <w:name w:val="Table Grid"/>
    <w:basedOn w:val="NormaleTabelle"/>
    <w:uiPriority w:val="39"/>
    <w:rsid w:val="0020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3F8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F8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B3F8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F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15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Youssef</dc:creator>
  <cp:lastModifiedBy>SCHUETZK</cp:lastModifiedBy>
  <cp:revision>14</cp:revision>
  <dcterms:created xsi:type="dcterms:W3CDTF">2015-08-28T06:13:00Z</dcterms:created>
  <dcterms:modified xsi:type="dcterms:W3CDTF">2015-10-29T11:37:00Z</dcterms:modified>
</cp:coreProperties>
</file>