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7C" w:rsidRDefault="0001117C" w:rsidP="000111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material</w:t>
      </w:r>
    </w:p>
    <w:p w:rsidR="0001117C" w:rsidRDefault="0001117C" w:rsidP="000111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</w:t>
      </w:r>
    </w:p>
    <w:p w:rsidR="0001117C" w:rsidRPr="008765B2" w:rsidRDefault="0001117C" w:rsidP="0001117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765B2">
        <w:rPr>
          <w:rFonts w:ascii="Times New Roman" w:hAnsi="Times New Roman" w:cs="Times New Roman"/>
          <w:i/>
          <w:sz w:val="24"/>
          <w:szCs w:val="24"/>
        </w:rPr>
        <w:t>Serious life events analysis</w:t>
      </w:r>
    </w:p>
    <w:p w:rsidR="0001117C" w:rsidRPr="0001117C" w:rsidRDefault="0001117C" w:rsidP="000111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65B2">
        <w:rPr>
          <w:rFonts w:ascii="Times New Roman" w:hAnsi="Times New Roman" w:cs="Times New Roman"/>
          <w:sz w:val="24"/>
          <w:szCs w:val="24"/>
        </w:rPr>
        <w:t>Questions regarding adverse life events during pregnancy and during the child´s first two months of life were found in the two-month questionnaire</w:t>
      </w:r>
      <w:r w:rsidRPr="009B687F">
        <w:rPr>
          <w:rFonts w:ascii="Times New Roman" w:hAnsi="Times New Roman" w:cs="Times New Roman"/>
          <w:sz w:val="24"/>
          <w:szCs w:val="24"/>
        </w:rPr>
        <w:t>.</w:t>
      </w:r>
      <w:r w:rsidR="009C05B0">
        <w:rPr>
          <w:rFonts w:ascii="Times New Roman" w:hAnsi="Times New Roman" w:cs="Times New Roman"/>
          <w:sz w:val="24"/>
          <w:szCs w:val="24"/>
        </w:rPr>
        <w:t xml:space="preserve"> </w:t>
      </w:r>
      <w:r w:rsidRPr="0001117C">
        <w:rPr>
          <w:rFonts w:ascii="Times New Roman" w:hAnsi="Times New Roman" w:cs="Times New Roman"/>
          <w:sz w:val="24"/>
          <w:szCs w:val="24"/>
        </w:rPr>
        <w:t xml:space="preserve">The question "Did you experience anything that you would consider to be a severe life event during pregnancy or after the child´s birth" was followed by eight options with tick boxes for "During pregnancy" and "After pregnancy". Choices were available for: "Death of close relative"; "Severe disease in the family"; "Serious accident in family"; "Own divorce or separation"; "Been subjected to violence"; "Lost employment"; "Husband/Partner lost employment"; "Serious conflict with the child´s father or other significant person". </w:t>
      </w:r>
    </w:p>
    <w:p w:rsidR="00047BFF" w:rsidRDefault="00047BFF"/>
    <w:sectPr w:rsidR="00047B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A"/>
    <w:rsid w:val="0001117C"/>
    <w:rsid w:val="00047BFF"/>
    <w:rsid w:val="009C05B0"/>
    <w:rsid w:val="009C185A"/>
    <w:rsid w:val="00D23DB0"/>
    <w:rsid w:val="00D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B216-6633-447A-81F5-90F01EB4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01117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117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117C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32691B51</Template>
  <TotalTime>1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med-bij</dc:creator>
  <cp:keywords/>
  <dc:description/>
  <cp:lastModifiedBy>Jonsdottir Berglind</cp:lastModifiedBy>
  <cp:revision>2</cp:revision>
  <dcterms:created xsi:type="dcterms:W3CDTF">2017-07-18T11:54:00Z</dcterms:created>
  <dcterms:modified xsi:type="dcterms:W3CDTF">2017-07-18T11:54:00Z</dcterms:modified>
</cp:coreProperties>
</file>