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5E" w:rsidRDefault="00DA305E">
      <w:pPr>
        <w:spacing w:line="300" w:lineRule="atLeast"/>
        <w:ind w:left="720" w:hanging="360"/>
        <w:rPr>
          <w:b/>
        </w:rPr>
      </w:pPr>
    </w:p>
    <w:p w:rsidR="00BB092F" w:rsidRPr="00D75553" w:rsidRDefault="00BB092F" w:rsidP="00BB092F">
      <w:pPr>
        <w:spacing w:line="480" w:lineRule="auto"/>
        <w:jc w:val="both"/>
        <w:rPr>
          <w:rFonts w:ascii="Times" w:hAnsi="Times" w:cs="Arial"/>
          <w:b/>
          <w:szCs w:val="28"/>
        </w:rPr>
      </w:pPr>
      <w:r w:rsidRPr="00D75553">
        <w:rPr>
          <w:rFonts w:ascii="Times" w:hAnsi="Times" w:cs="Arial"/>
          <w:b/>
          <w:szCs w:val="28"/>
        </w:rPr>
        <w:t xml:space="preserve">Methods </w:t>
      </w:r>
    </w:p>
    <w:p w:rsidR="00BB092F" w:rsidRDefault="00BB092F" w:rsidP="00BB092F">
      <w:pPr>
        <w:spacing w:line="480" w:lineRule="auto"/>
        <w:jc w:val="both"/>
      </w:pPr>
      <w:r w:rsidRPr="00D75553">
        <w:rPr>
          <w:rFonts w:ascii="Times" w:hAnsi="Times" w:cs="Arial"/>
          <w:i/>
          <w:szCs w:val="28"/>
        </w:rPr>
        <w:t xml:space="preserve">Mice.  </w:t>
      </w:r>
      <w:r w:rsidRPr="00D75553">
        <w:rPr>
          <w:rFonts w:ascii="Times" w:hAnsi="Times" w:cs="Arial"/>
          <w:szCs w:val="28"/>
        </w:rPr>
        <w:t xml:space="preserve"> All mice used in this study were on a C57BL/6 genetic background. Female C57BL/6 wild type (WT) mice were purchased from NCI</w:t>
      </w:r>
      <w:r>
        <w:rPr>
          <w:rFonts w:ascii="Times" w:hAnsi="Times" w:cs="Arial"/>
          <w:szCs w:val="28"/>
        </w:rPr>
        <w:t xml:space="preserve">. The </w:t>
      </w:r>
      <w:r w:rsidRPr="00D75553">
        <w:rPr>
          <w:rFonts w:ascii="Times" w:hAnsi="Times" w:cs="Arial"/>
          <w:i/>
          <w:szCs w:val="28"/>
        </w:rPr>
        <w:t>Id3</w:t>
      </w:r>
      <w:r w:rsidRPr="00D75553">
        <w:rPr>
          <w:rFonts w:ascii="Times" w:hAnsi="Times" w:cs="Arial"/>
          <w:szCs w:val="28"/>
          <w:vertAlign w:val="superscript"/>
        </w:rPr>
        <w:t>-/-</w:t>
      </w:r>
      <w:r w:rsidRPr="00D75553">
        <w:rPr>
          <w:rFonts w:ascii="Times" w:hAnsi="Times" w:cs="Arial"/>
          <w:szCs w:val="28"/>
        </w:rPr>
        <w:t xml:space="preserve"> mice were </w:t>
      </w:r>
      <w:r>
        <w:rPr>
          <w:rFonts w:ascii="Times" w:hAnsi="Times" w:cs="Arial"/>
          <w:szCs w:val="28"/>
        </w:rPr>
        <w:t>obtained from Dr. Yuan Zhuang from Duke University  backcrossed to C57BL/6 mice for 11 generations and the purity of the line confirmed to be &gt;</w:t>
      </w:r>
      <w:r w:rsidR="00452629">
        <w:rPr>
          <w:rFonts w:ascii="Times" w:hAnsi="Times" w:cs="Arial"/>
          <w:szCs w:val="28"/>
        </w:rPr>
        <w:t>99% by microsatellite mapping [5</w:t>
      </w:r>
      <w:r>
        <w:rPr>
          <w:rFonts w:ascii="Times" w:hAnsi="Times" w:cs="Arial"/>
          <w:szCs w:val="28"/>
        </w:rPr>
        <w:t>]. The mice were bred</w:t>
      </w:r>
      <w:r w:rsidRPr="00D75553">
        <w:rPr>
          <w:rFonts w:ascii="Times" w:hAnsi="Times" w:cs="Arial"/>
          <w:szCs w:val="28"/>
        </w:rPr>
        <w:t xml:space="preserve"> at the University of Virginia and housed in specific </w:t>
      </w:r>
      <w:r>
        <w:rPr>
          <w:rFonts w:ascii="Times" w:hAnsi="Times" w:cs="Arial"/>
          <w:szCs w:val="28"/>
        </w:rPr>
        <w:t xml:space="preserve">pathogen free conditions.  </w:t>
      </w:r>
      <w:r w:rsidRPr="00D75553">
        <w:rPr>
          <w:rFonts w:ascii="Times" w:hAnsi="Times" w:cs="Arial"/>
          <w:szCs w:val="28"/>
        </w:rPr>
        <w:t>All procedures followed NIH guidelines for humane use of animals and were approved by the Institutional Animal Care and Use Committee.  Mice were fed either western diet (</w:t>
      </w:r>
      <w:r w:rsidRPr="00D75553">
        <w:t xml:space="preserve">TD.88137, 42% calories from fat, </w:t>
      </w:r>
      <w:r>
        <w:t xml:space="preserve">0.2% cholesterol, </w:t>
      </w:r>
      <w:r w:rsidRPr="00D75553">
        <w:t>Harlan-</w:t>
      </w:r>
      <w:proofErr w:type="spellStart"/>
      <w:r w:rsidRPr="00D75553">
        <w:t>Teklad</w:t>
      </w:r>
      <w:proofErr w:type="spellEnd"/>
      <w:r w:rsidRPr="00D75553">
        <w:t>) or mouse chow (TD 7012, 17% calories from fat</w:t>
      </w:r>
      <w:r>
        <w:t>, 0% cholesterol</w:t>
      </w:r>
      <w:r w:rsidRPr="00D75553">
        <w:t xml:space="preserve">) starting at 6-8wks of age.  Urinary albumin and creatinine in 24 hour urine samples were measured as previously described [6].  </w:t>
      </w:r>
      <w:r>
        <w:t>Terminal bleeds from one cohort of mice was submitted for l</w:t>
      </w:r>
      <w:r w:rsidRPr="00D75553">
        <w:t xml:space="preserve">ipid profile analyses </w:t>
      </w:r>
      <w:r>
        <w:t xml:space="preserve">to the </w:t>
      </w:r>
      <w:r w:rsidRPr="00D75553">
        <w:t xml:space="preserve">University of Virginia Clinical Pathology Laboratories.  </w:t>
      </w:r>
    </w:p>
    <w:p w:rsidR="00BB092F" w:rsidRPr="00D75553" w:rsidRDefault="00BB092F" w:rsidP="00BB092F">
      <w:pPr>
        <w:spacing w:line="480" w:lineRule="auto"/>
        <w:jc w:val="both"/>
      </w:pPr>
    </w:p>
    <w:p w:rsidR="00BB092F" w:rsidRPr="00D75553" w:rsidRDefault="00BB092F" w:rsidP="00BB092F">
      <w:pPr>
        <w:spacing w:line="480" w:lineRule="auto"/>
        <w:jc w:val="both"/>
        <w:rPr>
          <w:rFonts w:ascii="Times" w:hAnsi="Times"/>
        </w:rPr>
      </w:pPr>
      <w:r w:rsidRPr="00D75553">
        <w:rPr>
          <w:i/>
        </w:rPr>
        <w:t xml:space="preserve">Evaluation of renal pathology and inflammatory cells: </w:t>
      </w:r>
      <w:r w:rsidRPr="00D75553">
        <w:t xml:space="preserve"> Mice were sacrificed after either 8wks or 15wks on diet and kidneys were studied for renal pathology, </w:t>
      </w:r>
      <w:proofErr w:type="spellStart"/>
      <w:r w:rsidRPr="00D75553">
        <w:t>fibronectin</w:t>
      </w:r>
      <w:proofErr w:type="spellEnd"/>
      <w:r w:rsidRPr="00D75553">
        <w:t xml:space="preserve"> deposition, and immune cell infiltration [6, 12].</w:t>
      </w:r>
      <w:r>
        <w:t xml:space="preserve">  Each glomerulus in one cross section of the kidney (n=42-109/mouse) was evaluated for pathology and scored 0 for normal,  and 1 for mild, focal, mesangial involvement, 2 diffuse glomerular involvement of increasing severity and 3 indicating severe mesangial and/or peripheral capillary loop involvement with or without crescents. Presence of chronic changes including </w:t>
      </w:r>
      <w:proofErr w:type="spellStart"/>
      <w:r>
        <w:t>glomerulosclerosis</w:t>
      </w:r>
      <w:proofErr w:type="spellEnd"/>
      <w:r>
        <w:t xml:space="preserve"> / fibrosis was also evaluated. Severity of glomerular pathology is a sum of glomerular severity score multiplied by percent glomeruli affected. </w:t>
      </w:r>
      <w:r w:rsidRPr="00D75553">
        <w:rPr>
          <w:rFonts w:ascii="Times" w:hAnsi="Times"/>
        </w:rPr>
        <w:t xml:space="preserve">Quantitative analysis for </w:t>
      </w:r>
      <w:proofErr w:type="spellStart"/>
      <w:r w:rsidRPr="00D75553">
        <w:rPr>
          <w:rFonts w:ascii="Times" w:hAnsi="Times"/>
        </w:rPr>
        <w:t>fibronectin</w:t>
      </w:r>
      <w:proofErr w:type="spellEnd"/>
      <w:r w:rsidRPr="00D75553">
        <w:rPr>
          <w:rFonts w:ascii="Times" w:hAnsi="Times"/>
        </w:rPr>
        <w:t xml:space="preserve"> deposition and immune cell infiltration was carried out by stereology [13, 14] and detailed methods are described in supplemental data. </w:t>
      </w:r>
    </w:p>
    <w:p w:rsidR="00BB092F" w:rsidRPr="00D75553" w:rsidRDefault="00BB092F" w:rsidP="00BB092F">
      <w:pPr>
        <w:spacing w:line="480" w:lineRule="auto"/>
        <w:jc w:val="both"/>
        <w:rPr>
          <w:i/>
        </w:rPr>
      </w:pPr>
    </w:p>
    <w:p w:rsidR="00BB092F" w:rsidRDefault="00BB092F" w:rsidP="00BB092F">
      <w:pPr>
        <w:spacing w:line="480" w:lineRule="auto"/>
        <w:jc w:val="both"/>
      </w:pPr>
      <w:r w:rsidRPr="00D75553">
        <w:rPr>
          <w:i/>
        </w:rPr>
        <w:t xml:space="preserve">Treatment of mesangial cells with oxidized phospholipids.  </w:t>
      </w:r>
      <w:r w:rsidRPr="00D75553">
        <w:t>Primary mesangial cell lines were generated from glomerular isolates using standard methods [15] and used after 5</w:t>
      </w:r>
      <w:r w:rsidRPr="00D75553">
        <w:rPr>
          <w:vertAlign w:val="superscript"/>
        </w:rPr>
        <w:t>th</w:t>
      </w:r>
      <w:r w:rsidRPr="00D75553">
        <w:t xml:space="preserve"> passage.  The cells (5x10</w:t>
      </w:r>
      <w:r w:rsidRPr="00D75553">
        <w:rPr>
          <w:vertAlign w:val="superscript"/>
        </w:rPr>
        <w:t>4</w:t>
      </w:r>
      <w:r w:rsidRPr="00D75553">
        <w:t>cells/well) were cultured in RPMI medium with 0.5% low lipid fetal calf serum for 24 hrs</w:t>
      </w:r>
      <w:r>
        <w:t>.  To stimulate with oxidized phospholipids, O</w:t>
      </w:r>
      <w:proofErr w:type="spellStart"/>
      <w:r w:rsidRPr="00D75553">
        <w:rPr>
          <w:rStyle w:val="st1"/>
          <w:color w:val="222222"/>
          <w:lang w:val="en"/>
        </w:rPr>
        <w:t>xidized</w:t>
      </w:r>
      <w:proofErr w:type="spellEnd"/>
      <w:r w:rsidRPr="00D75553">
        <w:rPr>
          <w:rStyle w:val="st1"/>
          <w:color w:val="222222"/>
          <w:lang w:val="en"/>
        </w:rPr>
        <w:t xml:space="preserve"> 1-palmitoyl-2-arachidonoyl-sn-glycero-3-phosphocholine</w:t>
      </w:r>
      <w:r w:rsidRPr="00D75553">
        <w:t xml:space="preserve"> (</w:t>
      </w:r>
      <w:proofErr w:type="spellStart"/>
      <w:r w:rsidRPr="00D75553">
        <w:t>oxPAPC</w:t>
      </w:r>
      <w:proofErr w:type="spellEnd"/>
      <w:r w:rsidRPr="00D75553">
        <w:t>), an active principle of minimally modified Low Density Lipoproteins (LDL)</w:t>
      </w:r>
      <w:proofErr w:type="gramStart"/>
      <w:r>
        <w:t>,  was</w:t>
      </w:r>
      <w:proofErr w:type="gramEnd"/>
      <w:r>
        <w:t xml:space="preserve"> reconstituted in RPMI and added to the wells. Control wells received media alone.  </w:t>
      </w:r>
      <w:proofErr w:type="spellStart"/>
      <w:proofErr w:type="gramStart"/>
      <w:r>
        <w:t>oxPAPC</w:t>
      </w:r>
      <w:proofErr w:type="spellEnd"/>
      <w:proofErr w:type="gramEnd"/>
      <w:r>
        <w:t xml:space="preserve"> was  a gift from Dr. Norbert </w:t>
      </w:r>
      <w:proofErr w:type="spellStart"/>
      <w:r>
        <w:t>Letinger</w:t>
      </w:r>
      <w:proofErr w:type="spellEnd"/>
      <w:r>
        <w:t xml:space="preserve">, University of Virginia </w:t>
      </w:r>
      <w:r w:rsidRPr="00D75553">
        <w:t>[16].</w:t>
      </w:r>
      <w:r>
        <w:t xml:space="preserve">  After 24 </w:t>
      </w:r>
      <w:proofErr w:type="spellStart"/>
      <w:r>
        <w:t>hrs</w:t>
      </w:r>
      <w:proofErr w:type="spellEnd"/>
      <w:r>
        <w:t xml:space="preserve"> of incubation, supernatants were collected from each well and c</w:t>
      </w:r>
      <w:r w:rsidRPr="00D75553">
        <w:t xml:space="preserve">hemokines and cytokines in </w:t>
      </w:r>
      <w:r>
        <w:t xml:space="preserve">the </w:t>
      </w:r>
      <w:r w:rsidRPr="00D75553">
        <w:t xml:space="preserve">supernatants were measured using the </w:t>
      </w:r>
      <w:bookmarkStart w:id="0" w:name="OLE_LINK1"/>
      <w:r w:rsidRPr="00D75553">
        <w:t>Mouse Grp1 23-plex and Grp2 9-plex Bio-</w:t>
      </w:r>
      <w:proofErr w:type="spellStart"/>
      <w:r w:rsidRPr="00D75553">
        <w:t>Plex</w:t>
      </w:r>
      <w:proofErr w:type="spellEnd"/>
      <w:r w:rsidRPr="00D75553">
        <w:t xml:space="preserve"> suspension array system (Bio-Rad)</w:t>
      </w:r>
      <w:bookmarkEnd w:id="0"/>
      <w:r w:rsidRPr="00D75553">
        <w:t>.</w:t>
      </w:r>
      <w:r w:rsidRPr="00D75553">
        <w:rPr>
          <w:b/>
        </w:rPr>
        <w:t xml:space="preserve">  </w:t>
      </w:r>
      <w:r>
        <w:t xml:space="preserve">These experiments were repeated twice using independently generated mesangial cell lines from Id3-/- and WT mice. In the repeat experiments, </w:t>
      </w:r>
      <w:r w:rsidRPr="00D75553">
        <w:t>CXCL1 measurements were carried out by ELISA (R&amp;D systems).</w:t>
      </w:r>
      <w:r w:rsidRPr="00D75553">
        <w:rPr>
          <w:b/>
        </w:rPr>
        <w:t xml:space="preserve"> </w:t>
      </w:r>
      <w:r>
        <w:rPr>
          <w:b/>
        </w:rPr>
        <w:t xml:space="preserve">  </w:t>
      </w:r>
    </w:p>
    <w:p w:rsidR="00BB092F" w:rsidRPr="006D2B26" w:rsidRDefault="00BB092F" w:rsidP="00BB092F">
      <w:pPr>
        <w:spacing w:line="480" w:lineRule="auto"/>
        <w:jc w:val="both"/>
        <w:rPr>
          <w:rFonts w:ascii="Times" w:hAnsi="Times" w:cs="Arial"/>
          <w:i/>
          <w:szCs w:val="28"/>
        </w:rPr>
      </w:pPr>
    </w:p>
    <w:p w:rsidR="00BB092F" w:rsidRDefault="00BB092F" w:rsidP="00BB092F">
      <w:pPr>
        <w:spacing w:line="480" w:lineRule="auto"/>
        <w:jc w:val="both"/>
      </w:pPr>
      <w:r w:rsidRPr="00D75553">
        <w:rPr>
          <w:rFonts w:ascii="Times" w:hAnsi="Times" w:cs="Arial"/>
          <w:i/>
          <w:szCs w:val="28"/>
        </w:rPr>
        <w:t>Gene expression analyses in mesangial cell lines</w:t>
      </w:r>
      <w:r>
        <w:rPr>
          <w:rFonts w:ascii="Times" w:hAnsi="Times" w:cs="Arial"/>
          <w:i/>
          <w:szCs w:val="28"/>
        </w:rPr>
        <w:t xml:space="preserve"> and isolated glomeruli</w:t>
      </w:r>
      <w:r w:rsidRPr="00D75553">
        <w:rPr>
          <w:rFonts w:ascii="Times" w:hAnsi="Times" w:cs="Arial"/>
          <w:i/>
          <w:szCs w:val="28"/>
        </w:rPr>
        <w:t>:</w:t>
      </w:r>
      <w:r w:rsidRPr="00D75553">
        <w:rPr>
          <w:rFonts w:ascii="Times" w:hAnsi="Times" w:cs="Arial"/>
          <w:szCs w:val="28"/>
        </w:rPr>
        <w:t xml:space="preserve"> </w:t>
      </w:r>
      <w:r w:rsidR="00452629" w:rsidRPr="006D2B26">
        <w:t xml:space="preserve">For gene expression analysis, the </w:t>
      </w:r>
      <w:r w:rsidR="00452629">
        <w:t xml:space="preserve">mesangial </w:t>
      </w:r>
      <w:r w:rsidR="00452629" w:rsidRPr="006D2B26">
        <w:t xml:space="preserve">cells were harvested in RLT buffer and RNA was isolated using RNA </w:t>
      </w:r>
      <w:proofErr w:type="spellStart"/>
      <w:r w:rsidR="00452629" w:rsidRPr="006D2B26">
        <w:t>easykit</w:t>
      </w:r>
      <w:proofErr w:type="spellEnd"/>
      <w:r w:rsidR="00452629" w:rsidRPr="006D2B26">
        <w:t xml:space="preserve"> (</w:t>
      </w:r>
      <w:proofErr w:type="spellStart"/>
      <w:r w:rsidR="00452629" w:rsidRPr="006D2B26">
        <w:t>Qiagen</w:t>
      </w:r>
      <w:proofErr w:type="spellEnd"/>
      <w:r w:rsidR="00452629" w:rsidRPr="006D2B26">
        <w:t xml:space="preserve">) and followed by cDNA synthesis using </w:t>
      </w:r>
      <w:proofErr w:type="spellStart"/>
      <w:r w:rsidR="00452629" w:rsidRPr="006D2B26">
        <w:t>QuantiTect</w:t>
      </w:r>
      <w:proofErr w:type="spellEnd"/>
      <w:r w:rsidR="00452629" w:rsidRPr="006D2B26">
        <w:t xml:space="preserve"> Reverse Transcription kit (</w:t>
      </w:r>
      <w:proofErr w:type="spellStart"/>
      <w:r w:rsidR="00452629" w:rsidRPr="006D2B26">
        <w:t>Qiagen</w:t>
      </w:r>
      <w:proofErr w:type="spellEnd"/>
      <w:r w:rsidR="00452629" w:rsidRPr="006D2B26">
        <w:t xml:space="preserve">) [17].  </w:t>
      </w:r>
      <w:r>
        <w:rPr>
          <w:rFonts w:ascii="Times" w:hAnsi="Times" w:cs="Arial"/>
          <w:szCs w:val="28"/>
        </w:rPr>
        <w:t>CXCL1 g</w:t>
      </w:r>
      <w:r w:rsidRPr="00D75553">
        <w:t xml:space="preserve">ene expression was analyzed by real time PCR </w:t>
      </w:r>
      <w:proofErr w:type="spellStart"/>
      <w:r w:rsidRPr="00D75553">
        <w:t>Taqman</w:t>
      </w:r>
      <w:proofErr w:type="spellEnd"/>
      <w:r w:rsidRPr="00D75553">
        <w:t xml:space="preserve"> gene expression assays (Applied </w:t>
      </w:r>
      <w:proofErr w:type="spellStart"/>
      <w:r w:rsidRPr="00D75553">
        <w:t>Biosystems</w:t>
      </w:r>
      <w:proofErr w:type="spellEnd"/>
      <w:r w:rsidRPr="00D75553">
        <w:t>).  Data are represented as fold change over untreated B6 mesangial cell cDNA.  GAPDH was used as a housekeeping gene control.</w:t>
      </w:r>
      <w:r>
        <w:t xml:space="preserve"> </w:t>
      </w:r>
      <w:r w:rsidRPr="00D75553">
        <w:t>Glomerular isolation was carried out as previously described [1</w:t>
      </w:r>
      <w:r w:rsidR="00452629">
        <w:t>8]</w:t>
      </w:r>
      <w:r>
        <w:t xml:space="preserve"> </w:t>
      </w:r>
      <w:r w:rsidR="00452629" w:rsidRPr="006D2B26">
        <w:t>and g</w:t>
      </w:r>
      <w:r w:rsidR="00452629" w:rsidRPr="006D2B26">
        <w:rPr>
          <w:rFonts w:ascii="Times" w:hAnsi="Times" w:cs="Arial"/>
          <w:szCs w:val="28"/>
        </w:rPr>
        <w:t xml:space="preserve">lomerular </w:t>
      </w:r>
      <w:r w:rsidR="00452629" w:rsidRPr="006D2B26">
        <w:t xml:space="preserve">RNA was extracted </w:t>
      </w:r>
      <w:r w:rsidR="00452629" w:rsidRPr="006D2B26">
        <w:rPr>
          <w:rFonts w:ascii="Times" w:hAnsi="Times" w:cs="Arial"/>
          <w:szCs w:val="28"/>
        </w:rPr>
        <w:t xml:space="preserve">using </w:t>
      </w:r>
      <w:proofErr w:type="spellStart"/>
      <w:r w:rsidR="00452629" w:rsidRPr="006D2B26">
        <w:rPr>
          <w:rFonts w:ascii="Times" w:hAnsi="Times" w:cs="Arial"/>
          <w:szCs w:val="28"/>
        </w:rPr>
        <w:t>Picopure</w:t>
      </w:r>
      <w:proofErr w:type="spellEnd"/>
      <w:r w:rsidR="00452629" w:rsidRPr="006D2B26">
        <w:rPr>
          <w:rFonts w:ascii="Times" w:hAnsi="Times" w:cs="Arial"/>
          <w:szCs w:val="28"/>
        </w:rPr>
        <w:t xml:space="preserve"> RNA Isolation kit (Life Technologies)</w:t>
      </w:r>
      <w:r w:rsidR="00452629">
        <w:rPr>
          <w:rFonts w:ascii="Times" w:hAnsi="Times" w:cs="Arial"/>
          <w:szCs w:val="28"/>
        </w:rPr>
        <w:t xml:space="preserve">. </w:t>
      </w:r>
      <w:r w:rsidR="00452629" w:rsidRPr="006D2B26">
        <w:t xml:space="preserve"> </w:t>
      </w:r>
      <w:proofErr w:type="gramStart"/>
      <w:r>
        <w:t>For</w:t>
      </w:r>
      <w:proofErr w:type="gramEnd"/>
      <w:r>
        <w:t xml:space="preserve"> glomerular gene expression, results are presented as relative expression using GAPDH as a housekeeping control. </w:t>
      </w:r>
    </w:p>
    <w:p w:rsidR="00BB092F" w:rsidRPr="003F0E79" w:rsidRDefault="00BB092F" w:rsidP="00BB092F">
      <w:pPr>
        <w:spacing w:line="480" w:lineRule="auto"/>
        <w:jc w:val="both"/>
      </w:pPr>
      <w:r w:rsidRPr="003F0E79">
        <w:rPr>
          <w:i/>
        </w:rPr>
        <w:lastRenderedPageBreak/>
        <w:t>Statistical Analyses</w:t>
      </w:r>
      <w:r>
        <w:rPr>
          <w:i/>
        </w:rPr>
        <w:t xml:space="preserve">: </w:t>
      </w:r>
      <w:r>
        <w:t xml:space="preserve">Statistical analyses were carried out using one way ANOVA with </w:t>
      </w:r>
      <w:proofErr w:type="spellStart"/>
      <w:r>
        <w:t>Bonferroni</w:t>
      </w:r>
      <w:proofErr w:type="spellEnd"/>
      <w:r>
        <w:t xml:space="preserve"> correc</w:t>
      </w:r>
      <w:r w:rsidR="0087589A">
        <w:t xml:space="preserve">tion for multiple comparisons, </w:t>
      </w:r>
      <w:bookmarkStart w:id="1" w:name="_GoBack"/>
      <w:bookmarkEnd w:id="1"/>
      <w:r>
        <w:t xml:space="preserve">two way ANOVA and Mann Whitney test using Graph Pad Prism 3.0 software. </w:t>
      </w:r>
    </w:p>
    <w:p w:rsidR="00BB092F" w:rsidRDefault="00BB092F">
      <w:pPr>
        <w:spacing w:line="300" w:lineRule="atLeast"/>
        <w:ind w:left="720" w:hanging="360"/>
        <w:rPr>
          <w:b/>
        </w:rPr>
      </w:pPr>
      <w:r>
        <w:rPr>
          <w:b/>
        </w:rPr>
        <w:br w:type="page"/>
      </w:r>
    </w:p>
    <w:p w:rsidR="00BB092F" w:rsidRDefault="00BB092F" w:rsidP="005F3C2B">
      <w:pPr>
        <w:jc w:val="both"/>
        <w:rPr>
          <w:b/>
        </w:rPr>
      </w:pPr>
    </w:p>
    <w:p w:rsidR="005F3C2B" w:rsidRDefault="006841B4" w:rsidP="005F3C2B">
      <w:pPr>
        <w:jc w:val="both"/>
      </w:pPr>
      <w:r>
        <w:rPr>
          <w:b/>
        </w:rPr>
        <w:t>Supplementary Table 1</w:t>
      </w:r>
      <w:r w:rsidR="005F3C2B">
        <w:rPr>
          <w:b/>
        </w:rPr>
        <w:t xml:space="preserve">.  </w:t>
      </w:r>
      <w:r w:rsidR="005F3C2B" w:rsidRPr="00B40F36">
        <w:t xml:space="preserve">Body weights, serum lipid profiles and blood glucose in WT and </w:t>
      </w:r>
      <w:r w:rsidR="005F3C2B" w:rsidRPr="00B40F36">
        <w:rPr>
          <w:i/>
        </w:rPr>
        <w:t>Id3</w:t>
      </w:r>
      <w:r w:rsidR="005F3C2B" w:rsidRPr="00B40F36">
        <w:rPr>
          <w:i/>
          <w:vertAlign w:val="superscript"/>
        </w:rPr>
        <w:t>-/-</w:t>
      </w:r>
      <w:r w:rsidR="005F3C2B" w:rsidRPr="00B40F36">
        <w:t xml:space="preserve"> mice on chow or western diets for 8 wks.</w:t>
      </w:r>
    </w:p>
    <w:p w:rsidR="005F3C2B" w:rsidRPr="00B40F36" w:rsidRDefault="005F3C2B" w:rsidP="005F3C2B">
      <w:pPr>
        <w:jc w:val="both"/>
      </w:pPr>
    </w:p>
    <w:tbl>
      <w:tblPr>
        <w:tblW w:w="86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620"/>
        <w:gridCol w:w="1440"/>
        <w:gridCol w:w="1440"/>
      </w:tblGrid>
      <w:tr w:rsidR="005F3C2B" w:rsidRPr="00B40F36" w:rsidTr="00BF5339">
        <w:trPr>
          <w:trHeight w:val="276"/>
          <w:jc w:val="center"/>
        </w:trPr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:rsidR="005F3C2B" w:rsidRPr="00D45BB3" w:rsidRDefault="005F3C2B" w:rsidP="00BF5339">
            <w:pPr>
              <w:jc w:val="both"/>
              <w:rPr>
                <w:b/>
              </w:rPr>
            </w:pPr>
            <w:r w:rsidRPr="00D45BB3">
              <w:rPr>
                <w:b/>
              </w:rPr>
              <w:t>Strain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</w:rPr>
            </w:pPr>
            <w:r w:rsidRPr="00B40F36">
              <w:rPr>
                <w:b/>
              </w:rPr>
              <w:t>WT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</w:rPr>
            </w:pPr>
            <w:r w:rsidRPr="00B40F36">
              <w:rPr>
                <w:b/>
              </w:rPr>
              <w:t>WT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  <w:i/>
                <w:vertAlign w:val="superscript"/>
              </w:rPr>
            </w:pPr>
            <w:r w:rsidRPr="00B40F36">
              <w:rPr>
                <w:b/>
                <w:i/>
              </w:rPr>
              <w:t>Id3</w:t>
            </w:r>
            <w:r w:rsidRPr="00B40F36">
              <w:rPr>
                <w:b/>
                <w:i/>
                <w:vertAlign w:val="superscript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  <w:i/>
                <w:vertAlign w:val="superscript"/>
              </w:rPr>
            </w:pPr>
            <w:r w:rsidRPr="00B40F36">
              <w:rPr>
                <w:b/>
                <w:i/>
              </w:rPr>
              <w:t>Id3</w:t>
            </w:r>
            <w:r w:rsidRPr="00B40F36">
              <w:rPr>
                <w:b/>
                <w:i/>
                <w:vertAlign w:val="superscript"/>
              </w:rPr>
              <w:t>-/-</w:t>
            </w:r>
          </w:p>
        </w:tc>
      </w:tr>
      <w:tr w:rsidR="005F3C2B" w:rsidRPr="00B40F36" w:rsidTr="00BF5339">
        <w:trPr>
          <w:trHeight w:val="276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D45BB3" w:rsidRDefault="005F3C2B" w:rsidP="00BF5339">
            <w:pPr>
              <w:jc w:val="both"/>
              <w:rPr>
                <w:b/>
              </w:rPr>
            </w:pPr>
            <w:r w:rsidRPr="00D45BB3">
              <w:rPr>
                <w:b/>
              </w:rPr>
              <w:t>Diet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</w:rPr>
            </w:pPr>
            <w:r w:rsidRPr="00B40F36">
              <w:rPr>
                <w:b/>
              </w:rPr>
              <w:t>Chow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</w:rPr>
            </w:pPr>
            <w:r w:rsidRPr="00B40F36">
              <w:rPr>
                <w:b/>
              </w:rPr>
              <w:t>Western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  <w:i/>
              </w:rPr>
            </w:pPr>
            <w:r w:rsidRPr="00B40F36">
              <w:rPr>
                <w:b/>
              </w:rPr>
              <w:t>Chow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  <w:rPr>
                <w:b/>
                <w:i/>
              </w:rPr>
            </w:pPr>
            <w:r w:rsidRPr="00B40F36">
              <w:rPr>
                <w:b/>
              </w:rPr>
              <w:t>Western</w:t>
            </w:r>
          </w:p>
        </w:tc>
      </w:tr>
      <w:tr w:rsidR="005F3C2B" w:rsidRPr="00B40F36" w:rsidTr="00BF5339">
        <w:trPr>
          <w:trHeight w:val="413"/>
          <w:jc w:val="center"/>
        </w:trPr>
        <w:tc>
          <w:tcPr>
            <w:tcW w:w="270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Body weight  (</w:t>
            </w:r>
            <w:proofErr w:type="spellStart"/>
            <w:r w:rsidRPr="00B40F36">
              <w:t>gms</w:t>
            </w:r>
            <w:proofErr w:type="spellEnd"/>
            <w:r w:rsidRPr="00B40F36">
              <w:t>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19.9</w:t>
            </w:r>
            <w:r w:rsidRPr="00B40F36">
              <w:rPr>
                <w:u w:val="single"/>
              </w:rPr>
              <w:t xml:space="preserve">+ </w:t>
            </w:r>
            <w:r w:rsidRPr="00B40F36">
              <w:t>0.9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25.4</w:t>
            </w:r>
            <w:r w:rsidRPr="00B40F36">
              <w:rPr>
                <w:u w:val="single"/>
              </w:rPr>
              <w:t>+</w:t>
            </w:r>
            <w:r w:rsidRPr="00B40F36">
              <w:t>0.7</w:t>
            </w:r>
            <w:r w:rsidRPr="00B40F36">
              <w:rPr>
                <w:b/>
              </w:rPr>
              <w:t>*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20.8</w:t>
            </w:r>
            <w:r w:rsidRPr="00B40F36">
              <w:rPr>
                <w:u w:val="single"/>
              </w:rPr>
              <w:t xml:space="preserve">+ </w:t>
            </w:r>
            <w:r w:rsidRPr="00B40F36">
              <w:t>0.3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26.2</w:t>
            </w:r>
            <w:r w:rsidRPr="00B40F36">
              <w:rPr>
                <w:u w:val="single"/>
              </w:rPr>
              <w:t>+</w:t>
            </w:r>
            <w:r w:rsidRPr="00B40F36">
              <w:t>0.7</w:t>
            </w:r>
            <w:r w:rsidRPr="00B40F36">
              <w:rPr>
                <w:b/>
              </w:rPr>
              <w:t>*</w:t>
            </w:r>
          </w:p>
        </w:tc>
      </w:tr>
      <w:tr w:rsidR="005F3C2B" w:rsidRPr="00B40F36" w:rsidTr="00BF5339">
        <w:trPr>
          <w:trHeight w:val="405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(n)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(7)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(14)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(10)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(19)</w:t>
            </w:r>
          </w:p>
        </w:tc>
      </w:tr>
      <w:tr w:rsidR="005F3C2B" w:rsidRPr="00B40F36" w:rsidTr="00BF5339">
        <w:trPr>
          <w:trHeight w:val="276"/>
          <w:jc w:val="center"/>
        </w:trPr>
        <w:tc>
          <w:tcPr>
            <w:tcW w:w="270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Lipid Profile  (mg/</w:t>
            </w:r>
            <w:proofErr w:type="spellStart"/>
            <w:r w:rsidRPr="00B40F36">
              <w:t>dL</w:t>
            </w:r>
            <w:proofErr w:type="spellEnd"/>
            <w:r w:rsidRPr="00B40F36">
              <w:t>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</w:p>
        </w:tc>
      </w:tr>
      <w:tr w:rsidR="005F3C2B" w:rsidRPr="00B40F36" w:rsidTr="00BF5339">
        <w:trPr>
          <w:trHeight w:val="350"/>
          <w:jc w:val="center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total cholesterol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87.4</w:t>
            </w:r>
            <w:r w:rsidRPr="00B40F36">
              <w:rPr>
                <w:u w:val="single"/>
              </w:rPr>
              <w:t>+</w:t>
            </w:r>
            <w:r w:rsidRPr="00B40F36">
              <w:t>4.1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191.2</w:t>
            </w:r>
            <w:r w:rsidRPr="00B40F36">
              <w:rPr>
                <w:u w:val="single"/>
              </w:rPr>
              <w:t>+</w:t>
            </w:r>
            <w:r w:rsidRPr="00B40F36">
              <w:t>5.5</w:t>
            </w:r>
            <w:r w:rsidRPr="00B40F36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82.4</w:t>
            </w:r>
            <w:r w:rsidRPr="00B40F36">
              <w:rPr>
                <w:u w:val="single"/>
              </w:rPr>
              <w:t>+</w:t>
            </w:r>
            <w:r w:rsidRPr="00B40F36">
              <w:t>4.8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181.5</w:t>
            </w:r>
            <w:r w:rsidRPr="00B40F36">
              <w:rPr>
                <w:u w:val="single"/>
              </w:rPr>
              <w:t>+</w:t>
            </w:r>
            <w:r w:rsidRPr="00B40F36">
              <w:t>8.8</w:t>
            </w:r>
            <w:r w:rsidRPr="00B40F36">
              <w:rPr>
                <w:b/>
              </w:rPr>
              <w:t>*</w:t>
            </w:r>
          </w:p>
        </w:tc>
      </w:tr>
      <w:tr w:rsidR="005F3C2B" w:rsidRPr="00B40F36" w:rsidTr="00BF5339">
        <w:trPr>
          <w:trHeight w:val="350"/>
          <w:jc w:val="center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HDL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46.4</w:t>
            </w:r>
            <w:r w:rsidRPr="00B40F36">
              <w:rPr>
                <w:u w:val="single"/>
              </w:rPr>
              <w:t>+</w:t>
            </w:r>
            <w:r w:rsidRPr="00B40F36">
              <w:t>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85.6</w:t>
            </w:r>
            <w:r w:rsidRPr="00B40F36">
              <w:rPr>
                <w:u w:val="single"/>
              </w:rPr>
              <w:t>+</w:t>
            </w:r>
            <w:r w:rsidRPr="00B40F36">
              <w:t>2.2</w:t>
            </w:r>
            <w:r w:rsidRPr="00B40F36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47.6</w:t>
            </w:r>
            <w:r w:rsidRPr="00B40F36">
              <w:rPr>
                <w:u w:val="single"/>
              </w:rPr>
              <w:t>+</w:t>
            </w:r>
            <w:r w:rsidRPr="00B40F36">
              <w:t>2.0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95.3</w:t>
            </w:r>
            <w:r w:rsidRPr="00B40F36">
              <w:rPr>
                <w:u w:val="single"/>
              </w:rPr>
              <w:t>+</w:t>
            </w:r>
            <w:r w:rsidRPr="00B40F36">
              <w:t>4.4</w:t>
            </w:r>
            <w:r w:rsidRPr="00B40F36">
              <w:rPr>
                <w:b/>
              </w:rPr>
              <w:t>*</w:t>
            </w:r>
          </w:p>
        </w:tc>
      </w:tr>
      <w:tr w:rsidR="005F3C2B" w:rsidRPr="00B40F36" w:rsidTr="00BF5339">
        <w:trPr>
          <w:trHeight w:val="350"/>
          <w:jc w:val="center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LDL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26.4</w:t>
            </w:r>
            <w:r w:rsidRPr="00B40F36">
              <w:rPr>
                <w:u w:val="single"/>
              </w:rPr>
              <w:t>+</w:t>
            </w:r>
            <w:r w:rsidRPr="00B40F36">
              <w:t>1.8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95.8</w:t>
            </w:r>
            <w:r w:rsidRPr="00B40F36">
              <w:rPr>
                <w:u w:val="single"/>
              </w:rPr>
              <w:t>+</w:t>
            </w:r>
            <w:r w:rsidRPr="00B40F36">
              <w:t>4.1</w:t>
            </w:r>
            <w:r w:rsidRPr="00B40F36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28.0</w:t>
            </w:r>
            <w:r w:rsidRPr="00B40F36">
              <w:rPr>
                <w:u w:val="single"/>
              </w:rPr>
              <w:t>+</w:t>
            </w:r>
            <w:r w:rsidRPr="00B40F36">
              <w:t>2.5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78.3</w:t>
            </w:r>
            <w:r w:rsidRPr="00B40F36">
              <w:rPr>
                <w:u w:val="single"/>
              </w:rPr>
              <w:t>+</w:t>
            </w:r>
            <w:r w:rsidRPr="00B40F36">
              <w:t>4.4</w:t>
            </w:r>
            <w:r w:rsidRPr="00B40F36">
              <w:rPr>
                <w:b/>
              </w:rPr>
              <w:t>*</w:t>
            </w:r>
          </w:p>
        </w:tc>
      </w:tr>
      <w:tr w:rsidR="005F3C2B" w:rsidRPr="00B40F36" w:rsidTr="00BF5339">
        <w:trPr>
          <w:trHeight w:val="350"/>
          <w:jc w:val="center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Triglycerides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87.8</w:t>
            </w:r>
            <w:r w:rsidRPr="00B40F36">
              <w:rPr>
                <w:u w:val="single"/>
              </w:rPr>
              <w:t>+</w:t>
            </w:r>
            <w:r w:rsidRPr="00B40F36">
              <w:t>22.1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60.0</w:t>
            </w:r>
            <w:r w:rsidRPr="00B40F36">
              <w:rPr>
                <w:u w:val="single"/>
              </w:rPr>
              <w:t>+</w:t>
            </w:r>
            <w:r w:rsidRPr="00B40F36">
              <w:t>8.7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41.8</w:t>
            </w:r>
            <w:r w:rsidRPr="00B40F36">
              <w:rPr>
                <w:u w:val="single"/>
              </w:rPr>
              <w:t>+</w:t>
            </w:r>
            <w:r w:rsidRPr="00B40F36">
              <w:t>4.2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47.3</w:t>
            </w:r>
            <w:r w:rsidRPr="00B40F36">
              <w:rPr>
                <w:u w:val="single"/>
              </w:rPr>
              <w:t>+</w:t>
            </w:r>
            <w:r w:rsidRPr="00B40F36">
              <w:t>4.1</w:t>
            </w:r>
          </w:p>
        </w:tc>
      </w:tr>
      <w:tr w:rsidR="005F3C2B" w:rsidRPr="00B40F36" w:rsidTr="00BF5339">
        <w:trPr>
          <w:trHeight w:val="432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(n)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(5)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(5)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(5)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(6)</w:t>
            </w:r>
          </w:p>
        </w:tc>
      </w:tr>
      <w:tr w:rsidR="005F3C2B" w:rsidRPr="00B40F36" w:rsidTr="00BF5339">
        <w:trPr>
          <w:trHeight w:val="467"/>
          <w:jc w:val="center"/>
        </w:trPr>
        <w:tc>
          <w:tcPr>
            <w:tcW w:w="270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Blood glucose  (mg/</w:t>
            </w:r>
            <w:proofErr w:type="spellStart"/>
            <w:r w:rsidRPr="00B40F36">
              <w:t>dL</w:t>
            </w:r>
            <w:proofErr w:type="spellEnd"/>
            <w:r w:rsidRPr="00B40F36">
              <w:t>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163.8</w:t>
            </w:r>
            <w:r w:rsidRPr="00B40F36">
              <w:rPr>
                <w:u w:val="single"/>
              </w:rPr>
              <w:t>+</w:t>
            </w:r>
            <w:r w:rsidRPr="00B40F36">
              <w:t>4.4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153.4</w:t>
            </w:r>
            <w:r w:rsidRPr="00B40F36">
              <w:rPr>
                <w:u w:val="single"/>
              </w:rPr>
              <w:t>+</w:t>
            </w:r>
            <w:r w:rsidRPr="00B40F36">
              <w:t>11.0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144.5</w:t>
            </w:r>
            <w:r w:rsidRPr="00B40F36">
              <w:rPr>
                <w:u w:val="single"/>
              </w:rPr>
              <w:t>+</w:t>
            </w:r>
            <w:r w:rsidRPr="00B40F36">
              <w:t>9.3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F3C2B" w:rsidRPr="00B40F36" w:rsidRDefault="005F3C2B" w:rsidP="00BF5339">
            <w:pPr>
              <w:jc w:val="both"/>
            </w:pPr>
            <w:r w:rsidRPr="00B40F36">
              <w:t>154</w:t>
            </w:r>
            <w:r w:rsidRPr="00B40F36">
              <w:rPr>
                <w:u w:val="single"/>
              </w:rPr>
              <w:t>+</w:t>
            </w:r>
            <w:r w:rsidRPr="00B40F36">
              <w:t>13.8</w:t>
            </w:r>
          </w:p>
        </w:tc>
      </w:tr>
      <w:tr w:rsidR="005F3C2B" w:rsidRPr="00B40F36" w:rsidTr="00BF5339">
        <w:trPr>
          <w:trHeight w:val="360"/>
          <w:jc w:val="center"/>
        </w:trPr>
        <w:tc>
          <w:tcPr>
            <w:tcW w:w="2700" w:type="dxa"/>
            <w:tcBorders>
              <w:top w:val="nil"/>
            </w:tcBorders>
          </w:tcPr>
          <w:p w:rsidR="005F3C2B" w:rsidRPr="00B40F36" w:rsidRDefault="005F3C2B" w:rsidP="00BF5339">
            <w:pPr>
              <w:jc w:val="both"/>
            </w:pPr>
            <w:r w:rsidRPr="00B40F36">
              <w:t>(n)</w:t>
            </w:r>
          </w:p>
        </w:tc>
        <w:tc>
          <w:tcPr>
            <w:tcW w:w="1440" w:type="dxa"/>
            <w:tcBorders>
              <w:top w:val="nil"/>
            </w:tcBorders>
          </w:tcPr>
          <w:p w:rsidR="005F3C2B" w:rsidRPr="00B40F36" w:rsidRDefault="005F3C2B" w:rsidP="00BF5339">
            <w:pPr>
              <w:jc w:val="both"/>
            </w:pPr>
            <w:r w:rsidRPr="00B40F36">
              <w:t>(5)</w:t>
            </w:r>
          </w:p>
        </w:tc>
        <w:tc>
          <w:tcPr>
            <w:tcW w:w="1620" w:type="dxa"/>
            <w:tcBorders>
              <w:top w:val="nil"/>
            </w:tcBorders>
          </w:tcPr>
          <w:p w:rsidR="005F3C2B" w:rsidRPr="00B40F36" w:rsidRDefault="005F3C2B" w:rsidP="00BF5339">
            <w:pPr>
              <w:jc w:val="both"/>
            </w:pPr>
            <w:r w:rsidRPr="00B40F36">
              <w:t>(5)</w:t>
            </w:r>
          </w:p>
        </w:tc>
        <w:tc>
          <w:tcPr>
            <w:tcW w:w="1440" w:type="dxa"/>
            <w:tcBorders>
              <w:top w:val="nil"/>
            </w:tcBorders>
          </w:tcPr>
          <w:p w:rsidR="005F3C2B" w:rsidRPr="00B40F36" w:rsidRDefault="005F3C2B" w:rsidP="00BF5339">
            <w:pPr>
              <w:jc w:val="both"/>
            </w:pPr>
            <w:r w:rsidRPr="00B40F36">
              <w:t>(4)</w:t>
            </w:r>
          </w:p>
        </w:tc>
        <w:tc>
          <w:tcPr>
            <w:tcW w:w="1440" w:type="dxa"/>
            <w:tcBorders>
              <w:top w:val="nil"/>
            </w:tcBorders>
          </w:tcPr>
          <w:p w:rsidR="005F3C2B" w:rsidRPr="00B40F36" w:rsidRDefault="005F3C2B" w:rsidP="00BF5339">
            <w:pPr>
              <w:jc w:val="both"/>
            </w:pPr>
            <w:r w:rsidRPr="00B40F36">
              <w:t>(5)</w:t>
            </w:r>
          </w:p>
        </w:tc>
      </w:tr>
    </w:tbl>
    <w:p w:rsidR="005F3C2B" w:rsidRPr="00B40F36" w:rsidRDefault="005F3C2B" w:rsidP="005F3C2B">
      <w:pPr>
        <w:jc w:val="both"/>
      </w:pPr>
    </w:p>
    <w:p w:rsidR="005F3C2B" w:rsidRPr="00B40F36" w:rsidRDefault="00460554" w:rsidP="005F3C2B">
      <w:pPr>
        <w:jc w:val="both"/>
      </w:pPr>
      <w:r>
        <w:t xml:space="preserve">All values are </w:t>
      </w:r>
      <w:proofErr w:type="spellStart"/>
      <w:r>
        <w:t>mean</w:t>
      </w:r>
      <w:r w:rsidR="005F3C2B" w:rsidRPr="00B40F36">
        <w:rPr>
          <w:u w:val="single"/>
        </w:rPr>
        <w:t>+</w:t>
      </w:r>
      <w:r w:rsidR="005F3C2B" w:rsidRPr="00B40F36">
        <w:t>SEM</w:t>
      </w:r>
      <w:proofErr w:type="spellEnd"/>
      <w:r w:rsidR="005F3C2B" w:rsidRPr="00B40F36">
        <w:t xml:space="preserve">.   (n) </w:t>
      </w:r>
      <w:proofErr w:type="gramStart"/>
      <w:r w:rsidR="005F3C2B" w:rsidRPr="00B40F36">
        <w:t>number</w:t>
      </w:r>
      <w:proofErr w:type="gramEnd"/>
      <w:r w:rsidR="005F3C2B" w:rsidRPr="00B40F36">
        <w:t xml:space="preserve"> of mice studied; </w:t>
      </w:r>
      <w:r w:rsidR="005F3C2B" w:rsidRPr="00B40F36">
        <w:rPr>
          <w:b/>
        </w:rPr>
        <w:t>*</w:t>
      </w:r>
      <w:r w:rsidR="005F3C2B" w:rsidRPr="00B40F36">
        <w:t xml:space="preserve"> p&lt;0.001 indicating statistical significance compared to chow fed mice using ANOVA for multiple comparisons with </w:t>
      </w:r>
      <w:proofErr w:type="spellStart"/>
      <w:r w:rsidR="005F3C2B" w:rsidRPr="00B40F36">
        <w:t>Bonferroni</w:t>
      </w:r>
      <w:proofErr w:type="spellEnd"/>
      <w:r w:rsidR="005F3C2B" w:rsidRPr="00B40F36">
        <w:t xml:space="preserve"> </w:t>
      </w:r>
      <w:proofErr w:type="spellStart"/>
      <w:r w:rsidR="005F3C2B" w:rsidRPr="00B40F36">
        <w:t>post test</w:t>
      </w:r>
      <w:proofErr w:type="spellEnd"/>
      <w:r w:rsidR="005F3C2B" w:rsidRPr="00B40F36">
        <w:t xml:space="preserve">. </w:t>
      </w:r>
    </w:p>
    <w:p w:rsidR="005F3C2B" w:rsidRPr="00B40F36" w:rsidRDefault="005F3C2B" w:rsidP="005F3C2B">
      <w:pPr>
        <w:jc w:val="both"/>
      </w:pPr>
    </w:p>
    <w:p w:rsidR="005F3C2B" w:rsidRPr="001A0061" w:rsidRDefault="005F3C2B" w:rsidP="005F3C2B">
      <w:pPr>
        <w:spacing w:line="480" w:lineRule="auto"/>
        <w:jc w:val="both"/>
        <w:rPr>
          <w:rFonts w:ascii="Times" w:hAnsi="Times"/>
        </w:rPr>
      </w:pPr>
    </w:p>
    <w:p w:rsidR="00DA305E" w:rsidRDefault="00DA305E">
      <w:pPr>
        <w:spacing w:line="300" w:lineRule="atLeast"/>
        <w:ind w:left="720" w:hanging="360"/>
        <w:rPr>
          <w:b/>
        </w:rPr>
      </w:pPr>
      <w:r>
        <w:rPr>
          <w:b/>
        </w:rPr>
        <w:br w:type="page"/>
      </w:r>
    </w:p>
    <w:p w:rsidR="005F3C2B" w:rsidRDefault="006841B4" w:rsidP="005F3C2B">
      <w:pPr>
        <w:jc w:val="both"/>
      </w:pPr>
      <w:r>
        <w:rPr>
          <w:b/>
        </w:rPr>
        <w:lastRenderedPageBreak/>
        <w:t>Supplementary Table 2</w:t>
      </w:r>
      <w:r w:rsidR="00522160">
        <w:rPr>
          <w:b/>
        </w:rPr>
        <w:t>.</w:t>
      </w:r>
      <w:r w:rsidR="005F3C2B">
        <w:t xml:space="preserve"> </w:t>
      </w:r>
      <w:r w:rsidR="00522160">
        <w:t xml:space="preserve"> </w:t>
      </w:r>
      <w:proofErr w:type="spellStart"/>
      <w:r w:rsidR="005F3C2B">
        <w:t>Stereologic</w:t>
      </w:r>
      <w:proofErr w:type="spellEnd"/>
      <w:r w:rsidR="005F3C2B">
        <w:t xml:space="preserve"> analyses of </w:t>
      </w:r>
      <w:proofErr w:type="spellStart"/>
      <w:r w:rsidR="005F3C2B">
        <w:t>fibronectin</w:t>
      </w:r>
      <w:proofErr w:type="spellEnd"/>
      <w:r w:rsidR="005F3C2B">
        <w:t xml:space="preserve"> and CD68 macrophage positive areas in glomeruli of WT and </w:t>
      </w:r>
      <w:r w:rsidR="005F3C2B" w:rsidRPr="006401E5">
        <w:rPr>
          <w:i/>
        </w:rPr>
        <w:t>Id3</w:t>
      </w:r>
      <w:r w:rsidR="005F3C2B" w:rsidRPr="006401E5">
        <w:rPr>
          <w:i/>
          <w:vertAlign w:val="superscript"/>
        </w:rPr>
        <w:t>-/-</w:t>
      </w:r>
      <w:r w:rsidR="005F3C2B">
        <w:t xml:space="preserve"> mice fed mouse chow or western diets.</w:t>
      </w:r>
    </w:p>
    <w:p w:rsidR="005F3C2B" w:rsidRDefault="005F3C2B" w:rsidP="005F3C2B">
      <w:pPr>
        <w:jc w:val="both"/>
      </w:pPr>
    </w:p>
    <w:tbl>
      <w:tblPr>
        <w:tblW w:w="93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1440"/>
        <w:gridCol w:w="1574"/>
        <w:gridCol w:w="1350"/>
        <w:gridCol w:w="1440"/>
      </w:tblGrid>
      <w:tr w:rsidR="005F3C2B" w:rsidRPr="00EA3D13" w:rsidTr="00BF5339">
        <w:trPr>
          <w:trHeight w:val="360"/>
          <w:jc w:val="center"/>
        </w:trPr>
        <w:tc>
          <w:tcPr>
            <w:tcW w:w="3561" w:type="dxa"/>
            <w:tcBorders>
              <w:top w:val="single" w:sz="12" w:space="0" w:color="auto"/>
              <w:bottom w:val="nil"/>
            </w:tcBorders>
          </w:tcPr>
          <w:p w:rsidR="005F3C2B" w:rsidRPr="00EA3D13" w:rsidRDefault="005F3C2B" w:rsidP="00BF5339">
            <w:pPr>
              <w:rPr>
                <w:b/>
              </w:rPr>
            </w:pPr>
            <w:r>
              <w:rPr>
                <w:b/>
              </w:rPr>
              <w:t>STRAIN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5F3C2B" w:rsidRPr="00B40F36" w:rsidRDefault="005F3C2B" w:rsidP="00BF5339">
            <w:pPr>
              <w:ind w:right="-288"/>
              <w:rPr>
                <w:b/>
              </w:rPr>
            </w:pPr>
            <w:r w:rsidRPr="00B40F36">
              <w:rPr>
                <w:b/>
              </w:rPr>
              <w:t>WT</w:t>
            </w:r>
          </w:p>
        </w:tc>
        <w:tc>
          <w:tcPr>
            <w:tcW w:w="1574" w:type="dxa"/>
            <w:tcBorders>
              <w:top w:val="single" w:sz="12" w:space="0" w:color="auto"/>
              <w:bottom w:val="nil"/>
            </w:tcBorders>
          </w:tcPr>
          <w:p w:rsidR="005F3C2B" w:rsidRPr="00B40F36" w:rsidRDefault="005F3C2B" w:rsidP="00BF5339">
            <w:pPr>
              <w:ind w:right="-288" w:hanging="18"/>
              <w:rPr>
                <w:b/>
              </w:rPr>
            </w:pPr>
            <w:r w:rsidRPr="00B40F36">
              <w:rPr>
                <w:b/>
              </w:rPr>
              <w:t>WT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</w:tcPr>
          <w:p w:rsidR="005F3C2B" w:rsidRPr="000531C4" w:rsidRDefault="005F3C2B" w:rsidP="00BF5339">
            <w:pPr>
              <w:ind w:left="-108" w:right="-288"/>
              <w:rPr>
                <w:b/>
                <w:i/>
              </w:rPr>
            </w:pPr>
            <w:r w:rsidRPr="000531C4">
              <w:rPr>
                <w:b/>
                <w:i/>
              </w:rPr>
              <w:t>Id3</w:t>
            </w:r>
            <w:r w:rsidRPr="000531C4">
              <w:rPr>
                <w:b/>
                <w:i/>
                <w:vertAlign w:val="superscript"/>
              </w:rPr>
              <w:t>-/-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5F3C2B" w:rsidRPr="000531C4" w:rsidRDefault="005F3C2B" w:rsidP="00BF5339">
            <w:pPr>
              <w:ind w:right="-18"/>
              <w:rPr>
                <w:b/>
                <w:i/>
              </w:rPr>
            </w:pPr>
            <w:r w:rsidRPr="000531C4">
              <w:rPr>
                <w:b/>
                <w:i/>
              </w:rPr>
              <w:t>Id3</w:t>
            </w:r>
            <w:r w:rsidRPr="000531C4">
              <w:rPr>
                <w:b/>
                <w:i/>
                <w:vertAlign w:val="superscript"/>
              </w:rPr>
              <w:t>-/-</w:t>
            </w:r>
          </w:p>
        </w:tc>
      </w:tr>
      <w:tr w:rsidR="005F3C2B" w:rsidRPr="00EA3D13" w:rsidTr="00D45BB3">
        <w:trPr>
          <w:trHeight w:val="360"/>
          <w:jc w:val="center"/>
        </w:trPr>
        <w:tc>
          <w:tcPr>
            <w:tcW w:w="3561" w:type="dxa"/>
            <w:tcBorders>
              <w:top w:val="nil"/>
              <w:bottom w:val="nil"/>
            </w:tcBorders>
          </w:tcPr>
          <w:p w:rsidR="005F3C2B" w:rsidRPr="00F34CAD" w:rsidRDefault="005F3C2B" w:rsidP="00BF5339">
            <w:pPr>
              <w:ind w:left="-18"/>
            </w:pPr>
            <w:r w:rsidRPr="00F34CAD">
              <w:t>Diet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F3C2B" w:rsidRPr="00F34CAD" w:rsidRDefault="005F3C2B" w:rsidP="00BF5339">
            <w:pPr>
              <w:ind w:right="-288"/>
            </w:pPr>
            <w:r w:rsidRPr="00F34CAD">
              <w:t>Chow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5F3C2B" w:rsidRPr="00F34CAD" w:rsidRDefault="005F3C2B" w:rsidP="00BF5339">
            <w:pPr>
              <w:ind w:right="-288" w:hanging="18"/>
            </w:pPr>
            <w:r w:rsidRPr="00F34CAD">
              <w:t>Western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3C2B" w:rsidRPr="00F34CAD" w:rsidRDefault="005F3C2B" w:rsidP="00BF5339">
            <w:pPr>
              <w:ind w:left="-108" w:right="-288"/>
            </w:pPr>
            <w:r w:rsidRPr="00F34CAD">
              <w:t>Chow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F3C2B" w:rsidRPr="00F34CAD" w:rsidRDefault="005F3C2B" w:rsidP="00BF5339">
            <w:pPr>
              <w:ind w:right="-18"/>
            </w:pPr>
            <w:r w:rsidRPr="00F34CAD">
              <w:t>Western</w:t>
            </w:r>
          </w:p>
        </w:tc>
      </w:tr>
      <w:tr w:rsidR="005F3C2B" w:rsidRPr="00EA3D13" w:rsidTr="00D45BB3">
        <w:trPr>
          <w:trHeight w:val="360"/>
          <w:jc w:val="center"/>
        </w:trPr>
        <w:tc>
          <w:tcPr>
            <w:tcW w:w="3561" w:type="dxa"/>
            <w:tcBorders>
              <w:top w:val="nil"/>
              <w:bottom w:val="single" w:sz="12" w:space="0" w:color="auto"/>
            </w:tcBorders>
          </w:tcPr>
          <w:p w:rsidR="005F3C2B" w:rsidRPr="00F34CAD" w:rsidRDefault="005F3C2B" w:rsidP="00BF5339">
            <w:pPr>
              <w:ind w:left="-18"/>
            </w:pPr>
            <w:r w:rsidRPr="00F34CAD">
              <w:t>Number of mice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F3C2B" w:rsidRPr="00F34CAD" w:rsidRDefault="005F3C2B" w:rsidP="00BF5339">
            <w:pPr>
              <w:ind w:right="-288"/>
            </w:pPr>
            <w:r w:rsidRPr="00F34CAD">
              <w:t>5</w:t>
            </w:r>
          </w:p>
        </w:tc>
        <w:tc>
          <w:tcPr>
            <w:tcW w:w="1574" w:type="dxa"/>
            <w:tcBorders>
              <w:top w:val="nil"/>
              <w:bottom w:val="single" w:sz="12" w:space="0" w:color="auto"/>
            </w:tcBorders>
          </w:tcPr>
          <w:p w:rsidR="005F3C2B" w:rsidRPr="00F34CAD" w:rsidRDefault="005F3C2B" w:rsidP="00BF5339">
            <w:pPr>
              <w:ind w:right="-288" w:hanging="18"/>
            </w:pPr>
            <w:r w:rsidRPr="00F34CAD">
              <w:t>5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:rsidR="005F3C2B" w:rsidRPr="00F34CAD" w:rsidRDefault="005F3C2B" w:rsidP="00BF5339">
            <w:pPr>
              <w:ind w:left="-108" w:right="-288"/>
            </w:pPr>
            <w:r w:rsidRPr="00F34CAD">
              <w:t>5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F3C2B" w:rsidRPr="00F34CAD" w:rsidRDefault="005F3C2B" w:rsidP="00BF5339">
            <w:pPr>
              <w:ind w:right="-18"/>
            </w:pPr>
            <w:r w:rsidRPr="00F34CAD">
              <w:t>7</w:t>
            </w:r>
          </w:p>
        </w:tc>
      </w:tr>
      <w:tr w:rsidR="005F3C2B" w:rsidTr="00D45BB3">
        <w:trPr>
          <w:trHeight w:val="360"/>
          <w:jc w:val="center"/>
        </w:trPr>
        <w:tc>
          <w:tcPr>
            <w:tcW w:w="5001" w:type="dxa"/>
            <w:gridSpan w:val="2"/>
            <w:tcBorders>
              <w:top w:val="single" w:sz="12" w:space="0" w:color="auto"/>
            </w:tcBorders>
          </w:tcPr>
          <w:p w:rsidR="00C63CE8" w:rsidRDefault="00C63CE8" w:rsidP="00BF5339">
            <w:pPr>
              <w:ind w:right="-288"/>
              <w:rPr>
                <w:b/>
              </w:rPr>
            </w:pPr>
          </w:p>
          <w:p w:rsidR="005F3C2B" w:rsidRDefault="005F3C2B" w:rsidP="00BF5339">
            <w:pPr>
              <w:ind w:right="-288"/>
              <w:rPr>
                <w:b/>
              </w:rPr>
            </w:pPr>
            <w:r w:rsidRPr="00F34CAD">
              <w:rPr>
                <w:b/>
              </w:rPr>
              <w:t>GLOMERULAR FIBRONECTIN</w:t>
            </w:r>
          </w:p>
          <w:p w:rsidR="00D45BB3" w:rsidRPr="00F34CAD" w:rsidRDefault="00D45BB3" w:rsidP="00BF5339">
            <w:pPr>
              <w:ind w:right="-288"/>
              <w:rPr>
                <w:b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5F3C2B" w:rsidRDefault="005F3C2B" w:rsidP="00BF5339">
            <w:pPr>
              <w:ind w:right="-288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F3C2B" w:rsidRDefault="005F3C2B" w:rsidP="00BF5339">
            <w:pPr>
              <w:ind w:left="-108" w:right="-288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F3C2B" w:rsidRDefault="005F3C2B" w:rsidP="00BF5339">
            <w:pPr>
              <w:ind w:right="-288"/>
            </w:pPr>
          </w:p>
        </w:tc>
      </w:tr>
      <w:tr w:rsidR="005F3C2B" w:rsidRPr="00B40F36" w:rsidTr="00BF5339">
        <w:trPr>
          <w:trHeight w:val="360"/>
          <w:jc w:val="center"/>
        </w:trPr>
        <w:tc>
          <w:tcPr>
            <w:tcW w:w="3561" w:type="dxa"/>
          </w:tcPr>
          <w:p w:rsidR="005F3C2B" w:rsidRPr="00892546" w:rsidRDefault="005F3C2B" w:rsidP="00BF5339">
            <w:pPr>
              <w:ind w:left="-18"/>
            </w:pPr>
            <w:r w:rsidRPr="00892546">
              <w:t xml:space="preserve">Glomerular </w:t>
            </w:r>
            <w:r>
              <w:t>area*</w:t>
            </w:r>
          </w:p>
        </w:tc>
        <w:tc>
          <w:tcPr>
            <w:tcW w:w="1440" w:type="dxa"/>
          </w:tcPr>
          <w:p w:rsidR="005F3C2B" w:rsidRPr="00B40F36" w:rsidRDefault="005F3C2B" w:rsidP="00BF5339">
            <w:pPr>
              <w:ind w:right="-288"/>
            </w:pPr>
            <w:r>
              <w:t xml:space="preserve">184.0 </w:t>
            </w:r>
            <w:r w:rsidRPr="00385D86">
              <w:rPr>
                <w:u w:val="single"/>
              </w:rPr>
              <w:t>+</w:t>
            </w:r>
            <w:r>
              <w:t xml:space="preserve"> 18.8</w:t>
            </w:r>
          </w:p>
        </w:tc>
        <w:tc>
          <w:tcPr>
            <w:tcW w:w="1574" w:type="dxa"/>
          </w:tcPr>
          <w:p w:rsidR="005F3C2B" w:rsidRPr="00B40F36" w:rsidRDefault="005F3C2B" w:rsidP="00BF5339">
            <w:pPr>
              <w:ind w:right="-288" w:hanging="18"/>
            </w:pPr>
            <w:r>
              <w:t xml:space="preserve">200.5 </w:t>
            </w:r>
            <w:r w:rsidRPr="00385D86">
              <w:rPr>
                <w:u w:val="single"/>
              </w:rPr>
              <w:t>+</w:t>
            </w:r>
            <w:r>
              <w:t xml:space="preserve"> 16.8</w:t>
            </w:r>
          </w:p>
        </w:tc>
        <w:tc>
          <w:tcPr>
            <w:tcW w:w="1350" w:type="dxa"/>
          </w:tcPr>
          <w:p w:rsidR="005F3C2B" w:rsidRPr="00B40F36" w:rsidRDefault="005F3C2B" w:rsidP="00BF5339">
            <w:pPr>
              <w:ind w:left="-108" w:right="-288"/>
            </w:pPr>
            <w:r>
              <w:t xml:space="preserve">179.1 </w:t>
            </w:r>
            <w:r w:rsidRPr="00385D86">
              <w:rPr>
                <w:u w:val="single"/>
              </w:rPr>
              <w:t>+</w:t>
            </w:r>
            <w:r>
              <w:t xml:space="preserve"> 12.9</w:t>
            </w:r>
          </w:p>
        </w:tc>
        <w:tc>
          <w:tcPr>
            <w:tcW w:w="1440" w:type="dxa"/>
          </w:tcPr>
          <w:p w:rsidR="005F3C2B" w:rsidRPr="00B40F36" w:rsidRDefault="005F3C2B" w:rsidP="00BF5339">
            <w:pPr>
              <w:ind w:right="-18"/>
            </w:pPr>
            <w:r>
              <w:t xml:space="preserve">203.3 </w:t>
            </w:r>
            <w:r w:rsidRPr="00385D86">
              <w:rPr>
                <w:u w:val="single"/>
              </w:rPr>
              <w:t>+</w:t>
            </w:r>
            <w:r>
              <w:t xml:space="preserve"> 27</w:t>
            </w:r>
          </w:p>
        </w:tc>
      </w:tr>
      <w:tr w:rsidR="005F3C2B" w:rsidRPr="00B40F36" w:rsidTr="00BF5339">
        <w:trPr>
          <w:trHeight w:val="360"/>
          <w:jc w:val="center"/>
        </w:trPr>
        <w:tc>
          <w:tcPr>
            <w:tcW w:w="3561" w:type="dxa"/>
            <w:tcBorders>
              <w:bottom w:val="nil"/>
            </w:tcBorders>
          </w:tcPr>
          <w:p w:rsidR="005F3C2B" w:rsidRPr="00892546" w:rsidRDefault="005F3C2B" w:rsidP="00BF5339">
            <w:pPr>
              <w:ind w:left="-18"/>
            </w:pPr>
            <w:r w:rsidRPr="00892546">
              <w:t xml:space="preserve">fibronectin  positive </w:t>
            </w:r>
            <w:r>
              <w:t>area*</w:t>
            </w:r>
          </w:p>
        </w:tc>
        <w:tc>
          <w:tcPr>
            <w:tcW w:w="1440" w:type="dxa"/>
            <w:tcBorders>
              <w:bottom w:val="nil"/>
            </w:tcBorders>
          </w:tcPr>
          <w:p w:rsidR="005F3C2B" w:rsidRPr="00B40F36" w:rsidRDefault="005F3C2B" w:rsidP="00BF5339">
            <w:pPr>
              <w:ind w:right="-288"/>
            </w:pPr>
            <w:r>
              <w:t xml:space="preserve">20.5 </w:t>
            </w:r>
            <w:r w:rsidRPr="00385D86">
              <w:rPr>
                <w:u w:val="single"/>
              </w:rPr>
              <w:t>+</w:t>
            </w:r>
            <w:r>
              <w:t xml:space="preserve"> 1.9</w:t>
            </w:r>
          </w:p>
        </w:tc>
        <w:tc>
          <w:tcPr>
            <w:tcW w:w="1574" w:type="dxa"/>
            <w:tcBorders>
              <w:bottom w:val="nil"/>
            </w:tcBorders>
          </w:tcPr>
          <w:p w:rsidR="005F3C2B" w:rsidRPr="00B40F36" w:rsidRDefault="005F3C2B" w:rsidP="00BF5339">
            <w:pPr>
              <w:ind w:right="-288" w:hanging="18"/>
            </w:pPr>
            <w:r>
              <w:t xml:space="preserve">24.03 </w:t>
            </w:r>
            <w:r w:rsidRPr="00385D86">
              <w:rPr>
                <w:u w:val="single"/>
              </w:rPr>
              <w:t>+</w:t>
            </w:r>
            <w:r>
              <w:t xml:space="preserve"> 1.5</w:t>
            </w:r>
          </w:p>
        </w:tc>
        <w:tc>
          <w:tcPr>
            <w:tcW w:w="1350" w:type="dxa"/>
            <w:tcBorders>
              <w:bottom w:val="nil"/>
            </w:tcBorders>
          </w:tcPr>
          <w:p w:rsidR="005F3C2B" w:rsidRPr="00B40F36" w:rsidRDefault="005F3C2B" w:rsidP="00BF5339">
            <w:pPr>
              <w:ind w:left="-108" w:right="-288"/>
            </w:pPr>
            <w:r>
              <w:t xml:space="preserve">19.7 </w:t>
            </w:r>
            <w:r w:rsidRPr="00385D86">
              <w:rPr>
                <w:u w:val="single"/>
              </w:rPr>
              <w:t>+</w:t>
            </w:r>
            <w:r>
              <w:t xml:space="preserve"> 1.4</w:t>
            </w:r>
          </w:p>
        </w:tc>
        <w:tc>
          <w:tcPr>
            <w:tcW w:w="1440" w:type="dxa"/>
            <w:tcBorders>
              <w:bottom w:val="nil"/>
            </w:tcBorders>
          </w:tcPr>
          <w:p w:rsidR="005F3C2B" w:rsidRPr="00B40F36" w:rsidRDefault="005F3C2B" w:rsidP="00BF5339">
            <w:pPr>
              <w:ind w:right="-18"/>
            </w:pPr>
            <w:r>
              <w:t xml:space="preserve">53.6 </w:t>
            </w:r>
            <w:r w:rsidRPr="00385D86">
              <w:rPr>
                <w:u w:val="single"/>
              </w:rPr>
              <w:t>+</w:t>
            </w:r>
            <w:r>
              <w:t xml:space="preserve"> 7.3 </w:t>
            </w:r>
          </w:p>
        </w:tc>
      </w:tr>
      <w:tr w:rsidR="005F3C2B" w:rsidRPr="007F1C0A" w:rsidTr="00BF5339">
        <w:trPr>
          <w:trHeight w:val="360"/>
          <w:jc w:val="center"/>
        </w:trPr>
        <w:tc>
          <w:tcPr>
            <w:tcW w:w="3561" w:type="dxa"/>
            <w:tcBorders>
              <w:top w:val="nil"/>
              <w:bottom w:val="single" w:sz="12" w:space="0" w:color="auto"/>
            </w:tcBorders>
            <w:vAlign w:val="center"/>
          </w:tcPr>
          <w:p w:rsidR="005F3C2B" w:rsidRPr="007F1C0A" w:rsidRDefault="005F3C2B" w:rsidP="00BF5339">
            <w:pPr>
              <w:ind w:left="-18"/>
              <w:rPr>
                <w:b/>
              </w:rPr>
            </w:pPr>
            <w:r>
              <w:rPr>
                <w:b/>
              </w:rPr>
              <w:t xml:space="preserve">Glomerular </w:t>
            </w:r>
            <w:r w:rsidRPr="00892546">
              <w:rPr>
                <w:b/>
              </w:rPr>
              <w:t>fibronectin fraction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5F3C2B" w:rsidRPr="007F1C0A" w:rsidRDefault="005F3C2B" w:rsidP="00BF5339">
            <w:pPr>
              <w:ind w:right="-288"/>
              <w:rPr>
                <w:b/>
              </w:rPr>
            </w:pPr>
            <w:r w:rsidRPr="007F1C0A">
              <w:rPr>
                <w:b/>
              </w:rPr>
              <w:t xml:space="preserve">11.3 </w:t>
            </w:r>
            <w:r w:rsidRPr="002A10B5">
              <w:rPr>
                <w:b/>
                <w:u w:val="single"/>
              </w:rPr>
              <w:t>+</w:t>
            </w:r>
            <w:r w:rsidRPr="007F1C0A">
              <w:rPr>
                <w:b/>
              </w:rPr>
              <w:t xml:space="preserve"> 0.7</w:t>
            </w:r>
          </w:p>
        </w:tc>
        <w:tc>
          <w:tcPr>
            <w:tcW w:w="1574" w:type="dxa"/>
            <w:tcBorders>
              <w:top w:val="nil"/>
              <w:bottom w:val="single" w:sz="12" w:space="0" w:color="auto"/>
            </w:tcBorders>
            <w:vAlign w:val="center"/>
          </w:tcPr>
          <w:p w:rsidR="005F3C2B" w:rsidRPr="007F1C0A" w:rsidRDefault="005F3C2B" w:rsidP="00BF5339">
            <w:pPr>
              <w:ind w:right="-288" w:hanging="18"/>
              <w:rPr>
                <w:b/>
              </w:rPr>
            </w:pPr>
            <w:r w:rsidRPr="007F1C0A">
              <w:rPr>
                <w:b/>
              </w:rPr>
              <w:t xml:space="preserve">12.08 </w:t>
            </w:r>
            <w:r w:rsidRPr="00385D86">
              <w:rPr>
                <w:u w:val="single"/>
              </w:rPr>
              <w:t>+</w:t>
            </w:r>
            <w:r w:rsidRPr="007F1C0A">
              <w:rPr>
                <w:b/>
              </w:rPr>
              <w:t xml:space="preserve"> 0.4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vAlign w:val="center"/>
          </w:tcPr>
          <w:p w:rsidR="005F3C2B" w:rsidRPr="007F1C0A" w:rsidRDefault="005F3C2B" w:rsidP="00BF5339">
            <w:pPr>
              <w:ind w:left="-108" w:right="-288"/>
              <w:rPr>
                <w:b/>
              </w:rPr>
            </w:pPr>
            <w:r w:rsidRPr="007F1C0A">
              <w:rPr>
                <w:b/>
              </w:rPr>
              <w:t xml:space="preserve">11.0 </w:t>
            </w:r>
            <w:r w:rsidRPr="00385D86">
              <w:rPr>
                <w:u w:val="single"/>
              </w:rPr>
              <w:t>+</w:t>
            </w:r>
            <w:r w:rsidRPr="007F1C0A">
              <w:rPr>
                <w:b/>
              </w:rPr>
              <w:t xml:space="preserve"> 0.3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5F3C2B" w:rsidRPr="007F1C0A" w:rsidRDefault="005F3C2B" w:rsidP="00BF5339">
            <w:pPr>
              <w:ind w:right="-18"/>
              <w:rPr>
                <w:b/>
              </w:rPr>
            </w:pPr>
            <w:r>
              <w:rPr>
                <w:b/>
              </w:rPr>
              <w:t>26.2</w:t>
            </w:r>
            <w:r w:rsidRPr="007F1C0A">
              <w:rPr>
                <w:b/>
              </w:rPr>
              <w:t xml:space="preserve"> </w:t>
            </w:r>
            <w:r w:rsidRPr="00385D86">
              <w:rPr>
                <w:b/>
                <w:u w:val="single"/>
              </w:rPr>
              <w:t>+</w:t>
            </w:r>
            <w:r w:rsidRPr="007F1C0A">
              <w:rPr>
                <w:b/>
              </w:rPr>
              <w:t xml:space="preserve"> 1.0</w:t>
            </w:r>
            <w:r>
              <w:rPr>
                <w:b/>
              </w:rPr>
              <w:t>**</w:t>
            </w:r>
          </w:p>
        </w:tc>
      </w:tr>
      <w:tr w:rsidR="005F3C2B" w:rsidRPr="00CF7A99" w:rsidTr="00BF5339">
        <w:trPr>
          <w:trHeight w:val="360"/>
          <w:jc w:val="center"/>
        </w:trPr>
        <w:tc>
          <w:tcPr>
            <w:tcW w:w="6575" w:type="dxa"/>
            <w:gridSpan w:val="3"/>
          </w:tcPr>
          <w:p w:rsidR="00C63CE8" w:rsidRDefault="00C63CE8" w:rsidP="00D45BB3">
            <w:pPr>
              <w:ind w:right="-288"/>
              <w:rPr>
                <w:b/>
              </w:rPr>
            </w:pPr>
          </w:p>
          <w:p w:rsidR="005F3C2B" w:rsidRDefault="005F3C2B" w:rsidP="00D45BB3">
            <w:pPr>
              <w:ind w:right="-288"/>
              <w:rPr>
                <w:b/>
              </w:rPr>
            </w:pPr>
            <w:r w:rsidRPr="00F34CAD">
              <w:rPr>
                <w:b/>
              </w:rPr>
              <w:t>GLOMERULAR CD68 MACROPHAGES</w:t>
            </w:r>
          </w:p>
          <w:p w:rsidR="005F3C2B" w:rsidRPr="00F34CAD" w:rsidRDefault="005F3C2B" w:rsidP="00BF5339">
            <w:pPr>
              <w:ind w:right="-288" w:hanging="18"/>
              <w:rPr>
                <w:b/>
              </w:rPr>
            </w:pPr>
          </w:p>
        </w:tc>
        <w:tc>
          <w:tcPr>
            <w:tcW w:w="1350" w:type="dxa"/>
          </w:tcPr>
          <w:p w:rsidR="005F3C2B" w:rsidRPr="00CF7A99" w:rsidRDefault="005F3C2B" w:rsidP="00BF5339">
            <w:pPr>
              <w:ind w:left="-108" w:right="-288"/>
            </w:pPr>
          </w:p>
        </w:tc>
        <w:tc>
          <w:tcPr>
            <w:tcW w:w="1440" w:type="dxa"/>
          </w:tcPr>
          <w:p w:rsidR="005F3C2B" w:rsidRPr="00CF7A99" w:rsidRDefault="005F3C2B" w:rsidP="00BF5339">
            <w:pPr>
              <w:ind w:right="-18"/>
            </w:pPr>
          </w:p>
        </w:tc>
      </w:tr>
      <w:tr w:rsidR="005F3C2B" w:rsidRPr="00B40F36" w:rsidTr="00BF5339">
        <w:trPr>
          <w:trHeight w:val="432"/>
          <w:jc w:val="center"/>
        </w:trPr>
        <w:tc>
          <w:tcPr>
            <w:tcW w:w="3561" w:type="dxa"/>
          </w:tcPr>
          <w:p w:rsidR="005F3C2B" w:rsidRPr="00892546" w:rsidRDefault="005F3C2B" w:rsidP="00BF5339">
            <w:r w:rsidRPr="00892546">
              <w:t>Glomerular area</w:t>
            </w:r>
            <w:r>
              <w:t>*</w:t>
            </w:r>
          </w:p>
        </w:tc>
        <w:tc>
          <w:tcPr>
            <w:tcW w:w="1440" w:type="dxa"/>
          </w:tcPr>
          <w:p w:rsidR="005F3C2B" w:rsidRPr="00B40F36" w:rsidRDefault="005F3C2B" w:rsidP="00BF5339">
            <w:r>
              <w:t xml:space="preserve">204.8 </w:t>
            </w:r>
            <w:r w:rsidRPr="00385D86">
              <w:rPr>
                <w:u w:val="single"/>
              </w:rPr>
              <w:t>+</w:t>
            </w:r>
            <w:r>
              <w:t xml:space="preserve"> 27</w:t>
            </w:r>
          </w:p>
        </w:tc>
        <w:tc>
          <w:tcPr>
            <w:tcW w:w="1574" w:type="dxa"/>
          </w:tcPr>
          <w:p w:rsidR="005F3C2B" w:rsidRPr="00B40F36" w:rsidRDefault="005F3C2B" w:rsidP="00BF5339">
            <w:pPr>
              <w:ind w:hanging="18"/>
            </w:pPr>
            <w:r>
              <w:t xml:space="preserve">216.7 </w:t>
            </w:r>
            <w:r w:rsidRPr="00385D86">
              <w:rPr>
                <w:u w:val="single"/>
              </w:rPr>
              <w:t>+</w:t>
            </w:r>
            <w:r>
              <w:t xml:space="preserve"> 10.6</w:t>
            </w:r>
          </w:p>
        </w:tc>
        <w:tc>
          <w:tcPr>
            <w:tcW w:w="1350" w:type="dxa"/>
          </w:tcPr>
          <w:p w:rsidR="005F3C2B" w:rsidRPr="00B40F36" w:rsidRDefault="005F3C2B" w:rsidP="00BF5339">
            <w:pPr>
              <w:ind w:left="-108"/>
            </w:pPr>
            <w:r>
              <w:t xml:space="preserve">256.5 </w:t>
            </w:r>
            <w:r w:rsidRPr="00385D86">
              <w:rPr>
                <w:u w:val="single"/>
              </w:rPr>
              <w:t>+</w:t>
            </w:r>
            <w:r>
              <w:t xml:space="preserve"> 20.0</w:t>
            </w:r>
          </w:p>
        </w:tc>
        <w:tc>
          <w:tcPr>
            <w:tcW w:w="1440" w:type="dxa"/>
          </w:tcPr>
          <w:p w:rsidR="005F3C2B" w:rsidRPr="00B40F36" w:rsidRDefault="005F3C2B" w:rsidP="00BF5339">
            <w:r>
              <w:t xml:space="preserve">212.6 </w:t>
            </w:r>
            <w:r w:rsidRPr="00385D86">
              <w:rPr>
                <w:u w:val="single"/>
              </w:rPr>
              <w:t>+</w:t>
            </w:r>
            <w:r>
              <w:t xml:space="preserve"> 21</w:t>
            </w:r>
          </w:p>
        </w:tc>
      </w:tr>
      <w:tr w:rsidR="005F3C2B" w:rsidRPr="00B40F36" w:rsidTr="00BF5339">
        <w:trPr>
          <w:trHeight w:val="332"/>
          <w:jc w:val="center"/>
        </w:trPr>
        <w:tc>
          <w:tcPr>
            <w:tcW w:w="3561" w:type="dxa"/>
            <w:tcBorders>
              <w:bottom w:val="nil"/>
            </w:tcBorders>
          </w:tcPr>
          <w:p w:rsidR="005F3C2B" w:rsidRPr="00892546" w:rsidRDefault="005F3C2B" w:rsidP="00BF5339">
            <w:r w:rsidRPr="00892546">
              <w:t>CD68 positive area</w:t>
            </w:r>
            <w:r>
              <w:t>*</w:t>
            </w:r>
          </w:p>
        </w:tc>
        <w:tc>
          <w:tcPr>
            <w:tcW w:w="1440" w:type="dxa"/>
            <w:tcBorders>
              <w:bottom w:val="nil"/>
            </w:tcBorders>
          </w:tcPr>
          <w:p w:rsidR="005F3C2B" w:rsidRPr="00B40F36" w:rsidRDefault="005F3C2B" w:rsidP="00BF5339">
            <w:r>
              <w:t xml:space="preserve">2.18 </w:t>
            </w:r>
            <w:r w:rsidRPr="00385D86">
              <w:rPr>
                <w:u w:val="single"/>
              </w:rPr>
              <w:t>+</w:t>
            </w:r>
            <w:r>
              <w:t xml:space="preserve"> 0.3</w:t>
            </w:r>
          </w:p>
        </w:tc>
        <w:tc>
          <w:tcPr>
            <w:tcW w:w="1574" w:type="dxa"/>
            <w:tcBorders>
              <w:bottom w:val="nil"/>
            </w:tcBorders>
          </w:tcPr>
          <w:p w:rsidR="005F3C2B" w:rsidRPr="00B40F36" w:rsidRDefault="005F3C2B" w:rsidP="00BF5339">
            <w:pPr>
              <w:ind w:hanging="18"/>
            </w:pPr>
            <w:r>
              <w:t xml:space="preserve">1.80 </w:t>
            </w:r>
            <w:r w:rsidRPr="00385D86">
              <w:rPr>
                <w:u w:val="single"/>
              </w:rPr>
              <w:t>+</w:t>
            </w:r>
            <w:r>
              <w:t xml:space="preserve"> 0.2</w:t>
            </w:r>
          </w:p>
        </w:tc>
        <w:tc>
          <w:tcPr>
            <w:tcW w:w="1350" w:type="dxa"/>
            <w:tcBorders>
              <w:bottom w:val="nil"/>
            </w:tcBorders>
          </w:tcPr>
          <w:p w:rsidR="005F3C2B" w:rsidRPr="00B40F36" w:rsidRDefault="005F3C2B" w:rsidP="00BF5339">
            <w:pPr>
              <w:ind w:left="-108"/>
            </w:pPr>
            <w:r>
              <w:t xml:space="preserve">2.133 </w:t>
            </w:r>
            <w:r w:rsidRPr="00385D86">
              <w:rPr>
                <w:u w:val="single"/>
              </w:rPr>
              <w:t>+</w:t>
            </w:r>
            <w:r>
              <w:t xml:space="preserve"> 0.7</w:t>
            </w:r>
          </w:p>
        </w:tc>
        <w:tc>
          <w:tcPr>
            <w:tcW w:w="1440" w:type="dxa"/>
            <w:tcBorders>
              <w:bottom w:val="nil"/>
            </w:tcBorders>
          </w:tcPr>
          <w:p w:rsidR="005F3C2B" w:rsidRPr="00B40F36" w:rsidRDefault="005F3C2B" w:rsidP="00BF5339">
            <w:r>
              <w:t xml:space="preserve">4.3 </w:t>
            </w:r>
            <w:r w:rsidRPr="00385D86">
              <w:rPr>
                <w:u w:val="single"/>
              </w:rPr>
              <w:t>+</w:t>
            </w:r>
            <w:r>
              <w:t xml:space="preserve"> 0.6</w:t>
            </w:r>
          </w:p>
        </w:tc>
      </w:tr>
      <w:tr w:rsidR="005F3C2B" w:rsidRPr="00B874E3" w:rsidTr="00D45BB3">
        <w:trPr>
          <w:trHeight w:val="342"/>
          <w:jc w:val="center"/>
        </w:trPr>
        <w:tc>
          <w:tcPr>
            <w:tcW w:w="3561" w:type="dxa"/>
            <w:tcBorders>
              <w:top w:val="nil"/>
              <w:bottom w:val="single" w:sz="12" w:space="0" w:color="auto"/>
            </w:tcBorders>
          </w:tcPr>
          <w:p w:rsidR="005F3C2B" w:rsidRPr="00B40F36" w:rsidRDefault="005F3C2B" w:rsidP="00BF5339">
            <w:r>
              <w:rPr>
                <w:b/>
              </w:rPr>
              <w:t xml:space="preserve">Glomerular </w:t>
            </w:r>
            <w:r w:rsidRPr="00892546">
              <w:rPr>
                <w:b/>
              </w:rPr>
              <w:t>CD68 fraction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F3C2B" w:rsidRPr="00B874E3" w:rsidRDefault="005F3C2B" w:rsidP="00BF5339">
            <w:pPr>
              <w:rPr>
                <w:b/>
              </w:rPr>
            </w:pPr>
            <w:r w:rsidRPr="00B874E3">
              <w:rPr>
                <w:b/>
              </w:rPr>
              <w:t xml:space="preserve">1.06 </w:t>
            </w:r>
            <w:r w:rsidRPr="00B874E3">
              <w:rPr>
                <w:b/>
                <w:u w:val="single"/>
              </w:rPr>
              <w:t>+</w:t>
            </w:r>
            <w:r w:rsidRPr="00B874E3">
              <w:rPr>
                <w:b/>
              </w:rPr>
              <w:t xml:space="preserve"> 0.06</w:t>
            </w:r>
          </w:p>
        </w:tc>
        <w:tc>
          <w:tcPr>
            <w:tcW w:w="1574" w:type="dxa"/>
            <w:tcBorders>
              <w:top w:val="nil"/>
              <w:bottom w:val="single" w:sz="12" w:space="0" w:color="auto"/>
            </w:tcBorders>
          </w:tcPr>
          <w:p w:rsidR="005F3C2B" w:rsidRPr="00B874E3" w:rsidRDefault="005F3C2B" w:rsidP="00D45BB3">
            <w:pPr>
              <w:rPr>
                <w:b/>
              </w:rPr>
            </w:pPr>
            <w:r w:rsidRPr="00B874E3">
              <w:rPr>
                <w:b/>
              </w:rPr>
              <w:t xml:space="preserve">0.83 </w:t>
            </w:r>
            <w:r w:rsidRPr="00B874E3">
              <w:rPr>
                <w:b/>
                <w:u w:val="single"/>
              </w:rPr>
              <w:t>+</w:t>
            </w:r>
            <w:r w:rsidRPr="00B874E3">
              <w:rPr>
                <w:b/>
              </w:rPr>
              <w:t xml:space="preserve"> 0.05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:rsidR="005F3C2B" w:rsidRPr="00B874E3" w:rsidRDefault="005F3C2B" w:rsidP="00D45BB3">
            <w:pPr>
              <w:rPr>
                <w:b/>
              </w:rPr>
            </w:pPr>
            <w:r w:rsidRPr="00B874E3">
              <w:rPr>
                <w:b/>
              </w:rPr>
              <w:t xml:space="preserve">0.79 </w:t>
            </w:r>
            <w:r w:rsidRPr="00B874E3">
              <w:rPr>
                <w:b/>
                <w:u w:val="single"/>
              </w:rPr>
              <w:t>+</w:t>
            </w:r>
            <w:r w:rsidRPr="00B874E3">
              <w:rPr>
                <w:b/>
              </w:rPr>
              <w:t xml:space="preserve"> 0.2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F3C2B" w:rsidRPr="00B874E3" w:rsidRDefault="005F3C2B" w:rsidP="00BF5339">
            <w:pPr>
              <w:ind w:right="-18"/>
              <w:rPr>
                <w:b/>
              </w:rPr>
            </w:pPr>
            <w:r>
              <w:rPr>
                <w:b/>
              </w:rPr>
              <w:t>2.0</w:t>
            </w:r>
            <w:r w:rsidRPr="00B874E3">
              <w:rPr>
                <w:b/>
              </w:rPr>
              <w:t xml:space="preserve"> </w:t>
            </w:r>
            <w:r w:rsidRPr="00B874E3">
              <w:rPr>
                <w:b/>
                <w:u w:val="single"/>
              </w:rPr>
              <w:t>+</w:t>
            </w:r>
            <w:r w:rsidRPr="00B874E3">
              <w:rPr>
                <w:b/>
              </w:rPr>
              <w:t xml:space="preserve"> 0.17</w:t>
            </w:r>
            <w:r>
              <w:rPr>
                <w:b/>
              </w:rPr>
              <w:t>**</w:t>
            </w:r>
          </w:p>
        </w:tc>
      </w:tr>
    </w:tbl>
    <w:p w:rsidR="005F3C2B" w:rsidRDefault="005F3C2B" w:rsidP="005F3C2B">
      <w:pPr>
        <w:jc w:val="both"/>
      </w:pPr>
    </w:p>
    <w:p w:rsidR="00460554" w:rsidRPr="00B40F36" w:rsidRDefault="005F3C2B" w:rsidP="00460554">
      <w:pPr>
        <w:jc w:val="both"/>
      </w:pPr>
      <w:r>
        <w:t>AREA* (</w:t>
      </w:r>
      <w:r w:rsidRPr="00892546">
        <w:t>x10</w:t>
      </w:r>
      <w:r w:rsidRPr="00892546">
        <w:rPr>
          <w:vertAlign w:val="superscript"/>
        </w:rPr>
        <w:t>3</w:t>
      </w:r>
      <w:r>
        <w:t xml:space="preserve"> sq microns).</w:t>
      </w:r>
      <w:r w:rsidR="00460554" w:rsidRPr="00460554">
        <w:rPr>
          <w:b/>
        </w:rPr>
        <w:t xml:space="preserve"> </w:t>
      </w:r>
      <w:r w:rsidR="00460554" w:rsidRPr="00B40F36">
        <w:rPr>
          <w:b/>
        </w:rPr>
        <w:t>*</w:t>
      </w:r>
      <w:r w:rsidR="00460554">
        <w:rPr>
          <w:b/>
        </w:rPr>
        <w:t>*</w:t>
      </w:r>
      <w:r w:rsidR="00460554" w:rsidRPr="00B40F36">
        <w:t xml:space="preserve"> p&lt;0.001 indicating statistical significance compared to chow fed mice using ANOVA for multiple comparisons with </w:t>
      </w:r>
      <w:proofErr w:type="spellStart"/>
      <w:r w:rsidR="00460554" w:rsidRPr="00B40F36">
        <w:t>Bonferroni</w:t>
      </w:r>
      <w:proofErr w:type="spellEnd"/>
      <w:r w:rsidR="00460554" w:rsidRPr="00B40F36">
        <w:t xml:space="preserve"> </w:t>
      </w:r>
      <w:proofErr w:type="spellStart"/>
      <w:r w:rsidR="00460554" w:rsidRPr="00B40F36">
        <w:t>post test</w:t>
      </w:r>
      <w:proofErr w:type="spellEnd"/>
      <w:r w:rsidR="00460554" w:rsidRPr="00B40F36">
        <w:t xml:space="preserve">. </w:t>
      </w:r>
    </w:p>
    <w:p w:rsidR="005F3C2B" w:rsidRDefault="005F3C2B" w:rsidP="005F3C2B">
      <w:pPr>
        <w:jc w:val="both"/>
      </w:pPr>
    </w:p>
    <w:p w:rsidR="00325B9B" w:rsidRDefault="00325B9B" w:rsidP="00325B9B">
      <w:pPr>
        <w:spacing w:line="480" w:lineRule="auto"/>
        <w:jc w:val="both"/>
        <w:rPr>
          <w:i/>
        </w:rPr>
      </w:pPr>
    </w:p>
    <w:p w:rsidR="00325B9B" w:rsidRDefault="00325B9B" w:rsidP="00325B9B">
      <w:pPr>
        <w:spacing w:line="480" w:lineRule="auto"/>
        <w:jc w:val="both"/>
      </w:pPr>
      <w:r w:rsidRPr="008F7060">
        <w:rPr>
          <w:b/>
          <w:i/>
        </w:rPr>
        <w:t>Stereology for q</w:t>
      </w:r>
      <w:r w:rsidR="00D45BB3" w:rsidRPr="008F7060">
        <w:rPr>
          <w:b/>
          <w:i/>
        </w:rPr>
        <w:t>uantitation of glomerular fibro</w:t>
      </w:r>
      <w:r w:rsidRPr="008F7060">
        <w:rPr>
          <w:b/>
          <w:i/>
        </w:rPr>
        <w:t>nectin and CD68 macroph</w:t>
      </w:r>
      <w:r w:rsidR="00D45BB3" w:rsidRPr="008F7060">
        <w:rPr>
          <w:b/>
          <w:i/>
        </w:rPr>
        <w:t>a</w:t>
      </w:r>
      <w:r w:rsidRPr="008F7060">
        <w:rPr>
          <w:b/>
          <w:i/>
        </w:rPr>
        <w:t xml:space="preserve">ges: </w:t>
      </w:r>
      <w:r w:rsidRPr="008F7060">
        <w:rPr>
          <w:b/>
        </w:rPr>
        <w:t xml:space="preserve"> </w:t>
      </w:r>
      <w:r>
        <w:t xml:space="preserve">Glomerular area fraction positive for fibronectin or CD68 macrophages was carried out using </w:t>
      </w:r>
      <w:proofErr w:type="spellStart"/>
      <w:r>
        <w:t>Stereoinvestigtor</w:t>
      </w:r>
      <w:proofErr w:type="spellEnd"/>
      <w:r>
        <w:t xml:space="preserve"> software v3.0 (</w:t>
      </w:r>
      <w:proofErr w:type="spellStart"/>
      <w:r>
        <w:t>Microbrightfield</w:t>
      </w:r>
      <w:proofErr w:type="spellEnd"/>
      <w:r>
        <w:t xml:space="preserve"> systems).  Briefly, a contour was traced around the renal cortex and a sampling grid of 400</w:t>
      </w:r>
      <w:r w:rsidRPr="00A86BAA">
        <w:rPr>
          <w:rFonts w:ascii="Symbol" w:hAnsi="Symbol"/>
        </w:rPr>
        <w:t></w:t>
      </w:r>
      <w:r>
        <w:t>mx400</w:t>
      </w:r>
      <w:r w:rsidRPr="00A86BAA">
        <w:rPr>
          <w:rFonts w:ascii="Symbol" w:hAnsi="Symbol"/>
        </w:rPr>
        <w:t></w:t>
      </w:r>
      <w:r>
        <w:t>m was randomly placed over the contour.  Systematic random sampl</w:t>
      </w:r>
      <w:r w:rsidR="005315A9">
        <w:t>ing</w:t>
      </w:r>
      <w:r>
        <w:t xml:space="preserve"> of the cortex was obtained by positioning a counting frame of 300</w:t>
      </w:r>
      <w:r w:rsidRPr="00A86BAA">
        <w:rPr>
          <w:rFonts w:ascii="Symbol" w:hAnsi="Symbol"/>
        </w:rPr>
        <w:t></w:t>
      </w:r>
      <w:r>
        <w:t>m x 250</w:t>
      </w:r>
      <w:r w:rsidRPr="00A86BAA">
        <w:rPr>
          <w:rFonts w:ascii="Symbol" w:hAnsi="Symbol"/>
        </w:rPr>
        <w:t></w:t>
      </w:r>
      <w:r>
        <w:t>m at regular intervals.  An average of 75.6</w:t>
      </w:r>
      <w:r w:rsidRPr="00C63CE8">
        <w:rPr>
          <w:u w:val="single"/>
        </w:rPr>
        <w:t>+</w:t>
      </w:r>
      <w:r>
        <w:t>1.9 grids corresponding to 12.1</w:t>
      </w:r>
      <w:r w:rsidRPr="007E4727">
        <w:rPr>
          <w:u w:val="single"/>
        </w:rPr>
        <w:t>+</w:t>
      </w:r>
      <w:r>
        <w:t>3 x10</w:t>
      </w:r>
      <w:r w:rsidRPr="007E4727">
        <w:rPr>
          <w:vertAlign w:val="superscript"/>
        </w:rPr>
        <w:t>6</w:t>
      </w:r>
      <w:r>
        <w:t xml:space="preserve"> sq microns of each kidney cross section were sampled for </w:t>
      </w:r>
      <w:proofErr w:type="spellStart"/>
      <w:r>
        <w:t>stereologic</w:t>
      </w:r>
      <w:proofErr w:type="spellEnd"/>
      <w:r>
        <w:t xml:space="preserve"> analyses. Using the area fraction fractionator probe, total glomerular areas and glomerular areas positive for fibronecti</w:t>
      </w:r>
      <w:r w:rsidR="00D45BB3">
        <w:t>n or CD68 were estimated</w:t>
      </w:r>
      <w:r>
        <w:t>.  Data are presented as fraction of total</w:t>
      </w:r>
      <w:r w:rsidR="004A0AE8">
        <w:t xml:space="preserve"> glomerular area for each mouse and are rep</w:t>
      </w:r>
      <w:r w:rsidR="00AE1789">
        <w:t>resented graphically in Figure 1</w:t>
      </w:r>
      <w:r w:rsidR="004A0AE8">
        <w:t>.</w:t>
      </w:r>
      <w:r>
        <w:t xml:space="preserve">     </w:t>
      </w:r>
    </w:p>
    <w:p w:rsidR="00DA305E" w:rsidRDefault="00DA305E" w:rsidP="00DA305E">
      <w:pPr>
        <w:spacing w:line="48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815763" cy="3781425"/>
            <wp:effectExtent l="19050" t="0" r="3637" b="0"/>
            <wp:docPr id="1" name="Picture 0" descr="Supplemental _fig_mescel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_fig_mescells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906" cy="378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19" w:rsidRPr="0094364C" w:rsidRDefault="005C1719" w:rsidP="005C1719">
      <w:pPr>
        <w:spacing w:line="480" w:lineRule="auto"/>
        <w:jc w:val="both"/>
      </w:pPr>
      <w:r>
        <w:rPr>
          <w:b/>
        </w:rPr>
        <w:t>Supplementary figure 1</w:t>
      </w:r>
      <w:r w:rsidRPr="003E3B1D">
        <w:rPr>
          <w:b/>
        </w:rPr>
        <w:t>:</w:t>
      </w:r>
      <w:r>
        <w:t xml:space="preserve"> </w:t>
      </w:r>
      <w:r w:rsidRPr="00E211E1">
        <w:rPr>
          <w:b/>
        </w:rPr>
        <w:t>Characterization of</w:t>
      </w:r>
      <w:r>
        <w:rPr>
          <w:b/>
        </w:rPr>
        <w:t xml:space="preserve"> </w:t>
      </w:r>
      <w:r w:rsidRPr="00E211E1">
        <w:rPr>
          <w:b/>
        </w:rPr>
        <w:t>primary mesangial cell lines</w:t>
      </w:r>
      <w:r>
        <w:t xml:space="preserve"> </w:t>
      </w:r>
      <w:r w:rsidRPr="0094364C">
        <w:t>using antibodies to mesangial cells (</w:t>
      </w:r>
      <w:r w:rsidRPr="0094364C">
        <w:rPr>
          <w:rFonts w:ascii="Symbol" w:hAnsi="Symbol"/>
        </w:rPr>
        <w:t></w:t>
      </w:r>
      <w:r>
        <w:rPr>
          <w:rFonts w:ascii="Symbol" w:hAnsi="Symbol"/>
        </w:rPr>
        <w:t></w:t>
      </w:r>
      <w:r w:rsidRPr="0094364C">
        <w:t xml:space="preserve">smooth muscle actin), </w:t>
      </w:r>
      <w:proofErr w:type="spellStart"/>
      <w:r w:rsidRPr="0094364C">
        <w:t>podocytes</w:t>
      </w:r>
      <w:proofErr w:type="spellEnd"/>
      <w:r w:rsidRPr="0094364C">
        <w:t xml:space="preserve"> (</w:t>
      </w:r>
      <w:proofErr w:type="spellStart"/>
      <w:r w:rsidRPr="0094364C">
        <w:t>wilm’s</w:t>
      </w:r>
      <w:proofErr w:type="spellEnd"/>
      <w:r w:rsidRPr="0094364C">
        <w:t xml:space="preserve"> tumor 1) and endothelial cells (Von </w:t>
      </w:r>
      <w:proofErr w:type="spellStart"/>
      <w:r w:rsidRPr="0094364C">
        <w:t>Willebrand</w:t>
      </w:r>
      <w:proofErr w:type="spellEnd"/>
      <w:r w:rsidRPr="0094364C">
        <w:t xml:space="preserve"> factor).  Cells were cultured on coverslips and stained by indirect immunofluorescence using standard methods.  Cells stained with </w:t>
      </w:r>
      <w:proofErr w:type="spellStart"/>
      <w:r w:rsidRPr="0094364C">
        <w:t>isotype</w:t>
      </w:r>
      <w:proofErr w:type="spellEnd"/>
      <w:r w:rsidRPr="0094364C">
        <w:t xml:space="preserve"> control antibodies </w:t>
      </w:r>
      <w:r>
        <w:t>are</w:t>
      </w:r>
      <w:r w:rsidRPr="0094364C">
        <w:t xml:space="preserve"> shown (</w:t>
      </w:r>
      <w:proofErr w:type="spellStart"/>
      <w:r w:rsidRPr="0094364C">
        <w:t>neg</w:t>
      </w:r>
      <w:proofErr w:type="spellEnd"/>
      <w:r w:rsidRPr="0094364C">
        <w:t xml:space="preserve"> control).  The cells were also negative for fibroblast marker, </w:t>
      </w:r>
      <w:proofErr w:type="spellStart"/>
      <w:r w:rsidRPr="0094364C">
        <w:t>desmin</w:t>
      </w:r>
      <w:proofErr w:type="spellEnd"/>
      <w:r w:rsidRPr="0094364C">
        <w:t>, and pan cytokeratin (data not shown).  Immortalized podocyte, fibroblast and epithelial cell lines were used as positive controls for the respective markers.  Nuclei (blue) were stained with DAPI.</w:t>
      </w:r>
      <w:r>
        <w:t xml:space="preserve">  </w:t>
      </w:r>
      <w:r w:rsidRPr="0094364C">
        <w:t>Bottom panel shows purity of the mesangial cell lines studied by flow cytometry.  At 4</w:t>
      </w:r>
      <w:r w:rsidRPr="0094364C">
        <w:rPr>
          <w:vertAlign w:val="superscript"/>
        </w:rPr>
        <w:t>th</w:t>
      </w:r>
      <w:r w:rsidRPr="0094364C">
        <w:t xml:space="preserve"> passage, &gt;90% of the cells express</w:t>
      </w:r>
      <w:r>
        <w:t xml:space="preserve"> </w:t>
      </w:r>
      <w:r w:rsidRPr="0094364C">
        <w:rPr>
          <w:rFonts w:ascii="Symbol" w:hAnsi="Symbol"/>
        </w:rPr>
        <w:t></w:t>
      </w:r>
      <w:r>
        <w:rPr>
          <w:rFonts w:ascii="Symbol" w:hAnsi="Symbol"/>
        </w:rPr>
        <w:t></w:t>
      </w:r>
      <w:r w:rsidRPr="0094364C">
        <w:t xml:space="preserve">smooth muscle actin and </w:t>
      </w:r>
      <w:proofErr w:type="spellStart"/>
      <w:r w:rsidRPr="0094364C">
        <w:t>megsin</w:t>
      </w:r>
      <w:proofErr w:type="spellEnd"/>
      <w:r w:rsidRPr="0094364C">
        <w:t xml:space="preserve"> (blue line), markers of mesangial cells. Cells stained with an </w:t>
      </w:r>
      <w:proofErr w:type="spellStart"/>
      <w:r w:rsidRPr="0094364C">
        <w:t>isotype</w:t>
      </w:r>
      <w:proofErr w:type="spellEnd"/>
      <w:r w:rsidRPr="0094364C">
        <w:t xml:space="preserve"> antibody were used as controls (red line)  </w:t>
      </w:r>
    </w:p>
    <w:p w:rsidR="005C1719" w:rsidRDefault="005C1719" w:rsidP="005C1719">
      <w:pPr>
        <w:spacing w:line="480" w:lineRule="auto"/>
        <w:jc w:val="both"/>
        <w:rPr>
          <w:rFonts w:ascii="Times" w:hAnsi="Times" w:cs="Arial"/>
          <w:b/>
          <w:szCs w:val="28"/>
        </w:rPr>
      </w:pPr>
    </w:p>
    <w:p w:rsidR="000456C2" w:rsidRDefault="000456C2" w:rsidP="005C1719">
      <w:pPr>
        <w:spacing w:line="480" w:lineRule="auto"/>
        <w:jc w:val="both"/>
        <w:rPr>
          <w:rFonts w:ascii="Times" w:hAnsi="Times" w:cs="Arial"/>
          <w:b/>
          <w:szCs w:val="28"/>
        </w:rPr>
      </w:pPr>
    </w:p>
    <w:p w:rsidR="00F009E5" w:rsidRDefault="00F009E5" w:rsidP="005C1719">
      <w:pPr>
        <w:spacing w:line="480" w:lineRule="auto"/>
        <w:jc w:val="both"/>
        <w:rPr>
          <w:rFonts w:ascii="Times" w:hAnsi="Times" w:cs="Arial"/>
          <w:b/>
          <w:szCs w:val="28"/>
        </w:rPr>
      </w:pPr>
      <w:r>
        <w:rPr>
          <w:rFonts w:ascii="Times" w:hAnsi="Times" w:cs="Arial"/>
          <w:b/>
          <w:noProof/>
          <w:szCs w:val="28"/>
        </w:rPr>
        <w:lastRenderedPageBreak/>
        <w:drawing>
          <wp:inline distT="0" distB="0" distL="0" distR="0">
            <wp:extent cx="5943600" cy="413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plex_summar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C2" w:rsidRDefault="000456C2" w:rsidP="005C1719">
      <w:pPr>
        <w:spacing w:line="480" w:lineRule="auto"/>
        <w:jc w:val="both"/>
        <w:rPr>
          <w:rFonts w:ascii="Times" w:hAnsi="Times" w:cs="Arial"/>
          <w:b/>
          <w:szCs w:val="28"/>
        </w:rPr>
      </w:pPr>
      <w:r>
        <w:rPr>
          <w:rFonts w:ascii="Times" w:hAnsi="Times" w:cs="Arial"/>
          <w:b/>
          <w:szCs w:val="28"/>
        </w:rPr>
        <w:t xml:space="preserve">Supplementary figure 2:  Cytokines and Chemokines produced by mesangial cells in response to </w:t>
      </w:r>
      <w:proofErr w:type="spellStart"/>
      <w:proofErr w:type="gramStart"/>
      <w:r>
        <w:rPr>
          <w:rFonts w:ascii="Times" w:hAnsi="Times" w:cs="Arial"/>
          <w:b/>
          <w:szCs w:val="28"/>
        </w:rPr>
        <w:t>oxPAPC</w:t>
      </w:r>
      <w:proofErr w:type="spellEnd"/>
      <w:r>
        <w:rPr>
          <w:rFonts w:ascii="Times" w:hAnsi="Times" w:cs="Arial"/>
          <w:b/>
          <w:szCs w:val="28"/>
        </w:rPr>
        <w:t xml:space="preserve"> .</w:t>
      </w:r>
      <w:proofErr w:type="gramEnd"/>
      <w:r w:rsidR="00F009E5">
        <w:rPr>
          <w:rFonts w:ascii="Times" w:hAnsi="Times" w:cs="Arial"/>
          <w:b/>
          <w:szCs w:val="28"/>
        </w:rPr>
        <w:t xml:space="preserve">  </w:t>
      </w:r>
      <w:r>
        <w:rPr>
          <w:rFonts w:ascii="Times" w:hAnsi="Times" w:cs="Arial"/>
          <w:szCs w:val="28"/>
        </w:rPr>
        <w:t>Primary mesangial cells from Id3</w:t>
      </w:r>
      <w:r w:rsidRPr="00F009E5">
        <w:rPr>
          <w:rFonts w:ascii="Times" w:hAnsi="Times" w:cs="Arial"/>
          <w:szCs w:val="28"/>
          <w:vertAlign w:val="superscript"/>
        </w:rPr>
        <w:t>+/+</w:t>
      </w:r>
      <w:r>
        <w:rPr>
          <w:rFonts w:ascii="Times" w:hAnsi="Times" w:cs="Arial"/>
          <w:szCs w:val="28"/>
        </w:rPr>
        <w:t xml:space="preserve"> (open bars) and Id3</w:t>
      </w:r>
      <w:r w:rsidRPr="00F009E5">
        <w:rPr>
          <w:rFonts w:ascii="Times" w:hAnsi="Times" w:cs="Arial"/>
          <w:szCs w:val="28"/>
          <w:vertAlign w:val="superscript"/>
        </w:rPr>
        <w:t>-/-</w:t>
      </w:r>
      <w:r>
        <w:rPr>
          <w:rFonts w:ascii="Times" w:hAnsi="Times" w:cs="Arial"/>
          <w:szCs w:val="28"/>
        </w:rPr>
        <w:t xml:space="preserve"> (closed bars) mice were cultured in RPMI supplemented with 0.5% low lipid fetal calf seru</w:t>
      </w:r>
      <w:r w:rsidR="00F009E5">
        <w:rPr>
          <w:rFonts w:ascii="Times" w:hAnsi="Times" w:cs="Arial"/>
          <w:szCs w:val="28"/>
        </w:rPr>
        <w:t>m for 24</w:t>
      </w:r>
      <w:r>
        <w:rPr>
          <w:rFonts w:ascii="Times" w:hAnsi="Times" w:cs="Arial"/>
          <w:szCs w:val="28"/>
        </w:rPr>
        <w:t xml:space="preserve">hrs followed by incubation with different doses of </w:t>
      </w:r>
      <w:proofErr w:type="spellStart"/>
      <w:r>
        <w:rPr>
          <w:rFonts w:ascii="Times" w:hAnsi="Times" w:cs="Arial"/>
          <w:szCs w:val="28"/>
        </w:rPr>
        <w:t>oxPAPC</w:t>
      </w:r>
      <w:proofErr w:type="spellEnd"/>
      <w:r>
        <w:rPr>
          <w:rFonts w:ascii="Times" w:hAnsi="Times" w:cs="Arial"/>
          <w:szCs w:val="28"/>
        </w:rPr>
        <w:t xml:space="preserve"> for an additional 24 hrs.  Supernatants were collected </w:t>
      </w:r>
      <w:r w:rsidR="00F009E5">
        <w:rPr>
          <w:rFonts w:ascii="Times" w:hAnsi="Times" w:cs="Arial"/>
          <w:szCs w:val="28"/>
        </w:rPr>
        <w:t>and analyz</w:t>
      </w:r>
      <w:r>
        <w:rPr>
          <w:rFonts w:ascii="Times" w:hAnsi="Times" w:cs="Arial"/>
          <w:szCs w:val="28"/>
        </w:rPr>
        <w:t xml:space="preserve">ed for </w:t>
      </w:r>
      <w:r w:rsidR="00F009E5">
        <w:rPr>
          <w:rFonts w:ascii="Times" w:hAnsi="Times" w:cs="Arial"/>
          <w:szCs w:val="28"/>
        </w:rPr>
        <w:t xml:space="preserve">levels of </w:t>
      </w:r>
      <w:r>
        <w:rPr>
          <w:rFonts w:ascii="Times" w:hAnsi="Times" w:cs="Arial"/>
          <w:szCs w:val="28"/>
        </w:rPr>
        <w:t xml:space="preserve">cytokine and chemokine using </w:t>
      </w:r>
      <w:r w:rsidRPr="00D75553">
        <w:t>Mouse Grp1 23-plex and Grp2 9-plex Bio-</w:t>
      </w:r>
      <w:proofErr w:type="spellStart"/>
      <w:r w:rsidRPr="00D75553">
        <w:t>Plex</w:t>
      </w:r>
      <w:proofErr w:type="spellEnd"/>
      <w:r w:rsidRPr="00D75553">
        <w:t xml:space="preserve"> suspension array system (Bio-Rad)</w:t>
      </w:r>
      <w:r>
        <w:t xml:space="preserve">.  </w:t>
      </w:r>
      <w:r w:rsidR="00F009E5">
        <w:t xml:space="preserve">Detectable levels of </w:t>
      </w:r>
      <w:r>
        <w:t xml:space="preserve">CXCL1, MCSF, </w:t>
      </w:r>
      <w:proofErr w:type="spellStart"/>
      <w:r>
        <w:t>PDGFbb</w:t>
      </w:r>
      <w:proofErr w:type="spellEnd"/>
      <w:r>
        <w:t xml:space="preserve">, VEGF and MCP1 were found and are shown here.  Note that only CXCL1 showed a dose dependent increase in response to increasing amounts of </w:t>
      </w:r>
      <w:proofErr w:type="spellStart"/>
      <w:r>
        <w:t>oxPAPC</w:t>
      </w:r>
      <w:proofErr w:type="spellEnd"/>
      <w:r>
        <w:t>.  The following cytokines were included in the array and were not detected</w:t>
      </w:r>
      <w:r w:rsidR="00F009E5">
        <w:t xml:space="preserve"> in the supernatants of either group</w:t>
      </w:r>
      <w:r>
        <w:t xml:space="preserve">: IL1a, IL1b, IL2, IL3, IL4, IL5, IL6, IL9, IL10, IL12p40, IL12p70, IL13, IL17, </w:t>
      </w:r>
      <w:proofErr w:type="spellStart"/>
      <w:r>
        <w:t>Eotaxin</w:t>
      </w:r>
      <w:proofErr w:type="spellEnd"/>
      <w:r>
        <w:t xml:space="preserve">, GCSF, GMCSF, </w:t>
      </w:r>
      <w:proofErr w:type="spellStart"/>
      <w:r>
        <w:t>IFNg</w:t>
      </w:r>
      <w:proofErr w:type="spellEnd"/>
      <w:r>
        <w:t xml:space="preserve">, MIP1a, MIP1b, RANTES, </w:t>
      </w:r>
      <w:proofErr w:type="spellStart"/>
      <w:r>
        <w:t>TNFa</w:t>
      </w:r>
      <w:proofErr w:type="spellEnd"/>
      <w:r>
        <w:t xml:space="preserve">, IL15, IL18, </w:t>
      </w:r>
      <w:proofErr w:type="spellStart"/>
      <w:r>
        <w:t>bFGF</w:t>
      </w:r>
      <w:proofErr w:type="spellEnd"/>
      <w:r>
        <w:t xml:space="preserve">, LIF, MIP2, MIG. </w:t>
      </w:r>
      <w:r w:rsidR="007567B9">
        <w:t xml:space="preserve"> </w:t>
      </w:r>
    </w:p>
    <w:sectPr w:rsidR="000456C2" w:rsidSect="0071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784B"/>
    <w:rsid w:val="000456C2"/>
    <w:rsid w:val="00045BD4"/>
    <w:rsid w:val="00055E85"/>
    <w:rsid w:val="000734C4"/>
    <w:rsid w:val="000E05BC"/>
    <w:rsid w:val="001605CA"/>
    <w:rsid w:val="00194AD8"/>
    <w:rsid w:val="002620C6"/>
    <w:rsid w:val="002F70B6"/>
    <w:rsid w:val="00325B9B"/>
    <w:rsid w:val="003B476F"/>
    <w:rsid w:val="00452629"/>
    <w:rsid w:val="00460554"/>
    <w:rsid w:val="004A0AE8"/>
    <w:rsid w:val="004F784B"/>
    <w:rsid w:val="00522160"/>
    <w:rsid w:val="005315A9"/>
    <w:rsid w:val="005C1719"/>
    <w:rsid w:val="005F3C2B"/>
    <w:rsid w:val="006841B4"/>
    <w:rsid w:val="006A446A"/>
    <w:rsid w:val="0071517A"/>
    <w:rsid w:val="007567B9"/>
    <w:rsid w:val="00864561"/>
    <w:rsid w:val="0087589A"/>
    <w:rsid w:val="008A3132"/>
    <w:rsid w:val="008F7060"/>
    <w:rsid w:val="00A86526"/>
    <w:rsid w:val="00AE1474"/>
    <w:rsid w:val="00AE1789"/>
    <w:rsid w:val="00BB092F"/>
    <w:rsid w:val="00BF5339"/>
    <w:rsid w:val="00C14192"/>
    <w:rsid w:val="00C63CE8"/>
    <w:rsid w:val="00D45BB3"/>
    <w:rsid w:val="00DA305E"/>
    <w:rsid w:val="00E044D5"/>
    <w:rsid w:val="00E74C74"/>
    <w:rsid w:val="00F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C84BC-AAAA-4C68-9205-5A9C560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4B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4F784B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bottom w:val="single" w:sz="6" w:space="0" w:color="008000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5E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B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hb5u</dc:creator>
  <cp:keywords/>
  <dc:description/>
  <cp:lastModifiedBy>Harini Bagavant, PhD</cp:lastModifiedBy>
  <cp:revision>12</cp:revision>
  <dcterms:created xsi:type="dcterms:W3CDTF">2013-04-11T18:52:00Z</dcterms:created>
  <dcterms:modified xsi:type="dcterms:W3CDTF">2014-02-26T21:28:00Z</dcterms:modified>
</cp:coreProperties>
</file>